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3BDA5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EBE3988" w14:textId="77777777">
        <w:tblPrEx>
          <w:tblCellMar>
            <w:top w:w="0" w:type="dxa"/>
            <w:bottom w:w="0" w:type="dxa"/>
          </w:tblCellMar>
        </w:tblPrEx>
        <w:trPr>
          <w:trHeight w:val="485"/>
          <w:jc w:val="center"/>
        </w:trPr>
        <w:tc>
          <w:tcPr>
            <w:tcW w:w="9576" w:type="dxa"/>
            <w:gridSpan w:val="5"/>
            <w:vAlign w:val="center"/>
          </w:tcPr>
          <w:p w14:paraId="763307C6" w14:textId="77777777" w:rsidR="00CA09B2" w:rsidRDefault="00695EB5">
            <w:pPr>
              <w:pStyle w:val="T2"/>
            </w:pPr>
            <w:r>
              <w:t>Some Eastlake 11ak SB Comment Resolutions</w:t>
            </w:r>
          </w:p>
        </w:tc>
      </w:tr>
      <w:tr w:rsidR="00CA09B2" w14:paraId="7D100CF0" w14:textId="77777777">
        <w:tblPrEx>
          <w:tblCellMar>
            <w:top w:w="0" w:type="dxa"/>
            <w:bottom w:w="0" w:type="dxa"/>
          </w:tblCellMar>
        </w:tblPrEx>
        <w:trPr>
          <w:trHeight w:val="359"/>
          <w:jc w:val="center"/>
        </w:trPr>
        <w:tc>
          <w:tcPr>
            <w:tcW w:w="9576" w:type="dxa"/>
            <w:gridSpan w:val="5"/>
            <w:vAlign w:val="center"/>
          </w:tcPr>
          <w:p w14:paraId="02B1E0F7" w14:textId="77777777" w:rsidR="00CA09B2" w:rsidRDefault="00CA09B2" w:rsidP="00695EB5">
            <w:pPr>
              <w:pStyle w:val="T2"/>
              <w:ind w:left="0"/>
              <w:rPr>
                <w:sz w:val="20"/>
              </w:rPr>
            </w:pPr>
            <w:r>
              <w:rPr>
                <w:sz w:val="20"/>
              </w:rPr>
              <w:t>Date:</w:t>
            </w:r>
            <w:r>
              <w:rPr>
                <w:b w:val="0"/>
                <w:sz w:val="20"/>
              </w:rPr>
              <w:t xml:space="preserve">  </w:t>
            </w:r>
            <w:r w:rsidR="00695EB5">
              <w:rPr>
                <w:b w:val="0"/>
                <w:sz w:val="20"/>
              </w:rPr>
              <w:t>2017-07-11</w:t>
            </w:r>
          </w:p>
        </w:tc>
      </w:tr>
      <w:tr w:rsidR="00CA09B2" w14:paraId="3E755278" w14:textId="77777777">
        <w:tblPrEx>
          <w:tblCellMar>
            <w:top w:w="0" w:type="dxa"/>
            <w:bottom w:w="0" w:type="dxa"/>
          </w:tblCellMar>
        </w:tblPrEx>
        <w:trPr>
          <w:cantSplit/>
          <w:jc w:val="center"/>
        </w:trPr>
        <w:tc>
          <w:tcPr>
            <w:tcW w:w="9576" w:type="dxa"/>
            <w:gridSpan w:val="5"/>
            <w:vAlign w:val="center"/>
          </w:tcPr>
          <w:p w14:paraId="6BCD4FA5" w14:textId="77777777" w:rsidR="00CA09B2" w:rsidRDefault="00CA09B2">
            <w:pPr>
              <w:pStyle w:val="T2"/>
              <w:spacing w:after="0"/>
              <w:ind w:left="0" w:right="0"/>
              <w:jc w:val="left"/>
              <w:rPr>
                <w:sz w:val="20"/>
              </w:rPr>
            </w:pPr>
            <w:r>
              <w:rPr>
                <w:sz w:val="20"/>
              </w:rPr>
              <w:t>Author(s):</w:t>
            </w:r>
          </w:p>
        </w:tc>
      </w:tr>
      <w:tr w:rsidR="00CA09B2" w14:paraId="7DBCCCC6" w14:textId="77777777">
        <w:tblPrEx>
          <w:tblCellMar>
            <w:top w:w="0" w:type="dxa"/>
            <w:bottom w:w="0" w:type="dxa"/>
          </w:tblCellMar>
        </w:tblPrEx>
        <w:trPr>
          <w:jc w:val="center"/>
        </w:trPr>
        <w:tc>
          <w:tcPr>
            <w:tcW w:w="1336" w:type="dxa"/>
            <w:vAlign w:val="center"/>
          </w:tcPr>
          <w:p w14:paraId="35E9A43B" w14:textId="77777777" w:rsidR="00CA09B2" w:rsidRDefault="00CA09B2">
            <w:pPr>
              <w:pStyle w:val="T2"/>
              <w:spacing w:after="0"/>
              <w:ind w:left="0" w:right="0"/>
              <w:jc w:val="left"/>
              <w:rPr>
                <w:sz w:val="20"/>
              </w:rPr>
            </w:pPr>
            <w:r>
              <w:rPr>
                <w:sz w:val="20"/>
              </w:rPr>
              <w:t>Name</w:t>
            </w:r>
          </w:p>
        </w:tc>
        <w:tc>
          <w:tcPr>
            <w:tcW w:w="2064" w:type="dxa"/>
            <w:vAlign w:val="center"/>
          </w:tcPr>
          <w:p w14:paraId="5F4E2EB8" w14:textId="77777777" w:rsidR="00CA09B2" w:rsidRDefault="0062440B">
            <w:pPr>
              <w:pStyle w:val="T2"/>
              <w:spacing w:after="0"/>
              <w:ind w:left="0" w:right="0"/>
              <w:jc w:val="left"/>
              <w:rPr>
                <w:sz w:val="20"/>
              </w:rPr>
            </w:pPr>
            <w:r>
              <w:rPr>
                <w:sz w:val="20"/>
              </w:rPr>
              <w:t>Affiliation</w:t>
            </w:r>
          </w:p>
        </w:tc>
        <w:tc>
          <w:tcPr>
            <w:tcW w:w="2814" w:type="dxa"/>
            <w:vAlign w:val="center"/>
          </w:tcPr>
          <w:p w14:paraId="55632707" w14:textId="77777777" w:rsidR="00CA09B2" w:rsidRDefault="00CA09B2">
            <w:pPr>
              <w:pStyle w:val="T2"/>
              <w:spacing w:after="0"/>
              <w:ind w:left="0" w:right="0"/>
              <w:jc w:val="left"/>
              <w:rPr>
                <w:sz w:val="20"/>
              </w:rPr>
            </w:pPr>
            <w:r>
              <w:rPr>
                <w:sz w:val="20"/>
              </w:rPr>
              <w:t>Address</w:t>
            </w:r>
          </w:p>
        </w:tc>
        <w:tc>
          <w:tcPr>
            <w:tcW w:w="1715" w:type="dxa"/>
            <w:vAlign w:val="center"/>
          </w:tcPr>
          <w:p w14:paraId="57DD1DBE" w14:textId="77777777" w:rsidR="00CA09B2" w:rsidRDefault="00CA09B2">
            <w:pPr>
              <w:pStyle w:val="T2"/>
              <w:spacing w:after="0"/>
              <w:ind w:left="0" w:right="0"/>
              <w:jc w:val="left"/>
              <w:rPr>
                <w:sz w:val="20"/>
              </w:rPr>
            </w:pPr>
            <w:r>
              <w:rPr>
                <w:sz w:val="20"/>
              </w:rPr>
              <w:t>Phone</w:t>
            </w:r>
          </w:p>
        </w:tc>
        <w:tc>
          <w:tcPr>
            <w:tcW w:w="1647" w:type="dxa"/>
            <w:vAlign w:val="center"/>
          </w:tcPr>
          <w:p w14:paraId="58CAF8EF" w14:textId="77777777" w:rsidR="00CA09B2" w:rsidRDefault="00CA09B2">
            <w:pPr>
              <w:pStyle w:val="T2"/>
              <w:spacing w:after="0"/>
              <w:ind w:left="0" w:right="0"/>
              <w:jc w:val="left"/>
              <w:rPr>
                <w:sz w:val="20"/>
              </w:rPr>
            </w:pPr>
            <w:proofErr w:type="gramStart"/>
            <w:r>
              <w:rPr>
                <w:sz w:val="20"/>
              </w:rPr>
              <w:t>email</w:t>
            </w:r>
            <w:proofErr w:type="gramEnd"/>
          </w:p>
        </w:tc>
      </w:tr>
      <w:tr w:rsidR="00CA09B2" w14:paraId="5A505711" w14:textId="77777777">
        <w:tblPrEx>
          <w:tblCellMar>
            <w:top w:w="0" w:type="dxa"/>
            <w:bottom w:w="0" w:type="dxa"/>
          </w:tblCellMar>
        </w:tblPrEx>
        <w:trPr>
          <w:jc w:val="center"/>
        </w:trPr>
        <w:tc>
          <w:tcPr>
            <w:tcW w:w="1336" w:type="dxa"/>
            <w:vAlign w:val="center"/>
          </w:tcPr>
          <w:p w14:paraId="4F08D3F8" w14:textId="77777777" w:rsidR="00CA09B2" w:rsidRDefault="00695EB5">
            <w:pPr>
              <w:pStyle w:val="T2"/>
              <w:spacing w:after="0"/>
              <w:ind w:left="0" w:right="0"/>
              <w:rPr>
                <w:b w:val="0"/>
                <w:sz w:val="20"/>
              </w:rPr>
            </w:pPr>
            <w:r>
              <w:rPr>
                <w:b w:val="0"/>
                <w:sz w:val="20"/>
              </w:rPr>
              <w:t>Donald Eastlake</w:t>
            </w:r>
          </w:p>
        </w:tc>
        <w:tc>
          <w:tcPr>
            <w:tcW w:w="2064" w:type="dxa"/>
            <w:vAlign w:val="center"/>
          </w:tcPr>
          <w:p w14:paraId="20B8BDAB" w14:textId="77777777" w:rsidR="00CA09B2" w:rsidRDefault="00695EB5">
            <w:pPr>
              <w:pStyle w:val="T2"/>
              <w:spacing w:after="0"/>
              <w:ind w:left="0" w:right="0"/>
              <w:rPr>
                <w:b w:val="0"/>
                <w:sz w:val="20"/>
              </w:rPr>
            </w:pPr>
            <w:r>
              <w:rPr>
                <w:b w:val="0"/>
                <w:sz w:val="20"/>
              </w:rPr>
              <w:t>Huawei Technologies</w:t>
            </w:r>
          </w:p>
        </w:tc>
        <w:tc>
          <w:tcPr>
            <w:tcW w:w="2814" w:type="dxa"/>
            <w:vAlign w:val="center"/>
          </w:tcPr>
          <w:p w14:paraId="6A51042A" w14:textId="77777777" w:rsidR="00CA09B2" w:rsidRDefault="00695EB5">
            <w:pPr>
              <w:pStyle w:val="T2"/>
              <w:spacing w:after="0"/>
              <w:ind w:left="0" w:right="0"/>
              <w:rPr>
                <w:b w:val="0"/>
                <w:sz w:val="20"/>
              </w:rPr>
            </w:pPr>
            <w:r>
              <w:rPr>
                <w:b w:val="0"/>
                <w:sz w:val="20"/>
              </w:rPr>
              <w:t>155 Beaver Street, Milford, MA 01757 USA</w:t>
            </w:r>
          </w:p>
        </w:tc>
        <w:tc>
          <w:tcPr>
            <w:tcW w:w="1715" w:type="dxa"/>
            <w:vAlign w:val="center"/>
          </w:tcPr>
          <w:p w14:paraId="41199E31" w14:textId="77777777" w:rsidR="00CA09B2" w:rsidRDefault="00695EB5">
            <w:pPr>
              <w:pStyle w:val="T2"/>
              <w:spacing w:after="0"/>
              <w:ind w:left="0" w:right="0"/>
              <w:rPr>
                <w:b w:val="0"/>
                <w:sz w:val="20"/>
              </w:rPr>
            </w:pPr>
            <w:r>
              <w:rPr>
                <w:b w:val="0"/>
                <w:sz w:val="20"/>
              </w:rPr>
              <w:t>+1 508 333 2270</w:t>
            </w:r>
          </w:p>
        </w:tc>
        <w:tc>
          <w:tcPr>
            <w:tcW w:w="1647" w:type="dxa"/>
            <w:vAlign w:val="center"/>
          </w:tcPr>
          <w:p w14:paraId="0ED69CF7" w14:textId="77777777" w:rsidR="00CA09B2" w:rsidRDefault="00695EB5">
            <w:pPr>
              <w:pStyle w:val="T2"/>
              <w:spacing w:after="0"/>
              <w:ind w:left="0" w:right="0"/>
              <w:rPr>
                <w:b w:val="0"/>
                <w:sz w:val="16"/>
              </w:rPr>
            </w:pPr>
            <w:r>
              <w:rPr>
                <w:b w:val="0"/>
                <w:sz w:val="16"/>
              </w:rPr>
              <w:t>d3e3e3@gmail.com</w:t>
            </w:r>
          </w:p>
        </w:tc>
      </w:tr>
      <w:tr w:rsidR="00CA09B2" w14:paraId="31AF2F67" w14:textId="77777777">
        <w:tblPrEx>
          <w:tblCellMar>
            <w:top w:w="0" w:type="dxa"/>
            <w:bottom w:w="0" w:type="dxa"/>
          </w:tblCellMar>
        </w:tblPrEx>
        <w:trPr>
          <w:jc w:val="center"/>
        </w:trPr>
        <w:tc>
          <w:tcPr>
            <w:tcW w:w="1336" w:type="dxa"/>
            <w:vAlign w:val="center"/>
          </w:tcPr>
          <w:p w14:paraId="57290EE0" w14:textId="77777777" w:rsidR="00CA09B2" w:rsidRDefault="00CA09B2">
            <w:pPr>
              <w:pStyle w:val="T2"/>
              <w:spacing w:after="0"/>
              <w:ind w:left="0" w:right="0"/>
              <w:rPr>
                <w:b w:val="0"/>
                <w:sz w:val="20"/>
              </w:rPr>
            </w:pPr>
          </w:p>
        </w:tc>
        <w:tc>
          <w:tcPr>
            <w:tcW w:w="2064" w:type="dxa"/>
            <w:vAlign w:val="center"/>
          </w:tcPr>
          <w:p w14:paraId="5D2C9033" w14:textId="77777777" w:rsidR="00CA09B2" w:rsidRDefault="00CA09B2">
            <w:pPr>
              <w:pStyle w:val="T2"/>
              <w:spacing w:after="0"/>
              <w:ind w:left="0" w:right="0"/>
              <w:rPr>
                <w:b w:val="0"/>
                <w:sz w:val="20"/>
              </w:rPr>
            </w:pPr>
          </w:p>
        </w:tc>
        <w:tc>
          <w:tcPr>
            <w:tcW w:w="2814" w:type="dxa"/>
            <w:vAlign w:val="center"/>
          </w:tcPr>
          <w:p w14:paraId="11A4D2CA" w14:textId="77777777" w:rsidR="00CA09B2" w:rsidRDefault="00CA09B2">
            <w:pPr>
              <w:pStyle w:val="T2"/>
              <w:spacing w:after="0"/>
              <w:ind w:left="0" w:right="0"/>
              <w:rPr>
                <w:b w:val="0"/>
                <w:sz w:val="20"/>
              </w:rPr>
            </w:pPr>
          </w:p>
        </w:tc>
        <w:tc>
          <w:tcPr>
            <w:tcW w:w="1715" w:type="dxa"/>
            <w:vAlign w:val="center"/>
          </w:tcPr>
          <w:p w14:paraId="7B375630" w14:textId="77777777" w:rsidR="00CA09B2" w:rsidRDefault="00CA09B2">
            <w:pPr>
              <w:pStyle w:val="T2"/>
              <w:spacing w:after="0"/>
              <w:ind w:left="0" w:right="0"/>
              <w:rPr>
                <w:b w:val="0"/>
                <w:sz w:val="20"/>
              </w:rPr>
            </w:pPr>
          </w:p>
        </w:tc>
        <w:tc>
          <w:tcPr>
            <w:tcW w:w="1647" w:type="dxa"/>
            <w:vAlign w:val="center"/>
          </w:tcPr>
          <w:p w14:paraId="14F2623B" w14:textId="77777777" w:rsidR="00CA09B2" w:rsidRDefault="00CA09B2">
            <w:pPr>
              <w:pStyle w:val="T2"/>
              <w:spacing w:after="0"/>
              <w:ind w:left="0" w:right="0"/>
              <w:rPr>
                <w:b w:val="0"/>
                <w:sz w:val="16"/>
              </w:rPr>
            </w:pPr>
          </w:p>
        </w:tc>
      </w:tr>
    </w:tbl>
    <w:p w14:paraId="28BA3E36" w14:textId="77777777" w:rsidR="00CA09B2" w:rsidRDefault="00D5417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EEEC759" wp14:editId="59628EA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3EB927" w14:textId="77777777" w:rsidR="009A475F" w:rsidRDefault="009A475F">
                            <w:pPr>
                              <w:pStyle w:val="T1"/>
                              <w:spacing w:after="120"/>
                            </w:pPr>
                            <w:r>
                              <w:t>Abstract</w:t>
                            </w:r>
                          </w:p>
                          <w:p w14:paraId="7A51EF2C" w14:textId="77777777" w:rsidR="009A475F" w:rsidRDefault="009A475F">
                            <w:pPr>
                              <w:jc w:val="both"/>
                            </w:pPr>
                            <w:r>
                              <w:t>Some suggested resolutions for 802.11ak initial Sponsor Ballot comments most of which were assigned to Donald Eastlake.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4D3EB927" w14:textId="77777777" w:rsidR="009A475F" w:rsidRDefault="009A475F">
                      <w:pPr>
                        <w:pStyle w:val="T1"/>
                        <w:spacing w:after="120"/>
                      </w:pPr>
                      <w:r>
                        <w:t>Abstract</w:t>
                      </w:r>
                    </w:p>
                    <w:p w14:paraId="7A51EF2C" w14:textId="77777777" w:rsidR="009A475F" w:rsidRDefault="009A475F">
                      <w:pPr>
                        <w:jc w:val="both"/>
                      </w:pPr>
                      <w:r>
                        <w:t>Some suggested resolutions for 802.11ak initial Sponsor Ballot comments most of which were assigned to Donald Eastlake.</w:t>
                      </w:r>
                    </w:p>
                  </w:txbxContent>
                </v:textbox>
              </v:shape>
            </w:pict>
          </mc:Fallback>
        </mc:AlternateContent>
      </w:r>
    </w:p>
    <w:p w14:paraId="0BF17583" w14:textId="77777777" w:rsidR="00CA09B2" w:rsidRDefault="00CA09B2" w:rsidP="00DE3305">
      <w:r>
        <w:br w:type="page"/>
      </w:r>
    </w:p>
    <w:p w14:paraId="4935D88A" w14:textId="77777777" w:rsidR="00CA09B2" w:rsidRPr="00732CA1" w:rsidRDefault="00DE3305" w:rsidP="00732CA1">
      <w:pPr>
        <w:jc w:val="center"/>
        <w:rPr>
          <w:rFonts w:ascii="Arial" w:hAnsi="Arial" w:cs="Arial"/>
          <w:b/>
          <w:sz w:val="28"/>
        </w:rPr>
      </w:pPr>
      <w:r w:rsidRPr="00732CA1">
        <w:rPr>
          <w:rFonts w:ascii="Arial" w:hAnsi="Arial" w:cs="Arial"/>
          <w:b/>
          <w:sz w:val="28"/>
        </w:rPr>
        <w:lastRenderedPageBreak/>
        <w:t>Table of Contents</w:t>
      </w:r>
    </w:p>
    <w:p w14:paraId="31C0F795" w14:textId="77777777" w:rsidR="00732CA1" w:rsidRDefault="00732CA1">
      <w:pPr>
        <w:pStyle w:val="TOC1"/>
        <w:tabs>
          <w:tab w:val="right" w:leader="dot" w:pos="9350"/>
        </w:tabs>
        <w:rPr>
          <w:b/>
          <w:sz w:val="24"/>
        </w:rPr>
      </w:pPr>
    </w:p>
    <w:p w14:paraId="0856208F" w14:textId="77777777" w:rsidR="00C52C45" w:rsidRDefault="00C52C45">
      <w:pPr>
        <w:pStyle w:val="TOC1"/>
        <w:tabs>
          <w:tab w:val="right" w:leader="dot" w:pos="9350"/>
        </w:tabs>
        <w:rPr>
          <w:rFonts w:asciiTheme="minorHAnsi" w:eastAsiaTheme="minorEastAsia" w:hAnsiTheme="minorHAnsi" w:cstheme="minorBidi"/>
          <w:noProof/>
          <w:sz w:val="24"/>
          <w:szCs w:val="24"/>
          <w:lang w:val="en-US" w:eastAsia="ja-JP"/>
        </w:rPr>
      </w:pPr>
      <w:r>
        <w:rPr>
          <w:b/>
          <w:sz w:val="24"/>
        </w:rPr>
        <w:fldChar w:fldCharType="begin"/>
      </w:r>
      <w:r>
        <w:rPr>
          <w:b/>
          <w:sz w:val="24"/>
        </w:rPr>
        <w:instrText xml:space="preserve"> TOC \o "1-3" </w:instrText>
      </w:r>
      <w:r>
        <w:rPr>
          <w:b/>
          <w:sz w:val="24"/>
        </w:rPr>
        <w:fldChar w:fldCharType="separate"/>
      </w:r>
      <w:r>
        <w:rPr>
          <w:noProof/>
        </w:rPr>
        <w:t>CID 2040</w:t>
      </w:r>
      <w:r>
        <w:rPr>
          <w:noProof/>
        </w:rPr>
        <w:tab/>
      </w:r>
      <w:r>
        <w:rPr>
          <w:noProof/>
        </w:rPr>
        <w:fldChar w:fldCharType="begin"/>
      </w:r>
      <w:r>
        <w:rPr>
          <w:noProof/>
        </w:rPr>
        <w:instrText xml:space="preserve"> PAGEREF _Toc361384466 \h </w:instrText>
      </w:r>
      <w:r>
        <w:rPr>
          <w:noProof/>
        </w:rPr>
      </w:r>
      <w:r>
        <w:rPr>
          <w:noProof/>
        </w:rPr>
        <w:fldChar w:fldCharType="separate"/>
      </w:r>
      <w:r>
        <w:rPr>
          <w:noProof/>
        </w:rPr>
        <w:t>2</w:t>
      </w:r>
      <w:r>
        <w:rPr>
          <w:noProof/>
        </w:rPr>
        <w:fldChar w:fldCharType="end"/>
      </w:r>
    </w:p>
    <w:p w14:paraId="6B2BCE3C" w14:textId="77777777" w:rsidR="00C52C45" w:rsidRDefault="00C52C45">
      <w:pPr>
        <w:pStyle w:val="TOC1"/>
        <w:tabs>
          <w:tab w:val="right" w:leader="dot" w:pos="9350"/>
        </w:tabs>
        <w:rPr>
          <w:rFonts w:asciiTheme="minorHAnsi" w:eastAsiaTheme="minorEastAsia" w:hAnsiTheme="minorHAnsi" w:cstheme="minorBidi"/>
          <w:noProof/>
          <w:sz w:val="24"/>
          <w:szCs w:val="24"/>
          <w:lang w:val="en-US" w:eastAsia="ja-JP"/>
        </w:rPr>
      </w:pPr>
      <w:r>
        <w:rPr>
          <w:noProof/>
        </w:rPr>
        <w:t>CID 2098</w:t>
      </w:r>
      <w:r>
        <w:rPr>
          <w:noProof/>
        </w:rPr>
        <w:tab/>
      </w:r>
      <w:r>
        <w:rPr>
          <w:noProof/>
        </w:rPr>
        <w:fldChar w:fldCharType="begin"/>
      </w:r>
      <w:r>
        <w:rPr>
          <w:noProof/>
        </w:rPr>
        <w:instrText xml:space="preserve"> PAGEREF _Toc361384467 \h </w:instrText>
      </w:r>
      <w:r>
        <w:rPr>
          <w:noProof/>
        </w:rPr>
      </w:r>
      <w:r>
        <w:rPr>
          <w:noProof/>
        </w:rPr>
        <w:fldChar w:fldCharType="separate"/>
      </w:r>
      <w:r>
        <w:rPr>
          <w:noProof/>
        </w:rPr>
        <w:t>2</w:t>
      </w:r>
      <w:r>
        <w:rPr>
          <w:noProof/>
        </w:rPr>
        <w:fldChar w:fldCharType="end"/>
      </w:r>
    </w:p>
    <w:p w14:paraId="0A93CE29" w14:textId="77777777" w:rsidR="00C52C45" w:rsidRDefault="00C52C45">
      <w:pPr>
        <w:pStyle w:val="TOC1"/>
        <w:tabs>
          <w:tab w:val="right" w:leader="dot" w:pos="9350"/>
        </w:tabs>
        <w:rPr>
          <w:rFonts w:asciiTheme="minorHAnsi" w:eastAsiaTheme="minorEastAsia" w:hAnsiTheme="minorHAnsi" w:cstheme="minorBidi"/>
          <w:noProof/>
          <w:sz w:val="24"/>
          <w:szCs w:val="24"/>
          <w:lang w:val="en-US" w:eastAsia="ja-JP"/>
        </w:rPr>
      </w:pPr>
      <w:r>
        <w:rPr>
          <w:noProof/>
        </w:rPr>
        <w:t>CID 2149</w:t>
      </w:r>
      <w:r>
        <w:rPr>
          <w:noProof/>
        </w:rPr>
        <w:tab/>
      </w:r>
      <w:r>
        <w:rPr>
          <w:noProof/>
        </w:rPr>
        <w:fldChar w:fldCharType="begin"/>
      </w:r>
      <w:r>
        <w:rPr>
          <w:noProof/>
        </w:rPr>
        <w:instrText xml:space="preserve"> PAGEREF _Toc361384468 \h </w:instrText>
      </w:r>
      <w:r>
        <w:rPr>
          <w:noProof/>
        </w:rPr>
      </w:r>
      <w:r>
        <w:rPr>
          <w:noProof/>
        </w:rPr>
        <w:fldChar w:fldCharType="separate"/>
      </w:r>
      <w:r>
        <w:rPr>
          <w:noProof/>
        </w:rPr>
        <w:t>2</w:t>
      </w:r>
      <w:r>
        <w:rPr>
          <w:noProof/>
        </w:rPr>
        <w:fldChar w:fldCharType="end"/>
      </w:r>
    </w:p>
    <w:p w14:paraId="63589FD5" w14:textId="77777777" w:rsidR="00C52C45" w:rsidRDefault="00C52C45">
      <w:pPr>
        <w:pStyle w:val="TOC1"/>
        <w:tabs>
          <w:tab w:val="right" w:leader="dot" w:pos="9350"/>
        </w:tabs>
        <w:rPr>
          <w:rFonts w:asciiTheme="minorHAnsi" w:eastAsiaTheme="minorEastAsia" w:hAnsiTheme="minorHAnsi" w:cstheme="minorBidi"/>
          <w:noProof/>
          <w:sz w:val="24"/>
          <w:szCs w:val="24"/>
          <w:lang w:val="en-US" w:eastAsia="ja-JP"/>
        </w:rPr>
      </w:pPr>
      <w:r>
        <w:rPr>
          <w:noProof/>
        </w:rPr>
        <w:t>CID 2033, 2035</w:t>
      </w:r>
      <w:r>
        <w:rPr>
          <w:noProof/>
        </w:rPr>
        <w:tab/>
      </w:r>
      <w:r>
        <w:rPr>
          <w:noProof/>
        </w:rPr>
        <w:fldChar w:fldCharType="begin"/>
      </w:r>
      <w:r>
        <w:rPr>
          <w:noProof/>
        </w:rPr>
        <w:instrText xml:space="preserve"> PAGEREF _Toc361384469 \h </w:instrText>
      </w:r>
      <w:r>
        <w:rPr>
          <w:noProof/>
        </w:rPr>
      </w:r>
      <w:r>
        <w:rPr>
          <w:noProof/>
        </w:rPr>
        <w:fldChar w:fldCharType="separate"/>
      </w:r>
      <w:r>
        <w:rPr>
          <w:noProof/>
        </w:rPr>
        <w:t>3</w:t>
      </w:r>
      <w:r>
        <w:rPr>
          <w:noProof/>
        </w:rPr>
        <w:fldChar w:fldCharType="end"/>
      </w:r>
    </w:p>
    <w:p w14:paraId="59F89D46" w14:textId="77777777" w:rsidR="00C52C45" w:rsidRDefault="00C52C45">
      <w:pPr>
        <w:pStyle w:val="TOC1"/>
        <w:tabs>
          <w:tab w:val="right" w:leader="dot" w:pos="9350"/>
        </w:tabs>
        <w:rPr>
          <w:rFonts w:asciiTheme="minorHAnsi" w:eastAsiaTheme="minorEastAsia" w:hAnsiTheme="minorHAnsi" w:cstheme="minorBidi"/>
          <w:noProof/>
          <w:sz w:val="24"/>
          <w:szCs w:val="24"/>
          <w:lang w:val="en-US" w:eastAsia="ja-JP"/>
        </w:rPr>
      </w:pPr>
      <w:r>
        <w:rPr>
          <w:noProof/>
        </w:rPr>
        <w:t>GLK Capabilities Changes</w:t>
      </w:r>
      <w:r>
        <w:rPr>
          <w:noProof/>
        </w:rPr>
        <w:tab/>
      </w:r>
      <w:r>
        <w:rPr>
          <w:noProof/>
        </w:rPr>
        <w:fldChar w:fldCharType="begin"/>
      </w:r>
      <w:r>
        <w:rPr>
          <w:noProof/>
        </w:rPr>
        <w:instrText xml:space="preserve"> PAGEREF _Toc361384470 \h </w:instrText>
      </w:r>
      <w:r>
        <w:rPr>
          <w:noProof/>
        </w:rPr>
      </w:r>
      <w:r>
        <w:rPr>
          <w:noProof/>
        </w:rPr>
        <w:fldChar w:fldCharType="separate"/>
      </w:r>
      <w:r>
        <w:rPr>
          <w:noProof/>
        </w:rPr>
        <w:t>4</w:t>
      </w:r>
      <w:r>
        <w:rPr>
          <w:noProof/>
        </w:rPr>
        <w:fldChar w:fldCharType="end"/>
      </w:r>
    </w:p>
    <w:p w14:paraId="31B659AD" w14:textId="77777777" w:rsidR="00C52C45" w:rsidRDefault="00C52C45">
      <w:pPr>
        <w:pStyle w:val="TOC1"/>
        <w:tabs>
          <w:tab w:val="right" w:leader="dot" w:pos="9350"/>
        </w:tabs>
        <w:rPr>
          <w:rFonts w:asciiTheme="minorHAnsi" w:eastAsiaTheme="minorEastAsia" w:hAnsiTheme="minorHAnsi" w:cstheme="minorBidi"/>
          <w:noProof/>
          <w:sz w:val="24"/>
          <w:szCs w:val="24"/>
          <w:lang w:val="en-US" w:eastAsia="ja-JP"/>
        </w:rPr>
      </w:pPr>
      <w:r>
        <w:rPr>
          <w:noProof/>
        </w:rPr>
        <w:t>Format Determination</w:t>
      </w:r>
      <w:r>
        <w:rPr>
          <w:noProof/>
        </w:rPr>
        <w:tab/>
      </w:r>
      <w:r>
        <w:rPr>
          <w:noProof/>
        </w:rPr>
        <w:fldChar w:fldCharType="begin"/>
      </w:r>
      <w:r>
        <w:rPr>
          <w:noProof/>
        </w:rPr>
        <w:instrText xml:space="preserve"> PAGEREF _Toc361384471 \h </w:instrText>
      </w:r>
      <w:r>
        <w:rPr>
          <w:noProof/>
        </w:rPr>
      </w:r>
      <w:r>
        <w:rPr>
          <w:noProof/>
        </w:rPr>
        <w:fldChar w:fldCharType="separate"/>
      </w:r>
      <w:r>
        <w:rPr>
          <w:noProof/>
        </w:rPr>
        <w:t>5</w:t>
      </w:r>
      <w:r>
        <w:rPr>
          <w:noProof/>
        </w:rPr>
        <w:fldChar w:fldCharType="end"/>
      </w:r>
    </w:p>
    <w:p w14:paraId="66EF4643" w14:textId="33449068" w:rsidR="00DE3305" w:rsidRDefault="00C52C45">
      <w:pPr>
        <w:rPr>
          <w:b/>
          <w:sz w:val="24"/>
        </w:rPr>
      </w:pPr>
      <w:r>
        <w:rPr>
          <w:b/>
          <w:sz w:val="24"/>
        </w:rPr>
        <w:fldChar w:fldCharType="end"/>
      </w:r>
    </w:p>
    <w:p w14:paraId="04675C73" w14:textId="77777777" w:rsidR="00DE3305" w:rsidRDefault="00DE3305">
      <w:pPr>
        <w:rPr>
          <w:b/>
          <w:sz w:val="24"/>
        </w:rPr>
      </w:pPr>
    </w:p>
    <w:p w14:paraId="0C524EAB" w14:textId="77777777" w:rsidR="00DE3305" w:rsidRDefault="00DE3305">
      <w:pPr>
        <w:rPr>
          <w:b/>
          <w:sz w:val="24"/>
        </w:rPr>
      </w:pPr>
    </w:p>
    <w:p w14:paraId="4CA0B403" w14:textId="77777777" w:rsidR="00DE3305" w:rsidRDefault="00DE3305" w:rsidP="00DE3305">
      <w:pPr>
        <w:pStyle w:val="Heading1"/>
      </w:pPr>
      <w:bookmarkStart w:id="0" w:name="_Toc361384466"/>
      <w:r>
        <w:t>CID 2040</w:t>
      </w:r>
      <w:bookmarkEnd w:id="0"/>
    </w:p>
    <w:p w14:paraId="4C26B247" w14:textId="77777777" w:rsidR="00DE3305" w:rsidRDefault="00DE3305" w:rsidP="00DE3305">
      <w:pPr>
        <w:rPr>
          <w:b/>
          <w:sz w:val="24"/>
        </w:rPr>
      </w:pPr>
    </w:p>
    <w:p w14:paraId="039229CF" w14:textId="77777777" w:rsidR="00DE3305" w:rsidRPr="00DE3305" w:rsidRDefault="00DE3305" w:rsidP="00DE3305">
      <w:pPr>
        <w:rPr>
          <w:rFonts w:ascii="Arial" w:hAnsi="Arial" w:cs="Arial"/>
          <w:sz w:val="20"/>
          <w:lang w:val="en-US"/>
        </w:rPr>
      </w:pPr>
      <w:r>
        <w:rPr>
          <w:b/>
          <w:sz w:val="24"/>
        </w:rPr>
        <w:t xml:space="preserve">Comment: </w:t>
      </w:r>
      <w:r w:rsidRPr="00DE3305">
        <w:rPr>
          <w:rFonts w:ascii="Arial" w:hAnsi="Arial" w:cs="Arial"/>
          <w:sz w:val="20"/>
          <w:lang w:val="en-US"/>
        </w:rPr>
        <w:t>802.1Qbz-2016 is not cited in text. Is it cited in the base or another amendment? If so, then there is no need to cite in text.</w:t>
      </w:r>
    </w:p>
    <w:p w14:paraId="195A9FC7" w14:textId="77777777" w:rsidR="00DE3305" w:rsidRDefault="00DE3305">
      <w:pPr>
        <w:rPr>
          <w:b/>
          <w:sz w:val="24"/>
        </w:rPr>
      </w:pPr>
    </w:p>
    <w:p w14:paraId="44B043E6" w14:textId="77777777" w:rsidR="00DE3305" w:rsidRDefault="00DE3305">
      <w:pPr>
        <w:rPr>
          <w:b/>
          <w:sz w:val="24"/>
        </w:rPr>
      </w:pPr>
      <w:r>
        <w:rPr>
          <w:b/>
          <w:sz w:val="24"/>
        </w:rPr>
        <w:t>Proposed Change</w:t>
      </w:r>
      <w:r w:rsidR="00246C63">
        <w:rPr>
          <w:b/>
          <w:sz w:val="24"/>
        </w:rPr>
        <w:t>: —</w:t>
      </w:r>
    </w:p>
    <w:p w14:paraId="3929A7A5" w14:textId="77777777" w:rsidR="00732CA1" w:rsidRDefault="00732CA1">
      <w:pPr>
        <w:rPr>
          <w:b/>
          <w:sz w:val="24"/>
        </w:rPr>
      </w:pPr>
    </w:p>
    <w:p w14:paraId="0E113DA9" w14:textId="22ABE3CC" w:rsidR="00DE3305" w:rsidRDefault="00B41CCF">
      <w:pPr>
        <w:rPr>
          <w:sz w:val="24"/>
        </w:rPr>
      </w:pPr>
      <w:r>
        <w:rPr>
          <w:b/>
          <w:sz w:val="24"/>
        </w:rPr>
        <w:t>Discussion</w:t>
      </w:r>
      <w:r w:rsidR="00732CA1">
        <w:rPr>
          <w:b/>
          <w:sz w:val="24"/>
        </w:rPr>
        <w:t xml:space="preserve">: </w:t>
      </w:r>
      <w:r w:rsidR="00732CA1" w:rsidRPr="00732CA1">
        <w:rPr>
          <w:sz w:val="24"/>
        </w:rPr>
        <w:t xml:space="preserve">802.1Qbz-2016 </w:t>
      </w:r>
      <w:r>
        <w:rPr>
          <w:sz w:val="24"/>
        </w:rPr>
        <w:t>does not appear to be</w:t>
      </w:r>
      <w:r w:rsidR="00732CA1" w:rsidRPr="00732CA1">
        <w:rPr>
          <w:sz w:val="24"/>
        </w:rPr>
        <w:t xml:space="preserve"> cited i</w:t>
      </w:r>
      <w:r>
        <w:rPr>
          <w:sz w:val="24"/>
        </w:rPr>
        <w:t>n the base or another amendment. If they did cite it,</w:t>
      </w:r>
      <w:r w:rsidR="00732CA1" w:rsidRPr="00732CA1">
        <w:rPr>
          <w:sz w:val="24"/>
        </w:rPr>
        <w:t xml:space="preserve"> they </w:t>
      </w:r>
      <w:r>
        <w:rPr>
          <w:sz w:val="24"/>
        </w:rPr>
        <w:t>should have</w:t>
      </w:r>
      <w:r w:rsidR="00732CA1" w:rsidRPr="00732CA1">
        <w:rPr>
          <w:sz w:val="24"/>
        </w:rPr>
        <w:t xml:space="preserve"> add</w:t>
      </w:r>
      <w:r>
        <w:rPr>
          <w:sz w:val="24"/>
        </w:rPr>
        <w:t>ed</w:t>
      </w:r>
      <w:r w:rsidR="00732CA1" w:rsidRPr="00732CA1">
        <w:rPr>
          <w:sz w:val="24"/>
        </w:rPr>
        <w:t xml:space="preserve"> it</w:t>
      </w:r>
      <w:r>
        <w:rPr>
          <w:sz w:val="24"/>
        </w:rPr>
        <w:t xml:space="preserve"> to Clause 2 and they do not. There is no</w:t>
      </w:r>
      <w:r w:rsidR="00732CA1" w:rsidRPr="00732CA1">
        <w:rPr>
          <w:sz w:val="24"/>
        </w:rPr>
        <w:t xml:space="preserve"> reason for 11ak to add it if 11ak does not cite it.</w:t>
      </w:r>
    </w:p>
    <w:p w14:paraId="46773245" w14:textId="77777777" w:rsidR="00732CA1" w:rsidRDefault="00732CA1">
      <w:pPr>
        <w:rPr>
          <w:b/>
          <w:sz w:val="24"/>
        </w:rPr>
      </w:pPr>
    </w:p>
    <w:p w14:paraId="65D04B8B" w14:textId="48C3845B" w:rsidR="00DE3305" w:rsidRPr="00246C63" w:rsidRDefault="00DE3305">
      <w:pPr>
        <w:rPr>
          <w:sz w:val="24"/>
        </w:rPr>
      </w:pPr>
      <w:r>
        <w:rPr>
          <w:b/>
          <w:sz w:val="24"/>
        </w:rPr>
        <w:t>Resolution</w:t>
      </w:r>
      <w:r w:rsidR="00732CA1">
        <w:rPr>
          <w:b/>
          <w:sz w:val="24"/>
        </w:rPr>
        <w:t xml:space="preserve">: </w:t>
      </w:r>
      <w:r w:rsidR="00246C63" w:rsidRPr="00246C63">
        <w:rPr>
          <w:sz w:val="24"/>
        </w:rPr>
        <w:t>Revise. Delete the reference</w:t>
      </w:r>
      <w:r w:rsidR="00B41CCF">
        <w:rPr>
          <w:sz w:val="24"/>
        </w:rPr>
        <w:t xml:space="preserve"> to 802.1Qbz-2016 from Clause 2</w:t>
      </w:r>
      <w:r w:rsidR="00246C63" w:rsidRPr="00246C63">
        <w:rPr>
          <w:sz w:val="24"/>
        </w:rPr>
        <w:t xml:space="preserve"> (Normative References).</w:t>
      </w:r>
    </w:p>
    <w:p w14:paraId="02EF0278" w14:textId="77777777" w:rsidR="00DE3305" w:rsidRDefault="00DE3305" w:rsidP="00DE3305">
      <w:pPr>
        <w:pStyle w:val="Heading1"/>
      </w:pPr>
      <w:bookmarkStart w:id="1" w:name="_Toc361384467"/>
      <w:r>
        <w:t>CID 2098</w:t>
      </w:r>
      <w:bookmarkEnd w:id="1"/>
    </w:p>
    <w:p w14:paraId="263E6972" w14:textId="77777777" w:rsidR="00DE3305" w:rsidRDefault="00DE3305" w:rsidP="00DE3305">
      <w:pPr>
        <w:rPr>
          <w:b/>
          <w:sz w:val="24"/>
        </w:rPr>
      </w:pPr>
    </w:p>
    <w:p w14:paraId="43600891" w14:textId="77777777" w:rsidR="00D54177" w:rsidRPr="00D54177" w:rsidRDefault="00DE3305" w:rsidP="00D54177">
      <w:pPr>
        <w:rPr>
          <w:rFonts w:ascii="Arial" w:hAnsi="Arial" w:cs="Arial"/>
          <w:sz w:val="20"/>
          <w:lang w:val="en-US"/>
        </w:rPr>
      </w:pPr>
      <w:r>
        <w:rPr>
          <w:b/>
          <w:sz w:val="24"/>
        </w:rPr>
        <w:t>Comment</w:t>
      </w:r>
      <w:r w:rsidR="00D54177">
        <w:rPr>
          <w:b/>
          <w:sz w:val="24"/>
        </w:rPr>
        <w:t xml:space="preserve">: </w:t>
      </w:r>
      <w:r w:rsidR="00246C63">
        <w:rPr>
          <w:rFonts w:ascii="Arial" w:hAnsi="Arial" w:cs="Arial"/>
          <w:sz w:val="20"/>
          <w:lang w:val="en-US"/>
        </w:rPr>
        <w:t>A BU is</w:t>
      </w:r>
      <w:r w:rsidR="00D54177" w:rsidRPr="00D54177">
        <w:rPr>
          <w:rFonts w:ascii="Arial" w:hAnsi="Arial" w:cs="Arial"/>
          <w:sz w:val="20"/>
          <w:lang w:val="en-US"/>
        </w:rPr>
        <w:t>, in effect, an MSDU.  Therefore, it can't be "SYNRA" or "non-SYNRA".  Reword.  Above, we have used, "that arrive via the DS" to separate non-GLK group addressed MSDUs from those that will get SYNRA handling.</w:t>
      </w:r>
    </w:p>
    <w:p w14:paraId="56357E76" w14:textId="77777777" w:rsidR="00DE3305" w:rsidRDefault="00DE3305" w:rsidP="00DE3305">
      <w:pPr>
        <w:rPr>
          <w:b/>
          <w:sz w:val="24"/>
        </w:rPr>
      </w:pPr>
    </w:p>
    <w:p w14:paraId="5D416243" w14:textId="77777777" w:rsidR="00D54177" w:rsidRPr="00D54177" w:rsidRDefault="00DE3305" w:rsidP="00D54177">
      <w:pPr>
        <w:rPr>
          <w:rFonts w:ascii="Arial" w:hAnsi="Arial" w:cs="Arial"/>
          <w:sz w:val="20"/>
          <w:lang w:val="en-US"/>
        </w:rPr>
      </w:pPr>
      <w:r>
        <w:rPr>
          <w:b/>
          <w:sz w:val="24"/>
        </w:rPr>
        <w:t>Proposed Change</w:t>
      </w:r>
      <w:r w:rsidR="00D54177">
        <w:rPr>
          <w:b/>
          <w:sz w:val="24"/>
        </w:rPr>
        <w:t xml:space="preserve">: </w:t>
      </w:r>
      <w:r w:rsidR="00D54177" w:rsidRPr="00D54177">
        <w:rPr>
          <w:rFonts w:ascii="Arial" w:hAnsi="Arial" w:cs="Arial"/>
          <w:sz w:val="20"/>
          <w:lang w:val="en-US"/>
        </w:rPr>
        <w:t xml:space="preserve">Reword all uses of "non-SYNRA" being applied to BUs in bullet (f).  (7 </w:t>
      </w:r>
      <w:proofErr w:type="spellStart"/>
      <w:r w:rsidR="00D54177" w:rsidRPr="00D54177">
        <w:rPr>
          <w:rFonts w:ascii="Arial" w:hAnsi="Arial" w:cs="Arial"/>
          <w:sz w:val="20"/>
          <w:lang w:val="en-US"/>
        </w:rPr>
        <w:t>occurances</w:t>
      </w:r>
      <w:proofErr w:type="spellEnd"/>
      <w:r w:rsidR="00D54177" w:rsidRPr="00D54177">
        <w:rPr>
          <w:rFonts w:ascii="Arial" w:hAnsi="Arial" w:cs="Arial"/>
          <w:sz w:val="20"/>
          <w:lang w:val="en-US"/>
        </w:rPr>
        <w:t xml:space="preserve">)  Refer to the MSDU being received via the DS rather than whether they are SYNRA or not.  (Do we need to worry about group addressed Management frames?)  </w:t>
      </w:r>
      <w:proofErr w:type="gramStart"/>
      <w:r w:rsidR="00D54177" w:rsidRPr="00D54177">
        <w:rPr>
          <w:rFonts w:ascii="Arial" w:hAnsi="Arial" w:cs="Arial"/>
          <w:sz w:val="20"/>
          <w:lang w:val="en-US"/>
        </w:rPr>
        <w:t>Same thing throughout 11.2.3.7.</w:t>
      </w:r>
      <w:proofErr w:type="gramEnd"/>
    </w:p>
    <w:p w14:paraId="306385AC" w14:textId="77777777" w:rsidR="00DE3305" w:rsidRDefault="00DE3305" w:rsidP="00DE3305">
      <w:pPr>
        <w:rPr>
          <w:b/>
          <w:sz w:val="24"/>
        </w:rPr>
      </w:pPr>
    </w:p>
    <w:p w14:paraId="14CD8255" w14:textId="7A87E797" w:rsidR="00F22B8E" w:rsidRDefault="00B41CCF" w:rsidP="00DE3305">
      <w:pPr>
        <w:rPr>
          <w:sz w:val="24"/>
        </w:rPr>
      </w:pPr>
      <w:r>
        <w:rPr>
          <w:b/>
          <w:sz w:val="24"/>
        </w:rPr>
        <w:t xml:space="preserve">Discussion: </w:t>
      </w:r>
      <w:r w:rsidRPr="00B41CCF">
        <w:rPr>
          <w:sz w:val="24"/>
        </w:rPr>
        <w:t xml:space="preserve">This is a comment on 11.2.3.6 </w:t>
      </w:r>
      <w:r w:rsidR="00125F6C">
        <w:rPr>
          <w:sz w:val="24"/>
        </w:rPr>
        <w:t xml:space="preserve">item </w:t>
      </w:r>
      <w:r w:rsidR="00A6285A">
        <w:rPr>
          <w:sz w:val="24"/>
        </w:rPr>
        <w:t>“</w:t>
      </w:r>
      <w:r w:rsidR="00125F6C">
        <w:rPr>
          <w:sz w:val="24"/>
        </w:rPr>
        <w:t>f</w:t>
      </w:r>
      <w:r w:rsidR="00A6285A">
        <w:rPr>
          <w:sz w:val="24"/>
        </w:rPr>
        <w:t>”</w:t>
      </w:r>
      <w:r w:rsidR="00125F6C">
        <w:rPr>
          <w:sz w:val="24"/>
        </w:rPr>
        <w:t xml:space="preserve"> </w:t>
      </w:r>
      <w:r w:rsidRPr="00B41CCF">
        <w:rPr>
          <w:sz w:val="24"/>
        </w:rPr>
        <w:t>that also covers 11.2.3.7 but what about 11.2.3.3 and 11.2.3.4</w:t>
      </w:r>
      <w:r w:rsidR="00125F6C">
        <w:rPr>
          <w:sz w:val="24"/>
        </w:rPr>
        <w:t xml:space="preserve"> and other parts of 11.2.3.6</w:t>
      </w:r>
      <w:r w:rsidR="00A6285A">
        <w:rPr>
          <w:sz w:val="24"/>
        </w:rPr>
        <w:t xml:space="preserve"> and the draft</w:t>
      </w:r>
      <w:r w:rsidRPr="00B41CCF">
        <w:rPr>
          <w:sz w:val="24"/>
        </w:rPr>
        <w:t>?</w:t>
      </w:r>
      <w:r w:rsidR="00F22B8E">
        <w:rPr>
          <w:sz w:val="24"/>
        </w:rPr>
        <w:t xml:space="preserve"> There are also occurrences of the following:</w:t>
      </w:r>
      <w:r w:rsidR="007132E8">
        <w:rPr>
          <w:sz w:val="24"/>
        </w:rPr>
        <w:t xml:space="preserve"> </w:t>
      </w:r>
      <w:r w:rsidR="00F22B8E">
        <w:rPr>
          <w:sz w:val="24"/>
        </w:rPr>
        <w:t>“</w:t>
      </w:r>
      <w:r w:rsidR="00F22B8E" w:rsidRPr="00F22B8E">
        <w:rPr>
          <w:sz w:val="24"/>
        </w:rPr>
        <w:t>non-SYNRA group addressed traffic</w:t>
      </w:r>
      <w:r w:rsidR="007132E8">
        <w:rPr>
          <w:sz w:val="24"/>
        </w:rPr>
        <w:t>”.</w:t>
      </w:r>
    </w:p>
    <w:p w14:paraId="7ABF47A5" w14:textId="77777777" w:rsidR="007132E8" w:rsidRDefault="007132E8" w:rsidP="00DE3305">
      <w:pPr>
        <w:rPr>
          <w:sz w:val="24"/>
        </w:rPr>
      </w:pPr>
    </w:p>
    <w:p w14:paraId="171044CB" w14:textId="389264CA" w:rsidR="00B41CCF" w:rsidRDefault="00DE3305" w:rsidP="00DE3305">
      <w:pPr>
        <w:rPr>
          <w:sz w:val="24"/>
        </w:rPr>
      </w:pPr>
      <w:r>
        <w:rPr>
          <w:b/>
          <w:sz w:val="24"/>
        </w:rPr>
        <w:t>Resolution</w:t>
      </w:r>
      <w:r w:rsidR="00164C79">
        <w:rPr>
          <w:b/>
          <w:sz w:val="24"/>
        </w:rPr>
        <w:t xml:space="preserve">: </w:t>
      </w:r>
      <w:r w:rsidR="00B41CCF" w:rsidRPr="00B41CCF">
        <w:rPr>
          <w:sz w:val="24"/>
        </w:rPr>
        <w:t xml:space="preserve">Revise. </w:t>
      </w:r>
      <w:r w:rsidR="007132E8">
        <w:rPr>
          <w:sz w:val="24"/>
        </w:rPr>
        <w:t>Globally</w:t>
      </w:r>
      <w:r w:rsidR="00B41CCF">
        <w:rPr>
          <w:sz w:val="24"/>
        </w:rPr>
        <w:t xml:space="preserve"> replace occurrences as follows:</w:t>
      </w:r>
    </w:p>
    <w:p w14:paraId="65EDF20E" w14:textId="50AEA38B" w:rsidR="00DE3305" w:rsidRDefault="00125F6C" w:rsidP="00DE3305">
      <w:pPr>
        <w:rPr>
          <w:sz w:val="24"/>
        </w:rPr>
      </w:pPr>
      <w:r>
        <w:rPr>
          <w:sz w:val="24"/>
        </w:rPr>
        <w:t xml:space="preserve">     “</w:t>
      </w:r>
      <w:proofErr w:type="gramStart"/>
      <w:r w:rsidR="00B014AA">
        <w:rPr>
          <w:sz w:val="24"/>
        </w:rPr>
        <w:t>non</w:t>
      </w:r>
      <w:proofErr w:type="gramEnd"/>
      <w:r w:rsidR="00B014AA">
        <w:rPr>
          <w:sz w:val="24"/>
        </w:rPr>
        <w:t>-</w:t>
      </w:r>
      <w:r w:rsidRPr="00125F6C">
        <w:rPr>
          <w:sz w:val="24"/>
        </w:rPr>
        <w:t>SYNRA group addressed BUs</w:t>
      </w:r>
      <w:r>
        <w:rPr>
          <w:sz w:val="24"/>
        </w:rPr>
        <w:t xml:space="preserve">” -&gt; “group addressed BUs </w:t>
      </w:r>
      <w:r w:rsidR="00F22B8E">
        <w:rPr>
          <w:sz w:val="24"/>
        </w:rPr>
        <w:t>that arrive</w:t>
      </w:r>
      <w:r>
        <w:rPr>
          <w:sz w:val="24"/>
        </w:rPr>
        <w:t xml:space="preserve"> via the DS”</w:t>
      </w:r>
    </w:p>
    <w:p w14:paraId="228D12F7" w14:textId="7435D3B7" w:rsidR="00125F6C" w:rsidRPr="00B41CCF" w:rsidRDefault="00125F6C" w:rsidP="00DE3305">
      <w:pPr>
        <w:rPr>
          <w:sz w:val="24"/>
        </w:rPr>
      </w:pPr>
      <w:r>
        <w:rPr>
          <w:sz w:val="24"/>
        </w:rPr>
        <w:t xml:space="preserve">     “</w:t>
      </w:r>
      <w:proofErr w:type="gramStart"/>
      <w:r w:rsidRPr="00125F6C">
        <w:rPr>
          <w:sz w:val="24"/>
        </w:rPr>
        <w:t>non</w:t>
      </w:r>
      <w:proofErr w:type="gramEnd"/>
      <w:r w:rsidRPr="00125F6C">
        <w:rPr>
          <w:sz w:val="24"/>
        </w:rPr>
        <w:t>-SYNRA group addressed MSDUs</w:t>
      </w:r>
      <w:r>
        <w:rPr>
          <w:sz w:val="24"/>
        </w:rPr>
        <w:t xml:space="preserve">” -&gt; “group addressed MSDUs </w:t>
      </w:r>
      <w:r w:rsidR="00F22B8E">
        <w:rPr>
          <w:sz w:val="24"/>
        </w:rPr>
        <w:t>that arrive</w:t>
      </w:r>
      <w:r>
        <w:rPr>
          <w:sz w:val="24"/>
        </w:rPr>
        <w:t xml:space="preserve"> </w:t>
      </w:r>
      <w:r w:rsidR="007132E8">
        <w:rPr>
          <w:sz w:val="24"/>
        </w:rPr>
        <w:t>v</w:t>
      </w:r>
      <w:r>
        <w:rPr>
          <w:sz w:val="24"/>
        </w:rPr>
        <w:t>ia the DS”</w:t>
      </w:r>
    </w:p>
    <w:p w14:paraId="746BF6D9" w14:textId="77777777" w:rsidR="00DE3305" w:rsidRDefault="00DE3305" w:rsidP="00DE3305">
      <w:pPr>
        <w:pStyle w:val="Heading1"/>
      </w:pPr>
      <w:bookmarkStart w:id="2" w:name="_Toc361384468"/>
      <w:r>
        <w:t>CID 2149</w:t>
      </w:r>
      <w:bookmarkEnd w:id="2"/>
    </w:p>
    <w:p w14:paraId="6CE9D505" w14:textId="77777777" w:rsidR="00DE3305" w:rsidRDefault="00DE3305" w:rsidP="00DE3305">
      <w:pPr>
        <w:rPr>
          <w:b/>
          <w:sz w:val="24"/>
        </w:rPr>
      </w:pPr>
    </w:p>
    <w:p w14:paraId="619E1A20" w14:textId="77777777" w:rsidR="00DE3305" w:rsidRPr="00DE3305" w:rsidRDefault="00DE3305" w:rsidP="00DE3305">
      <w:pPr>
        <w:rPr>
          <w:rFonts w:ascii="Arial" w:hAnsi="Arial" w:cs="Arial"/>
          <w:sz w:val="20"/>
          <w:lang w:val="en-US"/>
        </w:rPr>
      </w:pPr>
      <w:r>
        <w:rPr>
          <w:b/>
          <w:sz w:val="24"/>
        </w:rPr>
        <w:t xml:space="preserve">Comment: </w:t>
      </w:r>
      <w:r w:rsidRPr="00DE3305">
        <w:rPr>
          <w:rFonts w:ascii="Arial" w:hAnsi="Arial" w:cs="Arial"/>
          <w:sz w:val="20"/>
          <w:lang w:val="en-US"/>
        </w:rPr>
        <w:t>It looks like the newly defined GLK Capabilities element is used to transmit one bit of information with three octets. That is both wasting airtime (encoding 1 bit into 24 bits) and Element ID values. Wouldn't it have been sufficient to add this bit into the Extended Capabilities element instead?</w:t>
      </w:r>
    </w:p>
    <w:p w14:paraId="095D1A77" w14:textId="77777777" w:rsidR="00DE3305" w:rsidRDefault="00DE3305" w:rsidP="00DE3305">
      <w:pPr>
        <w:rPr>
          <w:b/>
          <w:sz w:val="24"/>
        </w:rPr>
      </w:pPr>
    </w:p>
    <w:p w14:paraId="53CCFCBA" w14:textId="77777777" w:rsidR="00DE3305" w:rsidRPr="00DE3305" w:rsidRDefault="00DE3305" w:rsidP="00DE3305">
      <w:pPr>
        <w:rPr>
          <w:rFonts w:ascii="Arial" w:hAnsi="Arial" w:cs="Arial"/>
          <w:sz w:val="20"/>
          <w:lang w:val="en-US"/>
        </w:rPr>
      </w:pPr>
      <w:r>
        <w:rPr>
          <w:b/>
          <w:sz w:val="24"/>
        </w:rPr>
        <w:t xml:space="preserve">Proposed Change: </w:t>
      </w:r>
      <w:r w:rsidRPr="00DE3305">
        <w:rPr>
          <w:rFonts w:ascii="Arial" w:hAnsi="Arial" w:cs="Arial"/>
          <w:sz w:val="20"/>
          <w:lang w:val="en-US"/>
        </w:rPr>
        <w:t>Replace GLK Capabilities element with GLK-GCR bit in the Extended Capabilities element.</w:t>
      </w:r>
    </w:p>
    <w:p w14:paraId="7A085FEE" w14:textId="77777777" w:rsidR="00DE3305" w:rsidRDefault="00DE3305" w:rsidP="00DE3305">
      <w:pPr>
        <w:rPr>
          <w:b/>
          <w:sz w:val="24"/>
        </w:rPr>
      </w:pPr>
    </w:p>
    <w:p w14:paraId="2E553109" w14:textId="77777777" w:rsidR="00DE3305" w:rsidRDefault="00DE3305" w:rsidP="00DE3305">
      <w:pPr>
        <w:rPr>
          <w:sz w:val="24"/>
        </w:rPr>
      </w:pPr>
      <w:proofErr w:type="spellStart"/>
      <w:r>
        <w:rPr>
          <w:b/>
          <w:sz w:val="24"/>
        </w:rPr>
        <w:t>Discusion</w:t>
      </w:r>
      <w:proofErr w:type="spellEnd"/>
      <w:r>
        <w:rPr>
          <w:b/>
          <w:sz w:val="24"/>
        </w:rPr>
        <w:t xml:space="preserve">: </w:t>
      </w:r>
      <w:r w:rsidRPr="00DE3305">
        <w:rPr>
          <w:sz w:val="24"/>
        </w:rPr>
        <w:t>We were</w:t>
      </w:r>
      <w:r>
        <w:rPr>
          <w:sz w:val="24"/>
        </w:rPr>
        <w:t xml:space="preserve"> using four bits in GLK Capabilities and the presence of the IE is itself an indication so we were indicating 5 things. Now, we use only one bit which, plus the indication provided by presence, means we are only indicating 2 things. It turns out that Extended Capability bits 1 and 3 have never been assigned to anything so we can make them</w:t>
      </w:r>
      <w:r w:rsidR="00D54177">
        <w:rPr>
          <w:sz w:val="24"/>
        </w:rPr>
        <w:t xml:space="preserve"> be the indications of GLK and GLK-GCR support respectively.</w:t>
      </w:r>
    </w:p>
    <w:p w14:paraId="1546FE9D" w14:textId="77777777" w:rsidR="00D54177" w:rsidRDefault="00D54177" w:rsidP="00DE3305">
      <w:pPr>
        <w:rPr>
          <w:b/>
          <w:sz w:val="24"/>
        </w:rPr>
      </w:pPr>
    </w:p>
    <w:p w14:paraId="5FA2866E" w14:textId="12233C5B" w:rsidR="00DE3305" w:rsidRPr="00D54177" w:rsidRDefault="00DE3305" w:rsidP="00DE3305">
      <w:pPr>
        <w:rPr>
          <w:sz w:val="24"/>
        </w:rPr>
      </w:pPr>
      <w:r>
        <w:rPr>
          <w:b/>
          <w:sz w:val="24"/>
        </w:rPr>
        <w:t>Resolution</w:t>
      </w:r>
      <w:r w:rsidR="00D54177">
        <w:rPr>
          <w:b/>
          <w:sz w:val="24"/>
        </w:rPr>
        <w:t xml:space="preserve">: </w:t>
      </w:r>
      <w:r w:rsidR="00D54177" w:rsidRPr="00D54177">
        <w:rPr>
          <w:sz w:val="24"/>
        </w:rPr>
        <w:t>Revise. Incorporate changes from the “GLK Capabilities</w:t>
      </w:r>
      <w:r w:rsidR="00D54177">
        <w:rPr>
          <w:sz w:val="24"/>
        </w:rPr>
        <w:t xml:space="preserve"> Changes</w:t>
      </w:r>
      <w:r w:rsidR="00D54177" w:rsidRPr="00D54177">
        <w:rPr>
          <w:sz w:val="24"/>
        </w:rPr>
        <w:t>” Section of 11-17/1117r</w:t>
      </w:r>
      <w:r w:rsidR="009802BE">
        <w:rPr>
          <w:sz w:val="24"/>
        </w:rPr>
        <w:t>1</w:t>
      </w:r>
      <w:bookmarkStart w:id="3" w:name="_GoBack"/>
      <w:bookmarkEnd w:id="3"/>
      <w:r w:rsidR="00122EEA">
        <w:rPr>
          <w:sz w:val="24"/>
        </w:rPr>
        <w:t>.</w:t>
      </w:r>
    </w:p>
    <w:p w14:paraId="790C090B" w14:textId="1413D737" w:rsidR="00DE3305" w:rsidRDefault="00DE3305" w:rsidP="00DE3305">
      <w:pPr>
        <w:pStyle w:val="Heading1"/>
      </w:pPr>
      <w:bookmarkStart w:id="4" w:name="_Toc361384469"/>
      <w:r>
        <w:t xml:space="preserve">CID </w:t>
      </w:r>
      <w:r w:rsidR="00C83395">
        <w:t xml:space="preserve">2033, </w:t>
      </w:r>
      <w:r>
        <w:t>2035</w:t>
      </w:r>
      <w:bookmarkEnd w:id="4"/>
    </w:p>
    <w:p w14:paraId="5DC3D817" w14:textId="77777777" w:rsidR="00DE3305" w:rsidRDefault="00DE3305" w:rsidP="00DE3305">
      <w:pPr>
        <w:rPr>
          <w:b/>
          <w:sz w:val="24"/>
        </w:rPr>
      </w:pPr>
    </w:p>
    <w:p w14:paraId="36591B8F" w14:textId="13831A03" w:rsidR="00C83395" w:rsidRPr="00C83395" w:rsidRDefault="00C83395" w:rsidP="00C83395">
      <w:pPr>
        <w:rPr>
          <w:rFonts w:ascii="Arial" w:hAnsi="Arial" w:cs="Arial"/>
          <w:sz w:val="20"/>
          <w:lang w:val="en-US"/>
        </w:rPr>
      </w:pPr>
      <w:r>
        <w:rPr>
          <w:b/>
          <w:sz w:val="24"/>
        </w:rPr>
        <w:t xml:space="preserve">Comment 2033: </w:t>
      </w:r>
      <w:r w:rsidRPr="00C83395">
        <w:rPr>
          <w:rFonts w:ascii="Arial" w:hAnsi="Arial" w:cs="Arial"/>
          <w:sz w:val="20"/>
          <w:lang w:val="en-US"/>
        </w:rPr>
        <w:t>Bullet 2, sentence is structured: if v or w and x or y and z. I am left confused about this particular condition.</w:t>
      </w:r>
    </w:p>
    <w:p w14:paraId="4506392B" w14:textId="1FA1FBE3" w:rsidR="00C83395" w:rsidRDefault="00C83395" w:rsidP="00DE3305">
      <w:pPr>
        <w:rPr>
          <w:b/>
          <w:sz w:val="24"/>
        </w:rPr>
      </w:pPr>
    </w:p>
    <w:p w14:paraId="2789AF7F" w14:textId="50A5667B" w:rsidR="00C83395" w:rsidRPr="00C83395" w:rsidRDefault="00C83395" w:rsidP="00DE3305">
      <w:pPr>
        <w:rPr>
          <w:rFonts w:ascii="Arial" w:hAnsi="Arial" w:cs="Arial"/>
          <w:sz w:val="20"/>
          <w:lang w:val="en-US"/>
        </w:rPr>
      </w:pPr>
      <w:r>
        <w:rPr>
          <w:b/>
          <w:sz w:val="24"/>
        </w:rPr>
        <w:t xml:space="preserve">Proposed Change 2033: </w:t>
      </w:r>
      <w:r w:rsidRPr="00C83395">
        <w:rPr>
          <w:rFonts w:ascii="Arial" w:hAnsi="Arial" w:cs="Arial"/>
          <w:sz w:val="20"/>
          <w:lang w:val="en-US"/>
        </w:rPr>
        <w:t>Please rewrite this sentence so the condition is clear.</w:t>
      </w:r>
    </w:p>
    <w:p w14:paraId="681E5CC6" w14:textId="77777777" w:rsidR="00C83395" w:rsidRDefault="00C83395" w:rsidP="00DE3305">
      <w:pPr>
        <w:rPr>
          <w:b/>
          <w:sz w:val="24"/>
        </w:rPr>
      </w:pPr>
    </w:p>
    <w:p w14:paraId="3D45D62E" w14:textId="1ACC0329" w:rsidR="00DE3305" w:rsidRPr="00DE3305" w:rsidRDefault="00DE3305" w:rsidP="00DE3305">
      <w:pPr>
        <w:rPr>
          <w:rFonts w:ascii="Arial" w:hAnsi="Arial" w:cs="Arial"/>
          <w:sz w:val="20"/>
          <w:lang w:val="en-US"/>
        </w:rPr>
      </w:pPr>
      <w:r>
        <w:rPr>
          <w:b/>
          <w:sz w:val="24"/>
        </w:rPr>
        <w:t>Comment</w:t>
      </w:r>
      <w:r w:rsidR="00C83395">
        <w:rPr>
          <w:b/>
          <w:sz w:val="24"/>
        </w:rPr>
        <w:t xml:space="preserve"> 2035</w:t>
      </w:r>
      <w:r>
        <w:rPr>
          <w:b/>
          <w:sz w:val="24"/>
        </w:rPr>
        <w:t xml:space="preserve">: </w:t>
      </w:r>
      <w:r w:rsidRPr="00DE3305">
        <w:rPr>
          <w:rFonts w:ascii="Arial" w:hAnsi="Arial" w:cs="Arial"/>
          <w:sz w:val="20"/>
          <w:lang w:val="en-US"/>
        </w:rPr>
        <w:t xml:space="preserve">Does the receiving STA have enough information to choose the correct encoding to decode every received frame? </w:t>
      </w:r>
      <w:proofErr w:type="gramStart"/>
      <w:r w:rsidRPr="00DE3305">
        <w:rPr>
          <w:rFonts w:ascii="Arial" w:hAnsi="Arial" w:cs="Arial"/>
          <w:sz w:val="20"/>
          <w:lang w:val="en-US"/>
        </w:rPr>
        <w:t>i</w:t>
      </w:r>
      <w:proofErr w:type="gramEnd"/>
      <w:r w:rsidRPr="00DE3305">
        <w:rPr>
          <w:rFonts w:ascii="Arial" w:hAnsi="Arial" w:cs="Arial"/>
          <w:sz w:val="20"/>
          <w:lang w:val="en-US"/>
        </w:rPr>
        <w:t xml:space="preserve">.e. is 5.1.4 condition #2 deterministic and </w:t>
      </w:r>
      <w:proofErr w:type="spellStart"/>
      <w:r w:rsidRPr="00DE3305">
        <w:rPr>
          <w:rFonts w:ascii="Arial" w:hAnsi="Arial" w:cs="Arial"/>
          <w:sz w:val="20"/>
          <w:lang w:val="en-US"/>
        </w:rPr>
        <w:t>calculatable</w:t>
      </w:r>
      <w:proofErr w:type="spellEnd"/>
      <w:r w:rsidRPr="00DE3305">
        <w:rPr>
          <w:rFonts w:ascii="Arial" w:hAnsi="Arial" w:cs="Arial"/>
          <w:sz w:val="20"/>
          <w:lang w:val="en-US"/>
        </w:rPr>
        <w:t xml:space="preserve"> at the receiver?</w:t>
      </w:r>
    </w:p>
    <w:p w14:paraId="3B3664CC" w14:textId="77777777" w:rsidR="00DE3305" w:rsidRDefault="00DE3305" w:rsidP="00DE3305">
      <w:pPr>
        <w:rPr>
          <w:b/>
          <w:sz w:val="24"/>
        </w:rPr>
      </w:pPr>
    </w:p>
    <w:p w14:paraId="30C5C7E4" w14:textId="628936BF" w:rsidR="00DE3305" w:rsidRDefault="00DE3305" w:rsidP="00DE3305">
      <w:pPr>
        <w:rPr>
          <w:b/>
          <w:sz w:val="24"/>
        </w:rPr>
      </w:pPr>
      <w:r>
        <w:rPr>
          <w:b/>
          <w:sz w:val="24"/>
        </w:rPr>
        <w:t>Proposed Change</w:t>
      </w:r>
      <w:r w:rsidR="00C83395">
        <w:rPr>
          <w:b/>
          <w:sz w:val="24"/>
        </w:rPr>
        <w:t xml:space="preserve"> 2035</w:t>
      </w:r>
      <w:r w:rsidR="00246C63">
        <w:rPr>
          <w:b/>
          <w:sz w:val="24"/>
        </w:rPr>
        <w:t>: —</w:t>
      </w:r>
    </w:p>
    <w:p w14:paraId="2E92513E" w14:textId="77777777" w:rsidR="00246C63" w:rsidRDefault="00246C63" w:rsidP="00DE3305">
      <w:pPr>
        <w:rPr>
          <w:b/>
          <w:sz w:val="24"/>
        </w:rPr>
      </w:pPr>
    </w:p>
    <w:p w14:paraId="3E438214" w14:textId="258E415E" w:rsidR="00DE3305" w:rsidRDefault="00DE3305" w:rsidP="00DE3305">
      <w:pPr>
        <w:rPr>
          <w:b/>
          <w:sz w:val="24"/>
        </w:rPr>
      </w:pPr>
      <w:r>
        <w:rPr>
          <w:b/>
          <w:sz w:val="24"/>
        </w:rPr>
        <w:t>Comments</w:t>
      </w:r>
      <w:r w:rsidR="009E2528">
        <w:rPr>
          <w:b/>
          <w:sz w:val="24"/>
        </w:rPr>
        <w:t xml:space="preserve">: </w:t>
      </w:r>
      <w:r w:rsidR="009E2528" w:rsidRPr="009E2528">
        <w:rPr>
          <w:sz w:val="24"/>
        </w:rPr>
        <w:t xml:space="preserve">It would be clearer if the decision were made by a more a </w:t>
      </w:r>
      <w:r w:rsidR="00A6285A" w:rsidRPr="009E2528">
        <w:rPr>
          <w:sz w:val="24"/>
        </w:rPr>
        <w:t>step-by-step</w:t>
      </w:r>
      <w:r w:rsidR="009E2528" w:rsidRPr="009E2528">
        <w:rPr>
          <w:sz w:val="24"/>
        </w:rPr>
        <w:t xml:space="preserve"> algorithm</w:t>
      </w:r>
      <w:r w:rsidR="00A6285A">
        <w:rPr>
          <w:sz w:val="24"/>
        </w:rPr>
        <w:t>ic</w:t>
      </w:r>
      <w:r w:rsidR="009E2528" w:rsidRPr="009E2528">
        <w:rPr>
          <w:sz w:val="24"/>
        </w:rPr>
        <w:t xml:space="preserve"> procedure.</w:t>
      </w:r>
    </w:p>
    <w:p w14:paraId="6051B49E" w14:textId="77777777" w:rsidR="009E2528" w:rsidRDefault="009E2528" w:rsidP="00DE3305">
      <w:pPr>
        <w:rPr>
          <w:b/>
          <w:sz w:val="24"/>
        </w:rPr>
      </w:pPr>
    </w:p>
    <w:p w14:paraId="3EE208D7" w14:textId="2A666A91" w:rsidR="00DE3305" w:rsidRPr="00C83395" w:rsidRDefault="00DE3305" w:rsidP="00DE3305">
      <w:pPr>
        <w:rPr>
          <w:sz w:val="24"/>
        </w:rPr>
      </w:pPr>
      <w:r>
        <w:rPr>
          <w:b/>
          <w:sz w:val="24"/>
        </w:rPr>
        <w:t>Resolution</w:t>
      </w:r>
      <w:r w:rsidR="00C83395">
        <w:rPr>
          <w:b/>
          <w:sz w:val="24"/>
        </w:rPr>
        <w:t xml:space="preserve">: </w:t>
      </w:r>
      <w:r w:rsidR="00C83395" w:rsidRPr="00C83395">
        <w:rPr>
          <w:sz w:val="24"/>
        </w:rPr>
        <w:t>Revise.</w:t>
      </w:r>
      <w:r w:rsidR="00C83395">
        <w:rPr>
          <w:b/>
          <w:sz w:val="24"/>
        </w:rPr>
        <w:t xml:space="preserve"> </w:t>
      </w:r>
      <w:r w:rsidR="00C83395" w:rsidRPr="00C83395">
        <w:rPr>
          <w:sz w:val="24"/>
        </w:rPr>
        <w:t xml:space="preserve">Replace the inserted text in clause 5.1.4 with new inserted text give in </w:t>
      </w:r>
      <w:r w:rsidR="009E2528">
        <w:rPr>
          <w:sz w:val="24"/>
        </w:rPr>
        <w:t xml:space="preserve">the “Format Determination” </w:t>
      </w:r>
      <w:r w:rsidR="00C83395" w:rsidRPr="00C83395">
        <w:rPr>
          <w:sz w:val="24"/>
        </w:rPr>
        <w:t>Section</w:t>
      </w:r>
      <w:r w:rsidR="00C83395">
        <w:rPr>
          <w:sz w:val="24"/>
        </w:rPr>
        <w:t xml:space="preserve"> </w:t>
      </w:r>
      <w:r w:rsidR="009802BE">
        <w:rPr>
          <w:sz w:val="24"/>
        </w:rPr>
        <w:t>of 11-17/1117r1</w:t>
      </w:r>
      <w:r w:rsidR="009E2528">
        <w:rPr>
          <w:sz w:val="24"/>
        </w:rPr>
        <w:t>.</w:t>
      </w:r>
    </w:p>
    <w:p w14:paraId="0079F634" w14:textId="77777777" w:rsidR="00DE3305" w:rsidRDefault="00DE3305"/>
    <w:p w14:paraId="5EA90C2F" w14:textId="77777777" w:rsidR="007132E8" w:rsidRDefault="007132E8">
      <w:pPr>
        <w:rPr>
          <w:rFonts w:ascii="Arial" w:hAnsi="Arial"/>
          <w:b/>
          <w:sz w:val="32"/>
          <w:u w:val="single"/>
        </w:rPr>
      </w:pPr>
      <w:r>
        <w:br w:type="page"/>
      </w:r>
    </w:p>
    <w:p w14:paraId="61E6D10D" w14:textId="500804B2" w:rsidR="00D54177" w:rsidRDefault="00D54177" w:rsidP="00D54177">
      <w:pPr>
        <w:pStyle w:val="Heading1"/>
      </w:pPr>
      <w:bookmarkStart w:id="5" w:name="_Toc361384470"/>
      <w:r>
        <w:lastRenderedPageBreak/>
        <w:t>GLK Capabilities Changes</w:t>
      </w:r>
      <w:bookmarkEnd w:id="5"/>
    </w:p>
    <w:p w14:paraId="5FED9919" w14:textId="77777777" w:rsidR="009C6A97" w:rsidRDefault="009C6A97" w:rsidP="009C6A97"/>
    <w:p w14:paraId="3699BA0D" w14:textId="2002375B" w:rsidR="00A84D83" w:rsidRDefault="00A84D83" w:rsidP="009C6A97">
      <w:r>
        <w:t xml:space="preserve">Make the following </w:t>
      </w:r>
      <w:r w:rsidR="00B014AA">
        <w:t xml:space="preserve">ten </w:t>
      </w:r>
      <w:r>
        <w:t>changes to the 802.11ak draft:</w:t>
      </w:r>
    </w:p>
    <w:p w14:paraId="4283677A" w14:textId="37CD3F95" w:rsidR="00A84D83" w:rsidRDefault="00A84D83" w:rsidP="00A84D83">
      <w:pPr>
        <w:pStyle w:val="ListParagraph"/>
        <w:numPr>
          <w:ilvl w:val="0"/>
          <w:numId w:val="1"/>
        </w:numPr>
      </w:pPr>
      <w:r>
        <w:t>Delete all changes to clause 6.3.3.3 (</w:t>
      </w:r>
      <w:r w:rsidRPr="00A84D83">
        <w:t>MLME-</w:t>
      </w:r>
      <w:proofErr w:type="spellStart"/>
      <w:r w:rsidRPr="00A84D83">
        <w:t>SCAN.confirm</w:t>
      </w:r>
      <w:proofErr w:type="spellEnd"/>
      <w:r>
        <w:t>).</w:t>
      </w:r>
    </w:p>
    <w:p w14:paraId="7DC7DC8A" w14:textId="582FAD05" w:rsidR="00A84D83" w:rsidRDefault="00A84D83" w:rsidP="00A84D83">
      <w:pPr>
        <w:pStyle w:val="ListParagraph"/>
        <w:numPr>
          <w:ilvl w:val="0"/>
          <w:numId w:val="1"/>
        </w:numPr>
      </w:pPr>
      <w:r>
        <w:t>Delete GLK Capabilities from the parameter list and the accompanying table in clauses</w:t>
      </w:r>
      <w:r>
        <w:br/>
        <w:t>6.3.7.2.2 (</w:t>
      </w:r>
      <w:r w:rsidRPr="00A84D83">
        <w:t>Semantics of the service primitive</w:t>
      </w:r>
      <w:r>
        <w:t>)</w:t>
      </w:r>
      <w:r>
        <w:br/>
      </w:r>
      <w:r w:rsidRPr="00A84D83">
        <w:t xml:space="preserve">6.3.7.3.2 </w:t>
      </w:r>
      <w:r>
        <w:t>(</w:t>
      </w:r>
      <w:r w:rsidRPr="00A84D83">
        <w:t>Semantics of the service primitive</w:t>
      </w:r>
      <w:r>
        <w:t>)</w:t>
      </w:r>
      <w:r>
        <w:br/>
        <w:t>6</w:t>
      </w:r>
      <w:r w:rsidRPr="00A84D83">
        <w:t xml:space="preserve">.3.7.4.2 </w:t>
      </w:r>
      <w:r>
        <w:t>(</w:t>
      </w:r>
      <w:r w:rsidRPr="00A84D83">
        <w:t>Semantics of the service primitive</w:t>
      </w:r>
      <w:r>
        <w:t>)</w:t>
      </w:r>
      <w:r w:rsidR="00833341">
        <w:br/>
      </w:r>
      <w:r w:rsidR="00833341" w:rsidRPr="00833341">
        <w:t xml:space="preserve">6.3.7.5.2 </w:t>
      </w:r>
      <w:r w:rsidR="00833341">
        <w:t>(</w:t>
      </w:r>
      <w:r w:rsidR="00833341" w:rsidRPr="00833341">
        <w:t>Semantics of the service primitive</w:t>
      </w:r>
      <w:r w:rsidR="00833341">
        <w:t>)</w:t>
      </w:r>
      <w:r w:rsidR="00833341">
        <w:br/>
      </w:r>
      <w:r w:rsidR="00833341" w:rsidRPr="00833341">
        <w:t xml:space="preserve">6.3.8.2.2 </w:t>
      </w:r>
      <w:r w:rsidR="00833341">
        <w:t>(</w:t>
      </w:r>
      <w:r w:rsidR="00833341" w:rsidRPr="00833341">
        <w:t>Semantics of the service primitive</w:t>
      </w:r>
      <w:r w:rsidR="00833341">
        <w:t>)</w:t>
      </w:r>
      <w:r w:rsidR="00833341">
        <w:br/>
      </w:r>
      <w:r w:rsidR="00833341" w:rsidRPr="00833341">
        <w:t xml:space="preserve">6.3.8.3.2 </w:t>
      </w:r>
      <w:r w:rsidR="00833341">
        <w:t>(</w:t>
      </w:r>
      <w:r w:rsidR="00833341" w:rsidRPr="00833341">
        <w:t>Semantics of the service primitive</w:t>
      </w:r>
      <w:r w:rsidR="00833341">
        <w:t>)</w:t>
      </w:r>
      <w:r w:rsidR="00833341">
        <w:br/>
      </w:r>
      <w:r w:rsidR="00833341" w:rsidRPr="00833341">
        <w:t xml:space="preserve">6.3.8.4.2 </w:t>
      </w:r>
      <w:r w:rsidR="00833341">
        <w:t>(</w:t>
      </w:r>
      <w:r w:rsidR="00833341" w:rsidRPr="00833341">
        <w:t>Semantics of the service primitive</w:t>
      </w:r>
      <w:r w:rsidR="00833341">
        <w:t>)</w:t>
      </w:r>
      <w:r w:rsidR="00833341">
        <w:br/>
      </w:r>
      <w:r w:rsidR="00833341" w:rsidRPr="00833341">
        <w:t xml:space="preserve">6.3.8.5.2 </w:t>
      </w:r>
      <w:r w:rsidR="00833341">
        <w:t>(</w:t>
      </w:r>
      <w:r w:rsidR="00833341" w:rsidRPr="00833341">
        <w:t>Semantics of the service primitive</w:t>
      </w:r>
      <w:r w:rsidR="00833341">
        <w:t>)</w:t>
      </w:r>
    </w:p>
    <w:p w14:paraId="380D88D6" w14:textId="04084650" w:rsidR="00833341" w:rsidRDefault="00833341" w:rsidP="00A84D83">
      <w:pPr>
        <w:pStyle w:val="ListParagraph"/>
        <w:numPr>
          <w:ilvl w:val="0"/>
          <w:numId w:val="1"/>
        </w:numPr>
      </w:pPr>
      <w:r>
        <w:t xml:space="preserve">Delete all changes to </w:t>
      </w:r>
      <w:r w:rsidR="0081275C">
        <w:t xml:space="preserve">the following </w:t>
      </w:r>
      <w:r>
        <w:t>clause</w:t>
      </w:r>
      <w:r w:rsidR="0081275C">
        <w:t>s:</w:t>
      </w:r>
      <w:r w:rsidR="0081275C">
        <w:br/>
      </w:r>
      <w:r w:rsidRPr="00833341">
        <w:t xml:space="preserve">6.3.11 </w:t>
      </w:r>
      <w:r>
        <w:t>(</w:t>
      </w:r>
      <w:r w:rsidRPr="00833341">
        <w:t>Start</w:t>
      </w:r>
      <w:r>
        <w:t>)</w:t>
      </w:r>
      <w:r w:rsidR="0081275C">
        <w:br/>
      </w:r>
      <w:r w:rsidR="00A6353E" w:rsidRPr="00A6353E">
        <w:t xml:space="preserve">6.3.27 </w:t>
      </w:r>
      <w:r w:rsidR="00A6353E">
        <w:t>(</w:t>
      </w:r>
      <w:r w:rsidR="00A6353E" w:rsidRPr="00A6353E">
        <w:t>Management of direct links</w:t>
      </w:r>
      <w:r w:rsidR="00A6353E">
        <w:t>)</w:t>
      </w:r>
      <w:r w:rsidR="0081275C">
        <w:br/>
      </w:r>
      <w:r w:rsidR="0081275C" w:rsidRPr="0081275C">
        <w:t xml:space="preserve">9.3.3.3 </w:t>
      </w:r>
      <w:r w:rsidR="0081275C">
        <w:t>(</w:t>
      </w:r>
      <w:r w:rsidR="0081275C" w:rsidRPr="0081275C">
        <w:t>Beacon frame format</w:t>
      </w:r>
      <w:r w:rsidR="0081275C">
        <w:t>)</w:t>
      </w:r>
    </w:p>
    <w:p w14:paraId="4C7E18FE" w14:textId="20AFC6BB" w:rsidR="002A1176" w:rsidRDefault="002A1176" w:rsidP="00A84D83">
      <w:pPr>
        <w:pStyle w:val="ListParagraph"/>
        <w:numPr>
          <w:ilvl w:val="0"/>
          <w:numId w:val="1"/>
        </w:numPr>
      </w:pPr>
      <w:r>
        <w:t>Delete GLK Capabilities from the table of inserted rows in following clauses:</w:t>
      </w:r>
      <w:r>
        <w:br/>
      </w:r>
      <w:r w:rsidRPr="002A1176">
        <w:t xml:space="preserve">9.3.3.6 </w:t>
      </w:r>
      <w:r>
        <w:t>(</w:t>
      </w:r>
      <w:r w:rsidRPr="002A1176">
        <w:t>Association Request frame format</w:t>
      </w:r>
      <w:r>
        <w:t>)</w:t>
      </w:r>
      <w:r>
        <w:br/>
      </w:r>
      <w:r w:rsidRPr="002A1176">
        <w:t xml:space="preserve">9.3.3.7 </w:t>
      </w:r>
      <w:r w:rsidR="00EA638D">
        <w:t>(</w:t>
      </w:r>
      <w:r w:rsidRPr="002A1176">
        <w:t>Association Response frame format</w:t>
      </w:r>
      <w:r w:rsidR="00EA638D">
        <w:t>)</w:t>
      </w:r>
      <w:r w:rsidR="00EA638D">
        <w:br/>
      </w:r>
      <w:r w:rsidR="00EA638D" w:rsidRPr="00EA638D">
        <w:t xml:space="preserve">9.3.3.8 </w:t>
      </w:r>
      <w:r w:rsidR="00EA638D">
        <w:t>(</w:t>
      </w:r>
      <w:proofErr w:type="spellStart"/>
      <w:r w:rsidR="00EA638D" w:rsidRPr="00EA638D">
        <w:t>Reassociation</w:t>
      </w:r>
      <w:proofErr w:type="spellEnd"/>
      <w:r w:rsidR="00EA638D" w:rsidRPr="00EA638D">
        <w:t xml:space="preserve"> Request frame format</w:t>
      </w:r>
      <w:r w:rsidR="00EA638D">
        <w:t>)</w:t>
      </w:r>
      <w:r w:rsidR="00EA638D">
        <w:br/>
      </w:r>
      <w:r w:rsidR="00EA638D" w:rsidRPr="00EA638D">
        <w:t xml:space="preserve">9.3.3.9 </w:t>
      </w:r>
      <w:r w:rsidR="00EA638D">
        <w:t>(</w:t>
      </w:r>
      <w:proofErr w:type="spellStart"/>
      <w:r w:rsidR="00EA638D" w:rsidRPr="00EA638D">
        <w:t>Reassociation</w:t>
      </w:r>
      <w:proofErr w:type="spellEnd"/>
      <w:r w:rsidR="00EA638D" w:rsidRPr="00EA638D">
        <w:t xml:space="preserve"> Response frame format</w:t>
      </w:r>
      <w:r w:rsidR="00EA638D">
        <w:t>)</w:t>
      </w:r>
    </w:p>
    <w:p w14:paraId="1267B87F" w14:textId="5D0B2345" w:rsidR="00EA638D" w:rsidRDefault="00EA638D" w:rsidP="00A84D83">
      <w:pPr>
        <w:pStyle w:val="ListParagraph"/>
        <w:numPr>
          <w:ilvl w:val="0"/>
          <w:numId w:val="1"/>
        </w:numPr>
      </w:pPr>
      <w:r>
        <w:t>Delete all changes to the following clauses:</w:t>
      </w:r>
      <w:r>
        <w:br/>
      </w:r>
      <w:r w:rsidRPr="00EA638D">
        <w:t xml:space="preserve">9.3.3.10 </w:t>
      </w:r>
      <w:r>
        <w:t>(</w:t>
      </w:r>
      <w:r w:rsidRPr="00EA638D">
        <w:t>Probe Request frame format</w:t>
      </w:r>
      <w:r>
        <w:t>)</w:t>
      </w:r>
      <w:r>
        <w:br/>
      </w:r>
      <w:r w:rsidRPr="00EA638D">
        <w:t xml:space="preserve">9.3.3.11 </w:t>
      </w:r>
      <w:r>
        <w:t>(</w:t>
      </w:r>
      <w:r w:rsidRPr="00EA638D">
        <w:t>Probe Response frame format</w:t>
      </w:r>
      <w:r>
        <w:t>)</w:t>
      </w:r>
      <w:r>
        <w:br/>
      </w:r>
      <w:r w:rsidRPr="00EA638D">
        <w:t xml:space="preserve">9.3.4.2 </w:t>
      </w:r>
      <w:r>
        <w:t>(</w:t>
      </w:r>
      <w:r w:rsidRPr="00EA638D">
        <w:t>DMG Beacon</w:t>
      </w:r>
      <w:r>
        <w:t>)</w:t>
      </w:r>
    </w:p>
    <w:p w14:paraId="0F54F47F" w14:textId="196A3A57" w:rsidR="00EA638D" w:rsidRDefault="00EA638D" w:rsidP="00A84D83">
      <w:pPr>
        <w:pStyle w:val="ListParagraph"/>
        <w:numPr>
          <w:ilvl w:val="0"/>
          <w:numId w:val="1"/>
        </w:numPr>
      </w:pPr>
      <w:r>
        <w:t xml:space="preserve">In clause </w:t>
      </w:r>
      <w:r w:rsidRPr="00EA638D">
        <w:t xml:space="preserve">9.4.2.1 </w:t>
      </w:r>
      <w:r>
        <w:t>(</w:t>
      </w:r>
      <w:r w:rsidRPr="00EA638D">
        <w:t>General</w:t>
      </w:r>
      <w:r>
        <w:t>) delete the “GLK Capabilities” element.</w:t>
      </w:r>
    </w:p>
    <w:p w14:paraId="4AE2509E" w14:textId="77777777" w:rsidR="004C6FAA" w:rsidRDefault="004C6FAA" w:rsidP="00A84D83">
      <w:pPr>
        <w:pStyle w:val="ListParagraph"/>
        <w:numPr>
          <w:ilvl w:val="0"/>
          <w:numId w:val="1"/>
        </w:numPr>
      </w:pPr>
      <w:r>
        <w:t xml:space="preserve">In clause </w:t>
      </w:r>
      <w:r w:rsidRPr="004C6FAA">
        <w:t xml:space="preserve">9.4.2.27 </w:t>
      </w:r>
      <w:r>
        <w:t>(</w:t>
      </w:r>
      <w:r w:rsidRPr="004C6FAA">
        <w:t>Extended Capabilities element</w:t>
      </w:r>
      <w:r>
        <w:t>) change the entries for bits 1 and 3 as follows:</w:t>
      </w:r>
      <w:r>
        <w:br/>
      </w:r>
    </w:p>
    <w:tbl>
      <w:tblPr>
        <w:tblW w:w="9240" w:type="dxa"/>
        <w:tblInd w:w="93" w:type="dxa"/>
        <w:tblLook w:val="04A0" w:firstRow="1" w:lastRow="0" w:firstColumn="1" w:lastColumn="0" w:noHBand="0" w:noVBand="1"/>
      </w:tblPr>
      <w:tblGrid>
        <w:gridCol w:w="660"/>
        <w:gridCol w:w="1040"/>
        <w:gridCol w:w="1620"/>
        <w:gridCol w:w="5240"/>
        <w:gridCol w:w="680"/>
      </w:tblGrid>
      <w:tr w:rsidR="004C6FAA" w:rsidRPr="005178D6" w14:paraId="77C38E5A" w14:textId="77777777" w:rsidTr="004C6FAA">
        <w:trPr>
          <w:trHeight w:val="332"/>
        </w:trPr>
        <w:tc>
          <w:tcPr>
            <w:tcW w:w="660" w:type="dxa"/>
            <w:tcBorders>
              <w:top w:val="nil"/>
              <w:left w:val="nil"/>
              <w:bottom w:val="nil"/>
              <w:right w:val="nil"/>
            </w:tcBorders>
            <w:shd w:val="clear" w:color="auto" w:fill="auto"/>
            <w:noWrap/>
            <w:vAlign w:val="bottom"/>
          </w:tcPr>
          <w:p w14:paraId="673B93F0" w14:textId="77777777" w:rsidR="004C6FAA" w:rsidRPr="005178D6" w:rsidRDefault="004C6FAA" w:rsidP="004C6FAA">
            <w:pPr>
              <w:rPr>
                <w:rFonts w:ascii="Calibri" w:hAnsi="Calibri"/>
                <w:color w:val="000000"/>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tcPr>
          <w:p w14:paraId="73A75685" w14:textId="4487B5ED" w:rsidR="004C6FAA" w:rsidRDefault="004C6FAA" w:rsidP="004C6FAA">
            <w:pPr>
              <w:jc w:val="center"/>
              <w:rPr>
                <w:rFonts w:ascii="Calibri" w:hAnsi="Calibri"/>
                <w:color w:val="000000"/>
              </w:rPr>
            </w:pPr>
            <w:r>
              <w:rPr>
                <w:b/>
                <w:color w:val="000000"/>
              </w:rPr>
              <w:t>Bit</w:t>
            </w:r>
          </w:p>
        </w:tc>
        <w:tc>
          <w:tcPr>
            <w:tcW w:w="1620" w:type="dxa"/>
            <w:tcBorders>
              <w:top w:val="single" w:sz="4" w:space="0" w:color="auto"/>
              <w:left w:val="nil"/>
              <w:bottom w:val="single" w:sz="4" w:space="0" w:color="auto"/>
              <w:right w:val="single" w:sz="4" w:space="0" w:color="auto"/>
            </w:tcBorders>
            <w:shd w:val="clear" w:color="auto" w:fill="auto"/>
          </w:tcPr>
          <w:p w14:paraId="75AF2194" w14:textId="77777777" w:rsidR="004C6FAA" w:rsidRPr="005178D6" w:rsidRDefault="004C6FAA" w:rsidP="004C6FAA">
            <w:pPr>
              <w:jc w:val="center"/>
              <w:rPr>
                <w:color w:val="000000"/>
                <w:szCs w:val="22"/>
              </w:rPr>
            </w:pPr>
            <w:r w:rsidRPr="000C794A">
              <w:rPr>
                <w:b/>
                <w:color w:val="000000"/>
                <w:szCs w:val="22"/>
              </w:rPr>
              <w:t>Information</w:t>
            </w:r>
          </w:p>
        </w:tc>
        <w:tc>
          <w:tcPr>
            <w:tcW w:w="5240" w:type="dxa"/>
            <w:tcBorders>
              <w:top w:val="single" w:sz="4" w:space="0" w:color="auto"/>
              <w:left w:val="nil"/>
              <w:bottom w:val="single" w:sz="4" w:space="0" w:color="auto"/>
              <w:right w:val="single" w:sz="4" w:space="0" w:color="auto"/>
            </w:tcBorders>
            <w:shd w:val="clear" w:color="auto" w:fill="auto"/>
          </w:tcPr>
          <w:p w14:paraId="5AA80EF2" w14:textId="77777777" w:rsidR="004C6FAA" w:rsidRPr="005178D6" w:rsidRDefault="004C6FAA" w:rsidP="004C6FAA">
            <w:pPr>
              <w:jc w:val="center"/>
              <w:rPr>
                <w:color w:val="000000"/>
                <w:szCs w:val="22"/>
              </w:rPr>
            </w:pPr>
            <w:r w:rsidRPr="000C794A">
              <w:rPr>
                <w:b/>
                <w:color w:val="000000"/>
                <w:szCs w:val="22"/>
              </w:rPr>
              <w:t>Notes</w:t>
            </w:r>
          </w:p>
        </w:tc>
        <w:tc>
          <w:tcPr>
            <w:tcW w:w="680" w:type="dxa"/>
            <w:tcBorders>
              <w:top w:val="nil"/>
              <w:left w:val="nil"/>
              <w:bottom w:val="nil"/>
              <w:right w:val="nil"/>
            </w:tcBorders>
            <w:shd w:val="clear" w:color="auto" w:fill="auto"/>
            <w:noWrap/>
            <w:vAlign w:val="bottom"/>
          </w:tcPr>
          <w:p w14:paraId="7C522E34" w14:textId="77777777" w:rsidR="004C6FAA" w:rsidRPr="005178D6" w:rsidRDefault="004C6FAA" w:rsidP="004C6FAA">
            <w:pPr>
              <w:rPr>
                <w:rFonts w:ascii="Calibri" w:hAnsi="Calibri"/>
                <w:color w:val="000000"/>
              </w:rPr>
            </w:pPr>
          </w:p>
        </w:tc>
      </w:tr>
      <w:tr w:rsidR="004C6FAA" w:rsidRPr="005178D6" w14:paraId="083FD64E" w14:textId="77777777" w:rsidTr="004C6FAA">
        <w:trPr>
          <w:trHeight w:val="520"/>
        </w:trPr>
        <w:tc>
          <w:tcPr>
            <w:tcW w:w="660" w:type="dxa"/>
            <w:tcBorders>
              <w:top w:val="nil"/>
              <w:left w:val="nil"/>
              <w:bottom w:val="nil"/>
              <w:right w:val="nil"/>
            </w:tcBorders>
            <w:shd w:val="clear" w:color="auto" w:fill="auto"/>
            <w:noWrap/>
            <w:vAlign w:val="bottom"/>
            <w:hideMark/>
          </w:tcPr>
          <w:p w14:paraId="24391080" w14:textId="77777777" w:rsidR="004C6FAA" w:rsidRPr="005178D6" w:rsidRDefault="004C6FAA" w:rsidP="004C6FAA">
            <w:pPr>
              <w:rPr>
                <w:rFonts w:ascii="Calibri" w:hAnsi="Calibri"/>
                <w:color w:val="000000"/>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3C3AD771" w14:textId="3373F239" w:rsidR="004C6FAA" w:rsidRPr="000C794A" w:rsidRDefault="004C6FAA" w:rsidP="004C6FAA">
            <w:pPr>
              <w:jc w:val="right"/>
              <w:rPr>
                <w:color w:val="000000"/>
              </w:rPr>
            </w:pPr>
            <w:r>
              <w:rPr>
                <w:color w:val="000000"/>
              </w:rPr>
              <w:t>1</w:t>
            </w:r>
          </w:p>
        </w:tc>
        <w:tc>
          <w:tcPr>
            <w:tcW w:w="1620" w:type="dxa"/>
            <w:tcBorders>
              <w:top w:val="single" w:sz="4" w:space="0" w:color="auto"/>
              <w:left w:val="nil"/>
              <w:bottom w:val="single" w:sz="4" w:space="0" w:color="auto"/>
              <w:right w:val="single" w:sz="4" w:space="0" w:color="auto"/>
            </w:tcBorders>
            <w:shd w:val="clear" w:color="auto" w:fill="auto"/>
            <w:hideMark/>
          </w:tcPr>
          <w:p w14:paraId="3867D4D4" w14:textId="0FD2137A" w:rsidR="004C6FAA" w:rsidRPr="005178D6" w:rsidRDefault="004C6FAA" w:rsidP="004C6FAA">
            <w:pPr>
              <w:rPr>
                <w:color w:val="000000"/>
                <w:szCs w:val="22"/>
              </w:rPr>
            </w:pPr>
            <w:r w:rsidRPr="005178D6">
              <w:rPr>
                <w:color w:val="000000"/>
                <w:szCs w:val="22"/>
              </w:rPr>
              <w:t xml:space="preserve">GLK </w:t>
            </w:r>
          </w:p>
        </w:tc>
        <w:tc>
          <w:tcPr>
            <w:tcW w:w="5240" w:type="dxa"/>
            <w:tcBorders>
              <w:top w:val="single" w:sz="4" w:space="0" w:color="auto"/>
              <w:left w:val="nil"/>
              <w:bottom w:val="single" w:sz="4" w:space="0" w:color="auto"/>
              <w:right w:val="single" w:sz="4" w:space="0" w:color="auto"/>
            </w:tcBorders>
            <w:shd w:val="clear" w:color="auto" w:fill="auto"/>
            <w:hideMark/>
          </w:tcPr>
          <w:p w14:paraId="025CAD80" w14:textId="005BE894" w:rsidR="004C6FAA" w:rsidRPr="005178D6" w:rsidRDefault="00D94AC0" w:rsidP="00B014AA">
            <w:pPr>
              <w:rPr>
                <w:color w:val="000000"/>
                <w:szCs w:val="22"/>
              </w:rPr>
            </w:pPr>
            <w:r>
              <w:rPr>
                <w:color w:val="000000"/>
                <w:szCs w:val="22"/>
              </w:rPr>
              <w:t xml:space="preserve">The STA sets the GLK field to 1 if </w:t>
            </w:r>
            <w:r w:rsidR="00B014AA">
              <w:rPr>
                <w:color w:val="000000"/>
                <w:szCs w:val="22"/>
              </w:rPr>
              <w:t>dot11GLKImplemented is true</w:t>
            </w:r>
            <w:r>
              <w:rPr>
                <w:color w:val="000000"/>
                <w:szCs w:val="22"/>
              </w:rPr>
              <w:t xml:space="preserve"> and sets it to 0 otherwise.</w:t>
            </w:r>
          </w:p>
        </w:tc>
        <w:tc>
          <w:tcPr>
            <w:tcW w:w="680" w:type="dxa"/>
            <w:tcBorders>
              <w:top w:val="nil"/>
              <w:left w:val="nil"/>
              <w:bottom w:val="nil"/>
              <w:right w:val="nil"/>
            </w:tcBorders>
            <w:shd w:val="clear" w:color="auto" w:fill="auto"/>
            <w:noWrap/>
            <w:vAlign w:val="bottom"/>
            <w:hideMark/>
          </w:tcPr>
          <w:p w14:paraId="3878AADE" w14:textId="77777777" w:rsidR="004C6FAA" w:rsidRPr="005178D6" w:rsidRDefault="004C6FAA" w:rsidP="004C6FAA">
            <w:pPr>
              <w:rPr>
                <w:rFonts w:ascii="Calibri" w:hAnsi="Calibri"/>
                <w:color w:val="000000"/>
              </w:rPr>
            </w:pPr>
          </w:p>
        </w:tc>
      </w:tr>
      <w:tr w:rsidR="004C6FAA" w:rsidRPr="005178D6" w14:paraId="0D02ABBA" w14:textId="77777777" w:rsidTr="00B014AA">
        <w:trPr>
          <w:trHeight w:val="845"/>
        </w:trPr>
        <w:tc>
          <w:tcPr>
            <w:tcW w:w="660" w:type="dxa"/>
            <w:tcBorders>
              <w:top w:val="nil"/>
              <w:left w:val="nil"/>
              <w:bottom w:val="nil"/>
              <w:right w:val="nil"/>
            </w:tcBorders>
            <w:shd w:val="clear" w:color="auto" w:fill="auto"/>
            <w:noWrap/>
            <w:vAlign w:val="bottom"/>
          </w:tcPr>
          <w:p w14:paraId="140D15AD" w14:textId="77777777" w:rsidR="004C6FAA" w:rsidRPr="005178D6" w:rsidRDefault="004C6FAA" w:rsidP="004C6FAA">
            <w:pPr>
              <w:rPr>
                <w:rFonts w:ascii="Calibri" w:hAnsi="Calibri"/>
                <w:color w:val="000000"/>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tcPr>
          <w:p w14:paraId="55054F2F" w14:textId="3242C123" w:rsidR="004C6FAA" w:rsidRPr="000C794A" w:rsidRDefault="004C6FAA" w:rsidP="004C6FAA">
            <w:pPr>
              <w:jc w:val="right"/>
              <w:rPr>
                <w:color w:val="000000"/>
              </w:rPr>
            </w:pPr>
            <w:r>
              <w:rPr>
                <w:color w:val="000000"/>
              </w:rPr>
              <w:t>3</w:t>
            </w:r>
          </w:p>
        </w:tc>
        <w:tc>
          <w:tcPr>
            <w:tcW w:w="1620" w:type="dxa"/>
            <w:tcBorders>
              <w:top w:val="single" w:sz="4" w:space="0" w:color="auto"/>
              <w:left w:val="nil"/>
              <w:bottom w:val="single" w:sz="4" w:space="0" w:color="auto"/>
              <w:right w:val="single" w:sz="4" w:space="0" w:color="auto"/>
            </w:tcBorders>
            <w:shd w:val="clear" w:color="auto" w:fill="auto"/>
          </w:tcPr>
          <w:p w14:paraId="47BBA6E6" w14:textId="30E3020A" w:rsidR="004C6FAA" w:rsidRPr="005178D6" w:rsidRDefault="004C6FAA" w:rsidP="004C6FAA">
            <w:pPr>
              <w:rPr>
                <w:color w:val="000000"/>
                <w:szCs w:val="22"/>
              </w:rPr>
            </w:pPr>
            <w:r>
              <w:rPr>
                <w:color w:val="000000"/>
                <w:szCs w:val="22"/>
              </w:rPr>
              <w:t xml:space="preserve">GLK-GCR </w:t>
            </w:r>
          </w:p>
        </w:tc>
        <w:tc>
          <w:tcPr>
            <w:tcW w:w="5240" w:type="dxa"/>
            <w:tcBorders>
              <w:top w:val="single" w:sz="4" w:space="0" w:color="auto"/>
              <w:left w:val="nil"/>
              <w:bottom w:val="single" w:sz="4" w:space="0" w:color="auto"/>
              <w:right w:val="single" w:sz="4" w:space="0" w:color="auto"/>
            </w:tcBorders>
            <w:shd w:val="clear" w:color="auto" w:fill="auto"/>
          </w:tcPr>
          <w:p w14:paraId="04FEA3D2" w14:textId="5E1A1B08" w:rsidR="004C6FAA" w:rsidRPr="005178D6" w:rsidRDefault="00D94AC0" w:rsidP="004C6FAA">
            <w:pPr>
              <w:rPr>
                <w:color w:val="000000"/>
                <w:szCs w:val="22"/>
              </w:rPr>
            </w:pPr>
            <w:r>
              <w:t>The STA sets of GLK-GCR field to 1 if dot11LGKGCRImplemented is true and sets it to 0 otherwise.</w:t>
            </w:r>
          </w:p>
        </w:tc>
        <w:tc>
          <w:tcPr>
            <w:tcW w:w="680" w:type="dxa"/>
            <w:tcBorders>
              <w:top w:val="nil"/>
              <w:left w:val="nil"/>
              <w:bottom w:val="nil"/>
              <w:right w:val="nil"/>
            </w:tcBorders>
            <w:shd w:val="clear" w:color="auto" w:fill="auto"/>
            <w:noWrap/>
            <w:vAlign w:val="bottom"/>
          </w:tcPr>
          <w:p w14:paraId="37DF4FBC" w14:textId="144BE37C" w:rsidR="004C6FAA" w:rsidRPr="005178D6" w:rsidRDefault="004C6FAA" w:rsidP="004C6FAA">
            <w:pPr>
              <w:rPr>
                <w:rFonts w:ascii="Calibri" w:hAnsi="Calibri"/>
                <w:color w:val="000000"/>
              </w:rPr>
            </w:pPr>
            <w:r>
              <w:rPr>
                <w:rFonts w:ascii="Calibri" w:hAnsi="Calibri"/>
                <w:color w:val="000000"/>
              </w:rPr>
              <w:br/>
            </w:r>
            <w:r>
              <w:rPr>
                <w:rFonts w:ascii="Calibri" w:hAnsi="Calibri"/>
                <w:color w:val="000000"/>
              </w:rPr>
              <w:br/>
            </w:r>
            <w:r>
              <w:rPr>
                <w:rFonts w:ascii="Calibri" w:hAnsi="Calibri"/>
                <w:color w:val="000000"/>
              </w:rPr>
              <w:br/>
            </w:r>
          </w:p>
        </w:tc>
      </w:tr>
    </w:tbl>
    <w:p w14:paraId="16A1E7F1" w14:textId="0941DAA2" w:rsidR="004C6FAA" w:rsidRDefault="004C6FAA" w:rsidP="004C6FAA"/>
    <w:p w14:paraId="6520DE39" w14:textId="02B33049" w:rsidR="004C6FAA" w:rsidRDefault="004C6FAA" w:rsidP="00A84D83">
      <w:pPr>
        <w:pStyle w:val="ListParagraph"/>
        <w:numPr>
          <w:ilvl w:val="0"/>
          <w:numId w:val="1"/>
        </w:numPr>
      </w:pPr>
      <w:r>
        <w:t xml:space="preserve">Delete new clause </w:t>
      </w:r>
      <w:r w:rsidRPr="004C6FAA">
        <w:t xml:space="preserve">9.4.2.219 </w:t>
      </w:r>
      <w:r>
        <w:t>(</w:t>
      </w:r>
      <w:r w:rsidRPr="004C6FAA">
        <w:t>GLK Capabilities element</w:t>
      </w:r>
      <w:r>
        <w:t>) and renumber new clause 9.4.2.220 to be 9.4.2.219.</w:t>
      </w:r>
    </w:p>
    <w:p w14:paraId="2A8BF406" w14:textId="0E124270" w:rsidR="00D94AC0" w:rsidRDefault="00D94AC0" w:rsidP="00A84D83">
      <w:pPr>
        <w:pStyle w:val="ListParagraph"/>
        <w:numPr>
          <w:ilvl w:val="0"/>
          <w:numId w:val="1"/>
        </w:numPr>
      </w:pPr>
      <w:r>
        <w:t>Delete all changes to the following clauses:</w:t>
      </w:r>
      <w:r>
        <w:br/>
      </w:r>
      <w:r w:rsidRPr="00D94AC0">
        <w:t xml:space="preserve">9.6.4 DLS </w:t>
      </w:r>
      <w:r>
        <w:t>(</w:t>
      </w:r>
      <w:r w:rsidRPr="00D94AC0">
        <w:t>Action frame details</w:t>
      </w:r>
      <w:r w:rsidR="008644FB">
        <w:t>)</w:t>
      </w:r>
      <w:r w:rsidR="008644FB">
        <w:br/>
      </w:r>
      <w:r w:rsidRPr="00D94AC0">
        <w:t xml:space="preserve">9.6.8 </w:t>
      </w:r>
      <w:r>
        <w:t>(</w:t>
      </w:r>
      <w:r w:rsidRPr="00D94AC0">
        <w:t>Public Action details</w:t>
      </w:r>
      <w:r>
        <w:t>)</w:t>
      </w:r>
      <w:r>
        <w:br/>
        <w:t>9</w:t>
      </w:r>
      <w:r w:rsidRPr="00D94AC0">
        <w:t xml:space="preserve">.6.13 </w:t>
      </w:r>
      <w:r>
        <w:t>(</w:t>
      </w:r>
      <w:r w:rsidRPr="00D94AC0">
        <w:t>TDLS Action field formats</w:t>
      </w:r>
      <w:r>
        <w:t>)</w:t>
      </w:r>
      <w:r w:rsidR="008644FB">
        <w:br/>
      </w:r>
      <w:r w:rsidR="008644FB" w:rsidRPr="008644FB">
        <w:t xml:space="preserve">9.6.16 </w:t>
      </w:r>
      <w:r w:rsidR="008644FB">
        <w:t>(</w:t>
      </w:r>
      <w:r w:rsidR="008644FB" w:rsidRPr="008644FB">
        <w:t>Self-protected Action frame details</w:t>
      </w:r>
      <w:r w:rsidR="008644FB">
        <w:t>)</w:t>
      </w:r>
    </w:p>
    <w:p w14:paraId="41DBD7F9" w14:textId="4CEAB865" w:rsidR="00457D9A" w:rsidRDefault="00457D9A" w:rsidP="00457D9A">
      <w:pPr>
        <w:pStyle w:val="ListParagraph"/>
        <w:numPr>
          <w:ilvl w:val="0"/>
          <w:numId w:val="1"/>
        </w:numPr>
      </w:pPr>
      <w:r>
        <w:t xml:space="preserve">Change the first paragraph of new clause </w:t>
      </w:r>
      <w:r w:rsidRPr="00457D9A">
        <w:t>1</w:t>
      </w:r>
      <w:r>
        <w:t>1</w:t>
      </w:r>
      <w:r w:rsidRPr="00457D9A">
        <w:t xml:space="preserve">.49.1 </w:t>
      </w:r>
      <w:r>
        <w:t>(</w:t>
      </w:r>
      <w:r w:rsidRPr="00457D9A">
        <w:t>General</w:t>
      </w:r>
      <w:r>
        <w:t>) as follows:</w:t>
      </w:r>
      <w:r>
        <w:br/>
        <w:t xml:space="preserve">When dot11GLKImplemented is true, the STA is a GLK STA and dot11QosOptionImplemented shall be true. A STA advertises its GLK capability using the GLK </w:t>
      </w:r>
      <w:r>
        <w:rPr>
          <w:u w:val="single"/>
        </w:rPr>
        <w:t xml:space="preserve">field of the Extended </w:t>
      </w:r>
      <w:r>
        <w:t>Capabilities element (see 9.4.2.</w:t>
      </w:r>
      <w:r w:rsidRPr="00457D9A">
        <w:rPr>
          <w:strike/>
        </w:rPr>
        <w:t>219</w:t>
      </w:r>
      <w:r>
        <w:rPr>
          <w:u w:val="single"/>
        </w:rPr>
        <w:t>27</w:t>
      </w:r>
      <w:r>
        <w:t xml:space="preserve"> (</w:t>
      </w:r>
      <w:r w:rsidRPr="00457D9A">
        <w:rPr>
          <w:strike/>
          <w:u w:val="single"/>
        </w:rPr>
        <w:t>GLK</w:t>
      </w:r>
      <w:r>
        <w:t xml:space="preserve"> </w:t>
      </w:r>
      <w:r w:rsidRPr="00457D9A">
        <w:rPr>
          <w:u w:val="single"/>
        </w:rPr>
        <w:t>Extended</w:t>
      </w:r>
      <w:r>
        <w:t xml:space="preserve"> Capabilities element)). </w:t>
      </w:r>
      <w:proofErr w:type="gramStart"/>
      <w:r>
        <w:t>dot11GLKImplemented</w:t>
      </w:r>
      <w:proofErr w:type="gramEnd"/>
      <w:r>
        <w:t xml:space="preserve"> is true if and only if a STA implements the GLK facility.</w:t>
      </w:r>
    </w:p>
    <w:p w14:paraId="561A9EE0" w14:textId="77777777" w:rsidR="00C83395" w:rsidRDefault="00C83395">
      <w:pPr>
        <w:rPr>
          <w:rFonts w:ascii="Arial" w:hAnsi="Arial"/>
          <w:b/>
          <w:sz w:val="32"/>
          <w:u w:val="single"/>
        </w:rPr>
      </w:pPr>
      <w:r>
        <w:br w:type="page"/>
      </w:r>
    </w:p>
    <w:p w14:paraId="28E213AA" w14:textId="51E4EB10" w:rsidR="00C83395" w:rsidRDefault="00C83395" w:rsidP="00C83395">
      <w:pPr>
        <w:pStyle w:val="Heading1"/>
      </w:pPr>
      <w:bookmarkStart w:id="6" w:name="_Toc361384471"/>
      <w:r>
        <w:lastRenderedPageBreak/>
        <w:t>Format Determination</w:t>
      </w:r>
      <w:bookmarkEnd w:id="6"/>
    </w:p>
    <w:p w14:paraId="4AE3C340" w14:textId="279FC764" w:rsidR="00C83395" w:rsidRDefault="00C83395" w:rsidP="00C83395">
      <w:r>
        <w:t xml:space="preserve">MSDUs are formatted in accordance with LPD as specified in </w:t>
      </w:r>
      <w:proofErr w:type="gramStart"/>
      <w:r>
        <w:t xml:space="preserve">IEEE </w:t>
      </w:r>
      <w:proofErr w:type="spellStart"/>
      <w:r>
        <w:t>Std</w:t>
      </w:r>
      <w:proofErr w:type="spellEnd"/>
      <w:r>
        <w:t xml:space="preserve"> 802-2014</w:t>
      </w:r>
      <w:proofErr w:type="gramEnd"/>
      <w:r>
        <w:t xml:space="preserve"> (Overview and Architecture) </w:t>
      </w:r>
      <w:r w:rsidR="00F7059B">
        <w:t>or with</w:t>
      </w:r>
      <w:r>
        <w:t xml:space="preserve"> EPD </w:t>
      </w:r>
      <w:r w:rsidR="00F7059B">
        <w:t>as determined by the first condition below that is true. After a true condition has been found, subsequent conditions are ignored.</w:t>
      </w:r>
    </w:p>
    <w:p w14:paraId="38A658BE" w14:textId="68AAB561" w:rsidR="00F7059B" w:rsidRDefault="00F7059B" w:rsidP="00F7059B">
      <w:pPr>
        <w:pStyle w:val="ListParagraph"/>
        <w:numPr>
          <w:ilvl w:val="0"/>
          <w:numId w:val="2"/>
        </w:numPr>
      </w:pPr>
      <w:r>
        <w:t>In the 5.9 GHz bands is used (see E.2.3 (5.9 GHz band in the United States (5.850–5.925 GHz)) and E.2.4 (5.9 GHz band in Europe (5.855–5.925 GHz))) use EPD.</w:t>
      </w:r>
    </w:p>
    <w:p w14:paraId="77FD2DAA" w14:textId="0A335F39" w:rsidR="00F7059B" w:rsidRDefault="00F7059B" w:rsidP="00F7059B">
      <w:pPr>
        <w:pStyle w:val="ListParagraph"/>
        <w:numPr>
          <w:ilvl w:val="0"/>
          <w:numId w:val="2"/>
        </w:numPr>
      </w:pPr>
      <w:r>
        <w:t>For OCB communications outside of the 5.9</w:t>
      </w:r>
      <w:r w:rsidR="00C52C45">
        <w:t xml:space="preserve"> </w:t>
      </w:r>
      <w:r>
        <w:t>GHz bands use LPD.</w:t>
      </w:r>
    </w:p>
    <w:p w14:paraId="25C2F46A" w14:textId="2995AC5B" w:rsidR="00F7059B" w:rsidRDefault="00C83395" w:rsidP="00C83395">
      <w:pPr>
        <w:pStyle w:val="ListParagraph"/>
        <w:numPr>
          <w:ilvl w:val="0"/>
          <w:numId w:val="2"/>
        </w:numPr>
      </w:pPr>
      <w:r>
        <w:t>Within Data frames with individually addressed RAs, if both the transmitter and receiver are EPD STAs</w:t>
      </w:r>
      <w:r w:rsidR="00F7059B">
        <w:t xml:space="preserve"> use EPD</w:t>
      </w:r>
      <w:r>
        <w:t>.</w:t>
      </w:r>
    </w:p>
    <w:p w14:paraId="003C9CF1" w14:textId="0ABDFECE" w:rsidR="00F7059B" w:rsidRDefault="00F7059B" w:rsidP="00C83395">
      <w:pPr>
        <w:pStyle w:val="ListParagraph"/>
        <w:numPr>
          <w:ilvl w:val="0"/>
          <w:numId w:val="2"/>
        </w:numPr>
      </w:pPr>
      <w:r>
        <w:t>Within Data frames with individually addressed RAs, if either the transmitter or the receiver are non-EPD STAs, use LPD</w:t>
      </w:r>
    </w:p>
    <w:p w14:paraId="7115B5A5" w14:textId="37516D7F" w:rsidR="00C83395" w:rsidRDefault="00F7059B" w:rsidP="00C83395">
      <w:pPr>
        <w:pStyle w:val="ListParagraph"/>
        <w:numPr>
          <w:ilvl w:val="0"/>
          <w:numId w:val="2"/>
        </w:numPr>
      </w:pPr>
      <w:r>
        <w:t>I</w:t>
      </w:r>
      <w:r w:rsidR="00C83395">
        <w:t>f the transmitter will only associate or peer with an EPD STA as indicated by the presence of the EPD BSS membership selector advertised by the transmitter in the Supported Rates and BSS Membership Selectors element or Extended Supported Rates and BSS Membership Selecto</w:t>
      </w:r>
      <w:r>
        <w:t>rs element, use EPD.</w:t>
      </w:r>
    </w:p>
    <w:p w14:paraId="49E264B9" w14:textId="0D3EE0E8" w:rsidR="00F7059B" w:rsidRDefault="00F7059B" w:rsidP="00C83395">
      <w:pPr>
        <w:pStyle w:val="ListParagraph"/>
        <w:numPr>
          <w:ilvl w:val="0"/>
          <w:numId w:val="2"/>
        </w:numPr>
      </w:pPr>
      <w:r>
        <w:t>For all other cases, use LPD.</w:t>
      </w:r>
    </w:p>
    <w:p w14:paraId="564DDDF3" w14:textId="77777777" w:rsidR="00C83395" w:rsidRPr="00C83395" w:rsidRDefault="00C83395" w:rsidP="00C83395"/>
    <w:sectPr w:rsidR="00C83395" w:rsidRPr="00C83395">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3F7A7" w14:textId="77777777" w:rsidR="009A475F" w:rsidRDefault="009A475F">
      <w:r>
        <w:separator/>
      </w:r>
    </w:p>
  </w:endnote>
  <w:endnote w:type="continuationSeparator" w:id="0">
    <w:p w14:paraId="6F538C60" w14:textId="77777777" w:rsidR="009A475F" w:rsidRDefault="009A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40AE3" w14:textId="21580F34" w:rsidR="009A475F" w:rsidRDefault="009A475F">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E24FE9">
      <w:rPr>
        <w:noProof/>
      </w:rPr>
      <w:t>1</w:t>
    </w:r>
    <w:r>
      <w:fldChar w:fldCharType="end"/>
    </w:r>
    <w:r>
      <w:tab/>
    </w:r>
    <w:fldSimple w:instr=" COMMENTS  \* MERGEFORMAT ">
      <w:r>
        <w:t>July 2017, Huawei Technologies</w:t>
      </w:r>
    </w:fldSimple>
  </w:p>
  <w:p w14:paraId="6332A491" w14:textId="77777777" w:rsidR="009A475F" w:rsidRDefault="009A475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7771B" w14:textId="77777777" w:rsidR="009A475F" w:rsidRDefault="009A475F">
      <w:r>
        <w:separator/>
      </w:r>
    </w:p>
  </w:footnote>
  <w:footnote w:type="continuationSeparator" w:id="0">
    <w:p w14:paraId="625FE211" w14:textId="77777777" w:rsidR="009A475F" w:rsidRDefault="009A47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96D8D" w14:textId="77777777" w:rsidR="009A475F" w:rsidRDefault="009A475F">
    <w:pPr>
      <w:pStyle w:val="Header"/>
      <w:tabs>
        <w:tab w:val="clear" w:pos="6480"/>
        <w:tab w:val="center" w:pos="4680"/>
        <w:tab w:val="right" w:pos="9360"/>
      </w:tabs>
    </w:pPr>
    <w:fldSimple w:instr=" KEYWORDS  \* MERGEFORMAT ">
      <w:r>
        <w:t>July 2017</w:t>
      </w:r>
    </w:fldSimple>
    <w:r>
      <w:tab/>
    </w:r>
    <w:r>
      <w:tab/>
    </w:r>
    <w:fldSimple w:instr=" TITLE  \* MERGEFORMAT ">
      <w:r>
        <w:t>doc.: IEEE 802.11-17/1117r0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F3AC0"/>
    <w:multiLevelType w:val="hybridMultilevel"/>
    <w:tmpl w:val="0C7AE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466CC9"/>
    <w:multiLevelType w:val="hybridMultilevel"/>
    <w:tmpl w:val="BFACDDE8"/>
    <w:lvl w:ilvl="0" w:tplc="1A384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EB5"/>
    <w:rsid w:val="0005411A"/>
    <w:rsid w:val="00122EEA"/>
    <w:rsid w:val="00125F6C"/>
    <w:rsid w:val="00164C79"/>
    <w:rsid w:val="001D723B"/>
    <w:rsid w:val="00246C63"/>
    <w:rsid w:val="0029020B"/>
    <w:rsid w:val="002A1176"/>
    <w:rsid w:val="002D44BE"/>
    <w:rsid w:val="00442037"/>
    <w:rsid w:val="00457D9A"/>
    <w:rsid w:val="004C6FAA"/>
    <w:rsid w:val="004E1A16"/>
    <w:rsid w:val="0062440B"/>
    <w:rsid w:val="00695EB5"/>
    <w:rsid w:val="006C0727"/>
    <w:rsid w:val="006E145F"/>
    <w:rsid w:val="007132E8"/>
    <w:rsid w:val="00732CA1"/>
    <w:rsid w:val="00770572"/>
    <w:rsid w:val="0081275C"/>
    <w:rsid w:val="00833341"/>
    <w:rsid w:val="008644FB"/>
    <w:rsid w:val="009802BE"/>
    <w:rsid w:val="009A475F"/>
    <w:rsid w:val="009C6A97"/>
    <w:rsid w:val="009E2528"/>
    <w:rsid w:val="00A6285A"/>
    <w:rsid w:val="00A6353E"/>
    <w:rsid w:val="00A84D83"/>
    <w:rsid w:val="00AA427C"/>
    <w:rsid w:val="00B014AA"/>
    <w:rsid w:val="00B41CCF"/>
    <w:rsid w:val="00BE68C2"/>
    <w:rsid w:val="00C52C45"/>
    <w:rsid w:val="00C83395"/>
    <w:rsid w:val="00CA09B2"/>
    <w:rsid w:val="00D54177"/>
    <w:rsid w:val="00D94AC0"/>
    <w:rsid w:val="00DC5A7B"/>
    <w:rsid w:val="00DE3305"/>
    <w:rsid w:val="00E24FE9"/>
    <w:rsid w:val="00EA638D"/>
    <w:rsid w:val="00F22B8E"/>
    <w:rsid w:val="00F70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25D2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TOC1">
    <w:name w:val="toc 1"/>
    <w:basedOn w:val="Normal"/>
    <w:next w:val="Normal"/>
    <w:autoRedefine/>
    <w:uiPriority w:val="39"/>
    <w:rsid w:val="00DE3305"/>
  </w:style>
  <w:style w:type="paragraph" w:styleId="TOC2">
    <w:name w:val="toc 2"/>
    <w:basedOn w:val="Normal"/>
    <w:next w:val="Normal"/>
    <w:autoRedefine/>
    <w:rsid w:val="00DE3305"/>
    <w:pPr>
      <w:ind w:left="220"/>
    </w:pPr>
  </w:style>
  <w:style w:type="paragraph" w:styleId="TOC3">
    <w:name w:val="toc 3"/>
    <w:basedOn w:val="Normal"/>
    <w:next w:val="Normal"/>
    <w:autoRedefine/>
    <w:rsid w:val="00DE3305"/>
    <w:pPr>
      <w:ind w:left="440"/>
    </w:pPr>
  </w:style>
  <w:style w:type="paragraph" w:styleId="TOC4">
    <w:name w:val="toc 4"/>
    <w:basedOn w:val="Normal"/>
    <w:next w:val="Normal"/>
    <w:autoRedefine/>
    <w:rsid w:val="00DE3305"/>
    <w:pPr>
      <w:ind w:left="660"/>
    </w:pPr>
  </w:style>
  <w:style w:type="paragraph" w:styleId="TOC5">
    <w:name w:val="toc 5"/>
    <w:basedOn w:val="Normal"/>
    <w:next w:val="Normal"/>
    <w:autoRedefine/>
    <w:rsid w:val="00DE3305"/>
    <w:pPr>
      <w:ind w:left="880"/>
    </w:pPr>
  </w:style>
  <w:style w:type="paragraph" w:styleId="TOC6">
    <w:name w:val="toc 6"/>
    <w:basedOn w:val="Normal"/>
    <w:next w:val="Normal"/>
    <w:autoRedefine/>
    <w:rsid w:val="00DE3305"/>
    <w:pPr>
      <w:ind w:left="1100"/>
    </w:pPr>
  </w:style>
  <w:style w:type="paragraph" w:styleId="TOC7">
    <w:name w:val="toc 7"/>
    <w:basedOn w:val="Normal"/>
    <w:next w:val="Normal"/>
    <w:autoRedefine/>
    <w:rsid w:val="00DE3305"/>
    <w:pPr>
      <w:ind w:left="1320"/>
    </w:pPr>
  </w:style>
  <w:style w:type="paragraph" w:styleId="TOC8">
    <w:name w:val="toc 8"/>
    <w:basedOn w:val="Normal"/>
    <w:next w:val="Normal"/>
    <w:autoRedefine/>
    <w:rsid w:val="00DE3305"/>
    <w:pPr>
      <w:ind w:left="1540"/>
    </w:pPr>
  </w:style>
  <w:style w:type="paragraph" w:styleId="TOC9">
    <w:name w:val="toc 9"/>
    <w:basedOn w:val="Normal"/>
    <w:next w:val="Normal"/>
    <w:autoRedefine/>
    <w:rsid w:val="00DE3305"/>
    <w:pPr>
      <w:ind w:left="1760"/>
    </w:pPr>
  </w:style>
  <w:style w:type="paragraph" w:styleId="ListParagraph">
    <w:name w:val="List Paragraph"/>
    <w:basedOn w:val="Normal"/>
    <w:uiPriority w:val="34"/>
    <w:qFormat/>
    <w:rsid w:val="00A84D8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TOC1">
    <w:name w:val="toc 1"/>
    <w:basedOn w:val="Normal"/>
    <w:next w:val="Normal"/>
    <w:autoRedefine/>
    <w:uiPriority w:val="39"/>
    <w:rsid w:val="00DE3305"/>
  </w:style>
  <w:style w:type="paragraph" w:styleId="TOC2">
    <w:name w:val="toc 2"/>
    <w:basedOn w:val="Normal"/>
    <w:next w:val="Normal"/>
    <w:autoRedefine/>
    <w:rsid w:val="00DE3305"/>
    <w:pPr>
      <w:ind w:left="220"/>
    </w:pPr>
  </w:style>
  <w:style w:type="paragraph" w:styleId="TOC3">
    <w:name w:val="toc 3"/>
    <w:basedOn w:val="Normal"/>
    <w:next w:val="Normal"/>
    <w:autoRedefine/>
    <w:rsid w:val="00DE3305"/>
    <w:pPr>
      <w:ind w:left="440"/>
    </w:pPr>
  </w:style>
  <w:style w:type="paragraph" w:styleId="TOC4">
    <w:name w:val="toc 4"/>
    <w:basedOn w:val="Normal"/>
    <w:next w:val="Normal"/>
    <w:autoRedefine/>
    <w:rsid w:val="00DE3305"/>
    <w:pPr>
      <w:ind w:left="660"/>
    </w:pPr>
  </w:style>
  <w:style w:type="paragraph" w:styleId="TOC5">
    <w:name w:val="toc 5"/>
    <w:basedOn w:val="Normal"/>
    <w:next w:val="Normal"/>
    <w:autoRedefine/>
    <w:rsid w:val="00DE3305"/>
    <w:pPr>
      <w:ind w:left="880"/>
    </w:pPr>
  </w:style>
  <w:style w:type="paragraph" w:styleId="TOC6">
    <w:name w:val="toc 6"/>
    <w:basedOn w:val="Normal"/>
    <w:next w:val="Normal"/>
    <w:autoRedefine/>
    <w:rsid w:val="00DE3305"/>
    <w:pPr>
      <w:ind w:left="1100"/>
    </w:pPr>
  </w:style>
  <w:style w:type="paragraph" w:styleId="TOC7">
    <w:name w:val="toc 7"/>
    <w:basedOn w:val="Normal"/>
    <w:next w:val="Normal"/>
    <w:autoRedefine/>
    <w:rsid w:val="00DE3305"/>
    <w:pPr>
      <w:ind w:left="1320"/>
    </w:pPr>
  </w:style>
  <w:style w:type="paragraph" w:styleId="TOC8">
    <w:name w:val="toc 8"/>
    <w:basedOn w:val="Normal"/>
    <w:next w:val="Normal"/>
    <w:autoRedefine/>
    <w:rsid w:val="00DE3305"/>
    <w:pPr>
      <w:ind w:left="1540"/>
    </w:pPr>
  </w:style>
  <w:style w:type="paragraph" w:styleId="TOC9">
    <w:name w:val="toc 9"/>
    <w:basedOn w:val="Normal"/>
    <w:next w:val="Normal"/>
    <w:autoRedefine/>
    <w:rsid w:val="00DE3305"/>
    <w:pPr>
      <w:ind w:left="1760"/>
    </w:pPr>
  </w:style>
  <w:style w:type="paragraph" w:styleId="ListParagraph">
    <w:name w:val="List Paragraph"/>
    <w:basedOn w:val="Normal"/>
    <w:uiPriority w:val="34"/>
    <w:qFormat/>
    <w:rsid w:val="00A84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1805">
      <w:bodyDiv w:val="1"/>
      <w:marLeft w:val="0"/>
      <w:marRight w:val="0"/>
      <w:marTop w:val="0"/>
      <w:marBottom w:val="0"/>
      <w:divBdr>
        <w:top w:val="none" w:sz="0" w:space="0" w:color="auto"/>
        <w:left w:val="none" w:sz="0" w:space="0" w:color="auto"/>
        <w:bottom w:val="none" w:sz="0" w:space="0" w:color="auto"/>
        <w:right w:val="none" w:sz="0" w:space="0" w:color="auto"/>
      </w:divBdr>
    </w:div>
    <w:div w:id="387455990">
      <w:bodyDiv w:val="1"/>
      <w:marLeft w:val="0"/>
      <w:marRight w:val="0"/>
      <w:marTop w:val="0"/>
      <w:marBottom w:val="0"/>
      <w:divBdr>
        <w:top w:val="none" w:sz="0" w:space="0" w:color="auto"/>
        <w:left w:val="none" w:sz="0" w:space="0" w:color="auto"/>
        <w:bottom w:val="none" w:sz="0" w:space="0" w:color="auto"/>
        <w:right w:val="none" w:sz="0" w:space="0" w:color="auto"/>
      </w:divBdr>
    </w:div>
    <w:div w:id="518541092">
      <w:bodyDiv w:val="1"/>
      <w:marLeft w:val="0"/>
      <w:marRight w:val="0"/>
      <w:marTop w:val="0"/>
      <w:marBottom w:val="0"/>
      <w:divBdr>
        <w:top w:val="none" w:sz="0" w:space="0" w:color="auto"/>
        <w:left w:val="none" w:sz="0" w:space="0" w:color="auto"/>
        <w:bottom w:val="none" w:sz="0" w:space="0" w:color="auto"/>
        <w:right w:val="none" w:sz="0" w:space="0" w:color="auto"/>
      </w:divBdr>
    </w:div>
    <w:div w:id="716127449">
      <w:bodyDiv w:val="1"/>
      <w:marLeft w:val="0"/>
      <w:marRight w:val="0"/>
      <w:marTop w:val="0"/>
      <w:marBottom w:val="0"/>
      <w:divBdr>
        <w:top w:val="none" w:sz="0" w:space="0" w:color="auto"/>
        <w:left w:val="none" w:sz="0" w:space="0" w:color="auto"/>
        <w:bottom w:val="none" w:sz="0" w:space="0" w:color="auto"/>
        <w:right w:val="none" w:sz="0" w:space="0" w:color="auto"/>
      </w:divBdr>
    </w:div>
    <w:div w:id="1002587916">
      <w:bodyDiv w:val="1"/>
      <w:marLeft w:val="0"/>
      <w:marRight w:val="0"/>
      <w:marTop w:val="0"/>
      <w:marBottom w:val="0"/>
      <w:divBdr>
        <w:top w:val="none" w:sz="0" w:space="0" w:color="auto"/>
        <w:left w:val="none" w:sz="0" w:space="0" w:color="auto"/>
        <w:bottom w:val="none" w:sz="0" w:space="0" w:color="auto"/>
        <w:right w:val="none" w:sz="0" w:space="0" w:color="auto"/>
      </w:divBdr>
    </w:div>
    <w:div w:id="1367948100">
      <w:bodyDiv w:val="1"/>
      <w:marLeft w:val="0"/>
      <w:marRight w:val="0"/>
      <w:marTop w:val="0"/>
      <w:marBottom w:val="0"/>
      <w:divBdr>
        <w:top w:val="none" w:sz="0" w:space="0" w:color="auto"/>
        <w:left w:val="none" w:sz="0" w:space="0" w:color="auto"/>
        <w:bottom w:val="none" w:sz="0" w:space="0" w:color="auto"/>
        <w:right w:val="none" w:sz="0" w:space="0" w:color="auto"/>
      </w:divBdr>
    </w:div>
    <w:div w:id="1866748524">
      <w:bodyDiv w:val="1"/>
      <w:marLeft w:val="0"/>
      <w:marRight w:val="0"/>
      <w:marTop w:val="0"/>
      <w:marBottom w:val="0"/>
      <w:divBdr>
        <w:top w:val="none" w:sz="0" w:space="0" w:color="auto"/>
        <w:left w:val="none" w:sz="0" w:space="0" w:color="auto"/>
        <w:bottom w:val="none" w:sz="0" w:space="0" w:color="auto"/>
        <w:right w:val="none" w:sz="0" w:space="0" w:color="auto"/>
      </w:divBdr>
    </w:div>
    <w:div w:id="1898126936">
      <w:bodyDiv w:val="1"/>
      <w:marLeft w:val="0"/>
      <w:marRight w:val="0"/>
      <w:marTop w:val="0"/>
      <w:marBottom w:val="0"/>
      <w:divBdr>
        <w:top w:val="none" w:sz="0" w:space="0" w:color="auto"/>
        <w:left w:val="none" w:sz="0" w:space="0" w:color="auto"/>
        <w:bottom w:val="none" w:sz="0" w:space="0" w:color="auto"/>
        <w:right w:val="none" w:sz="0" w:space="0" w:color="auto"/>
      </w:divBdr>
    </w:div>
    <w:div w:id="201918579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ee3:802: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1108</Words>
  <Characters>5875</Characters>
  <Application>Microsoft Macintosh Word</Application>
  <DocSecurity>0</DocSecurity>
  <Lines>244</Lines>
  <Paragraphs>155</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Huawei Technologies</Company>
  <LinksUpToDate>false</LinksUpToDate>
  <CharactersWithSpaces>6828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802.11-17/1117r0</dc:title>
  <dc:subject>Some Eastlake 11ak SB Comment Resolutions</dc:subject>
  <dc:creator>Donald Eastlake</dc:creator>
  <cp:keywords>July 2017</cp:keywords>
  <dc:description>July 2017, Huawei Technologies</dc:description>
  <cp:lastModifiedBy>Donald Eastlake</cp:lastModifiedBy>
  <cp:revision>2</cp:revision>
  <cp:lastPrinted>1601-01-01T00:00:00Z</cp:lastPrinted>
  <dcterms:created xsi:type="dcterms:W3CDTF">2017-07-11T17:31:00Z</dcterms:created>
  <dcterms:modified xsi:type="dcterms:W3CDTF">2017-07-11T17:31:00Z</dcterms:modified>
  <cp:category/>
</cp:coreProperties>
</file>