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B124D">
              <w:rPr>
                <w:b w:val="0"/>
                <w:noProof/>
                <w:sz w:val="20"/>
              </w:rPr>
              <w:t>2017-07-13</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3D938B27"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r w:rsidR="0073642B">
        <w:rPr>
          <w:lang w:eastAsia="ko-KR"/>
        </w:rPr>
        <w:t>section 4.3.14a</w:t>
      </w:r>
      <w:r w:rsidR="001F6CCF">
        <w:rPr>
          <w:lang w:eastAsia="ko-KR"/>
        </w:rPr>
        <w:t xml:space="preserve"> (80 CIDs)</w:t>
      </w:r>
      <w:r w:rsidR="002614FF">
        <w:rPr>
          <w:lang w:eastAsia="ko-KR"/>
        </w:rPr>
        <w:t xml:space="preserve">: </w:t>
      </w:r>
    </w:p>
    <w:p w14:paraId="28C0E60A" w14:textId="1FDFC60F" w:rsidR="002614FF" w:rsidRPr="00FA4131" w:rsidRDefault="002614FF" w:rsidP="002D508C">
      <w:pPr>
        <w:jc w:val="both"/>
        <w:outlineLvl w:val="0"/>
        <w:rPr>
          <w:highlight w:val="yellow"/>
          <w:lang w:eastAsia="ko-KR"/>
        </w:rPr>
      </w:pPr>
      <w:r>
        <w:rPr>
          <w:lang w:eastAsia="ko-KR"/>
        </w:rPr>
        <w:t xml:space="preserve">CID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w:t>
      </w:r>
      <w:r w:rsidR="00047D56">
        <w:rPr>
          <w:lang w:eastAsia="ko-KR"/>
        </w:rPr>
        <w:t xml:space="preserve">7468, 4714, 10187, 10188, 9249, 5733, 6235, 5425, 6232, 6234, 7293, 7703, 4713, 9246.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The IEEE Std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Make consistant.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75EC457F" w14:textId="04331286" w:rsidR="008C3B3E" w:rsidRDefault="008C3B3E" w:rsidP="007544DB">
            <w:pPr>
              <w:spacing w:after="0" w:line="240" w:lineRule="auto"/>
              <w:rPr>
                <w:rStyle w:val="CommentReference"/>
                <w:sz w:val="18"/>
                <w:szCs w:val="18"/>
              </w:rPr>
            </w:pPr>
            <w:r w:rsidRPr="008C3B3E">
              <w:rPr>
                <w:rStyle w:val="CommentReference"/>
                <w:sz w:val="18"/>
                <w:szCs w:val="18"/>
                <w:highlight w:val="yellow"/>
              </w:rPr>
              <w:t>According to discussion in MAC Ad hoc meeting, an HE STA is also an VHT STA. For 20MHz-only STA, it is also considered VHT STA since it sends VHT Capabilities. But when it associates with a VHT AP, then it shall use OMN to inform the AP that it only supports 20MHz channel bandwidth.</w:t>
            </w:r>
            <w:r>
              <w:rPr>
                <w:rStyle w:val="CommentReference"/>
                <w:sz w:val="18"/>
                <w:szCs w:val="18"/>
              </w:rPr>
              <w:t xml:space="preserve"> </w:t>
            </w:r>
          </w:p>
          <w:p w14:paraId="5CE20061" w14:textId="1D872975" w:rsidR="00BA1A60" w:rsidRPr="00150607" w:rsidRDefault="00BA1A60"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  First cited bullet says an HE non-AP STA supports 20, 40, 80, 160 and 80+80.  But the second cited bullet says an HE non-AP STA shall only support 20.  Is it trying to say that 20MHz is mandatory?  Is so, say so. Or is thhis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VHT STA only optionally supports 160 MHz or 80+80 MHz.  Likewise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relfect intent.  Since the requiremnent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r w:rsidR="00230DD0" w:rsidRPr="00613CF1">
              <w:rPr>
                <w:rStyle w:val="CommentReference"/>
                <w:sz w:val="18"/>
                <w:szCs w:val="18"/>
              </w:rPr>
              <w:t xml:space="preserve">TGax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160 MHz and 80+80 MHz. Add a line to include the optional support for 160 and 80+80 MHz.</w:t>
            </w:r>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assume that 20 MHz is mandatory but wider bandwiths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I'm guessing that tne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so..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Chapter 4 provides a general description of the wireless system..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Chapter 4 provides a general description of the wireless system..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I'm guessing that tne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r w:rsidR="00DD2C2B" w:rsidRPr="00613CF1">
              <w:rPr>
                <w:rStyle w:val="CommentReference"/>
                <w:sz w:val="18"/>
                <w:szCs w:val="18"/>
              </w:rPr>
              <w:t xml:space="preserve">TGax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r w:rsidR="00DD2C2B" w:rsidRPr="00613CF1">
              <w:rPr>
                <w:rStyle w:val="CommentReference"/>
                <w:sz w:val="18"/>
                <w:szCs w:val="18"/>
              </w:rPr>
              <w:t xml:space="preserve">TGax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r w:rsidRPr="00613CF1">
              <w:rPr>
                <w:rStyle w:val="CommentReference"/>
                <w:sz w:val="18"/>
                <w:szCs w:val="18"/>
              </w:rPr>
              <w:lastRenderedPageBreak/>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3450463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r>
              <w:rPr>
                <w:rFonts w:ascii="Calibri" w:eastAsia="Times New Roman" w:hAnsi="Calibri" w:cs="Times New Roman"/>
                <w:color w:val="000000"/>
                <w:sz w:val="18"/>
                <w:szCs w:val="18"/>
              </w:rPr>
              <w:t xml:space="preserve">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0A4EAA8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Here at L38 we see that there is mandatory support required for 160MHz but the features for an VHT STA, as refered to in line 29 have 160 as optional.  Is 160 mandatory for HE?  If so need to state such.  If not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Missing 80+80 in this sentece.</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088E028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r w:rsidR="00D443F0" w:rsidRPr="00613CF1">
              <w:rPr>
                <w:rStyle w:val="CommentReference"/>
                <w:sz w:val="18"/>
                <w:szCs w:val="18"/>
              </w:rPr>
              <w:t xml:space="preserve">TGax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Missing mandagory support Rus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r w:rsidR="00175A1F" w:rsidRPr="00613CF1">
              <w:rPr>
                <w:rStyle w:val="CommentReference"/>
                <w:sz w:val="18"/>
                <w:szCs w:val="18"/>
              </w:rPr>
              <w:t xml:space="preserve">TGax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1E79C69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6ACC0BE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Accepted</w:t>
            </w:r>
            <w:r w:rsidRPr="00AD0380">
              <w:rPr>
                <w:rFonts w:ascii="Calibri" w:eastAsia="Times New Roman" w:hAnsi="Calibri" w:cs="Times New Roman"/>
                <w:color w:val="000000"/>
                <w:sz w:val="18"/>
                <w:szCs w:val="18"/>
                <w:highlight w:val="yellow"/>
              </w:rPr>
              <w:t>.</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30F276B7" w:rsidR="007F5024" w:rsidRPr="007544DB" w:rsidRDefault="007F5024" w:rsidP="00AD038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1526FE61"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Accepted</w:t>
            </w:r>
            <w:r w:rsidRPr="00C0686D">
              <w:rPr>
                <w:rFonts w:ascii="Calibri" w:eastAsia="Times New Roman" w:hAnsi="Calibri" w:cs="Times New Roman"/>
                <w:color w:val="000000"/>
                <w:sz w:val="18"/>
                <w:szCs w:val="18"/>
                <w:highlight w:val="yellow"/>
              </w:rPr>
              <w:t>.</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68A4FACB" w:rsidR="007F5024" w:rsidRPr="007544DB" w:rsidRDefault="007F5024" w:rsidP="00C0686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Deleted the sentence</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"Optional support for 1024-QAM on 242-, 484- and 996-tone Rus"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Pr="00C0686D" w:rsidRDefault="007F5024" w:rsidP="00082EC3">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3A8810D5" w14:textId="77777777" w:rsidR="007F5024" w:rsidRPr="00C0686D" w:rsidRDefault="007F5024" w:rsidP="00082EC3">
            <w:pPr>
              <w:spacing w:after="0" w:line="240" w:lineRule="auto"/>
              <w:rPr>
                <w:rFonts w:ascii="Calibri" w:eastAsia="Times New Roman" w:hAnsi="Calibri" w:cs="Times New Roman"/>
                <w:color w:val="000000"/>
                <w:sz w:val="18"/>
                <w:szCs w:val="18"/>
                <w:highlight w:val="yellow"/>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the sentence. </w:t>
            </w:r>
            <w:r w:rsidR="00B741BB" w:rsidRPr="00C0686D">
              <w:rPr>
                <w:rStyle w:val="CommentReference"/>
                <w:sz w:val="18"/>
                <w:szCs w:val="18"/>
                <w:highlight w:val="yellow"/>
              </w:rPr>
              <w:t xml:space="preserve">TGax Editor to make changes as shown in </w:t>
            </w:r>
            <w:r w:rsidR="00B741BB"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B741BB" w:rsidRPr="00C0686D">
              <w:rPr>
                <w:rStyle w:val="CommentReference"/>
                <w:sz w:val="18"/>
                <w:szCs w:val="18"/>
                <w:highlight w:val="yellow"/>
              </w:rPr>
              <w:t>under all headings that contain CID 8364</w:t>
            </w:r>
            <w:r w:rsidR="00B741BB">
              <w:rPr>
                <w:rStyle w:val="CommentReference"/>
                <w:sz w:val="18"/>
                <w:szCs w:val="18"/>
              </w:rPr>
              <w:t>.</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07A66F4F"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this sentence. </w:t>
            </w:r>
            <w:r w:rsidR="002A19D8" w:rsidRPr="00C0686D">
              <w:rPr>
                <w:rStyle w:val="CommentReference"/>
                <w:sz w:val="18"/>
                <w:szCs w:val="18"/>
                <w:highlight w:val="yellow"/>
              </w:rPr>
              <w:t xml:space="preserve">TGax Editor to make changes as shown in </w:t>
            </w:r>
            <w:r w:rsidR="002A19D8"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2A19D8" w:rsidRPr="00C0686D">
              <w:rPr>
                <w:rStyle w:val="CommentReference"/>
                <w:sz w:val="18"/>
                <w:szCs w:val="18"/>
                <w:highlight w:val="yellow"/>
              </w:rPr>
              <w:t>under all headings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r w:rsidR="002A19D8" w:rsidRPr="00613CF1">
              <w:rPr>
                <w:rStyle w:val="CommentReference"/>
                <w:sz w:val="18"/>
                <w:szCs w:val="18"/>
              </w:rPr>
              <w:t xml:space="preserve">TGax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r w:rsidRPr="00875BA8">
              <w:rPr>
                <w:rStyle w:val="CommentReference"/>
                <w:sz w:val="18"/>
                <w:szCs w:val="18"/>
              </w:rPr>
              <w:t xml:space="preserve">TGax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0D9E9FD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46931FF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r w:rsidR="001B6A59" w:rsidRPr="00613CF1">
              <w:rPr>
                <w:rStyle w:val="CommentReference"/>
                <w:sz w:val="18"/>
                <w:szCs w:val="18"/>
              </w:rPr>
              <w:t xml:space="preserve">TGax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04BE51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55A4">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144F2965" w:rsidR="007F5024" w:rsidRPr="007544DB" w:rsidRDefault="00C055A4"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Since Trigger frame itself is not a standalone feature. It is used to support other features such as UL MU, Beamforming etc. So suggestions is to remove this bullet. </w:t>
            </w:r>
            <w:r w:rsidR="004574D7" w:rsidRPr="00613CF1">
              <w:rPr>
                <w:rStyle w:val="CommentReference"/>
                <w:sz w:val="18"/>
                <w:szCs w:val="18"/>
              </w:rPr>
              <w:t xml:space="preserve">TGax Editor to make changes as shown in </w:t>
            </w:r>
            <w:r w:rsidR="004574D7">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4574D7" w:rsidRPr="00613CF1">
              <w:rPr>
                <w:rStyle w:val="CommentReference"/>
                <w:sz w:val="18"/>
                <w:szCs w:val="18"/>
              </w:rPr>
              <w:t>under all heading</w:t>
            </w:r>
            <w:r w:rsidR="004574D7">
              <w:rPr>
                <w:rStyle w:val="CommentReference"/>
                <w:sz w:val="18"/>
                <w:szCs w:val="18"/>
              </w:rPr>
              <w:t xml:space="preserve">s that contain CID </w:t>
            </w:r>
            <w:r w:rsidR="00B13ADF">
              <w:rPr>
                <w:rStyle w:val="CommentReference"/>
                <w:sz w:val="18"/>
                <w:szCs w:val="18"/>
              </w:rPr>
              <w:t>6233</w:t>
            </w:r>
            <w:r w:rsidR="004574D7">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feature statement on line 51 of this subclause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20481A7C"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FC5369">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52D066F7" w:rsidR="007F5024" w:rsidRPr="007544DB" w:rsidRDefault="00602FB3"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Trigger frame itself is not a feature, it is used to support other feature such as MU operations, Beamforming etc. So suggestion is to remove this bullet. </w:t>
            </w:r>
            <w:r w:rsidR="00B13ADF" w:rsidRPr="00613CF1">
              <w:rPr>
                <w:rStyle w:val="CommentReference"/>
                <w:sz w:val="18"/>
                <w:szCs w:val="18"/>
              </w:rPr>
              <w:t xml:space="preserve">TGax Editor to make changes as shown in </w:t>
            </w:r>
            <w:r w:rsidR="00B13AD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13ADF" w:rsidRPr="00613CF1">
              <w:rPr>
                <w:rStyle w:val="CommentReference"/>
                <w:sz w:val="18"/>
                <w:szCs w:val="18"/>
              </w:rPr>
              <w:t>under all heading</w:t>
            </w:r>
            <w:r w:rsidR="00B13ADF">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r w:rsidRPr="00875BA8">
              <w:rPr>
                <w:rStyle w:val="CommentReference"/>
                <w:sz w:val="18"/>
                <w:szCs w:val="18"/>
              </w:rPr>
              <w:t xml:space="preserve">TGax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Multi-STA BlockAck is said to be optional here. However from p.l.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item "Optional support for Multi-STA BlockAck" in clause 4.3.14a to "Mandatory support for Multi-STA BlockAck".</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AMPDU </w:t>
            </w:r>
            <w:r>
              <w:rPr>
                <w:rFonts w:ascii="Calibri" w:eastAsia="Times New Roman" w:hAnsi="Calibri" w:cs="Times New Roman"/>
                <w:color w:val="000000"/>
                <w:sz w:val="18"/>
                <w:szCs w:val="18"/>
              </w:rPr>
              <w:t xml:space="preserve"> have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Transmission of Multi-STA BlockAck is a mandatory feature on HE AP side.</w:t>
            </w:r>
            <w:r w:rsidRPr="00C543D8">
              <w:rPr>
                <w:rFonts w:ascii="Calibri" w:eastAsia="Times New Roman" w:hAnsi="Calibri" w:cs="Times New Roman"/>
                <w:color w:val="000000"/>
                <w:sz w:val="18"/>
                <w:szCs w:val="18"/>
              </w:rPr>
              <w:br/>
              <w:t>Receptation of Multi-STA BlockAck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Mandatory support for Multi-STA BlockAck</w:t>
            </w:r>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5340C84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Acceped</w:t>
            </w:r>
            <w:r w:rsidRPr="00C0686D">
              <w:rPr>
                <w:rFonts w:ascii="Calibri" w:eastAsia="Times New Roman" w:hAnsi="Calibri" w:cs="Times New Roman"/>
                <w:color w:val="000000"/>
                <w:sz w:val="18"/>
                <w:szCs w:val="18"/>
                <w:highlight w:val="yellow"/>
              </w:rPr>
              <w:t>.</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BSS_color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3B127B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589D47E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r w:rsidR="00325D95" w:rsidRPr="00613CF1">
              <w:rPr>
                <w:rStyle w:val="CommentReference"/>
                <w:sz w:val="18"/>
                <w:szCs w:val="18"/>
              </w:rPr>
              <w:t xml:space="preserve">TGax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2C406A1"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r w:rsidR="00325D95" w:rsidRPr="00613CF1">
              <w:rPr>
                <w:rStyle w:val="CommentReference"/>
                <w:sz w:val="18"/>
                <w:szCs w:val="18"/>
              </w:rPr>
              <w:t xml:space="preserve">TGax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It says "Multi-STA BlockAck frames are used by the AP to acknowledge the transmissions from multiple non-AP STAs." But Multi-STA BlockAck can be also used by non-AP STAs. See 9.3.1.9.1 and 27.4.1 for example. I am not sure of the intention of this sentence, but assume it was written to describe the UL-MU sequence in accordance with the previous two sentences. And the AP can also acknowledge STAs with Compressed BlockAck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sentence "Multi-STA BlockAck frames are used by the AP to acknowledge the transmissions from multiple non-AP STAs." to "Multi-STA BlockAck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4674914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BlockAck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 are sent...", this sentece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Chagne to soemthign like the following, "Schedueld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2EA9B39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Add at leats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r w:rsidR="00325D95" w:rsidRPr="00613CF1">
              <w:rPr>
                <w:rStyle w:val="CommentReference"/>
                <w:sz w:val="18"/>
                <w:szCs w:val="18"/>
              </w:rPr>
              <w:t xml:space="preserve">TGax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451371D4"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5EAAB22F" w14:textId="77777777" w:rsidR="00B82E8A" w:rsidRDefault="00B82E8A" w:rsidP="00B82E8A">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doc#11-17-1058-CR-4.3.14a</w:t>
            </w:r>
            <w:r w:rsidRPr="00613CF1">
              <w:rPr>
                <w:rStyle w:val="CommentReference"/>
                <w:sz w:val="18"/>
                <w:szCs w:val="18"/>
              </w:rPr>
              <w:t>under all heading</w:t>
            </w:r>
            <w:r>
              <w:rPr>
                <w:rStyle w:val="CommentReference"/>
                <w:sz w:val="18"/>
                <w:szCs w:val="18"/>
              </w:rPr>
              <w:t>s that contain CID 6232.</w:t>
            </w:r>
          </w:p>
          <w:p w14:paraId="2BFD55C8" w14:textId="1F92D2B8"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Chapter 4 provides a general description of the wireless system..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2C36FD7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2A647D6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r w:rsidRPr="00613CF1">
              <w:rPr>
                <w:rStyle w:val="CommentReference"/>
                <w:sz w:val="18"/>
                <w:szCs w:val="18"/>
              </w:rPr>
              <w:t xml:space="preserve">TGax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lastRenderedPageBreak/>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5739E3AF"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931C9">
        <w:rPr>
          <w:rFonts w:ascii="Helvetica" w:hAnsi="Helvetica" w:cs="Helvetica"/>
          <w:sz w:val="20"/>
          <w:szCs w:val="20"/>
          <w:highlight w:val="yellow"/>
        </w:rPr>
        <w:t xml:space="preserve">An HE </w:t>
      </w:r>
      <w:r w:rsidR="008C3B3E" w:rsidRPr="004931C9">
        <w:rPr>
          <w:rFonts w:ascii="Helvetica" w:hAnsi="Helvetica" w:cs="Helvetica"/>
          <w:color w:val="0070C0"/>
          <w:sz w:val="20"/>
          <w:szCs w:val="20"/>
          <w:highlight w:val="yellow"/>
        </w:rPr>
        <w:t>STA</w:t>
      </w:r>
      <w:r w:rsidR="008C3B3E" w:rsidRPr="004931C9">
        <w:rPr>
          <w:rFonts w:ascii="Helvetica" w:hAnsi="Helvetica" w:cs="Helvetica"/>
          <w:sz w:val="20"/>
          <w:szCs w:val="20"/>
          <w:highlight w:val="yellow"/>
        </w:rPr>
        <w:t xml:space="preserve"> </w:t>
      </w:r>
      <w:r w:rsidRPr="004931C9">
        <w:rPr>
          <w:rFonts w:ascii="Helvetica" w:hAnsi="Helvetica" w:cs="Helvetica"/>
          <w:strike/>
          <w:color w:val="FF0000"/>
          <w:sz w:val="20"/>
          <w:szCs w:val="20"/>
          <w:highlight w:val="yellow"/>
        </w:rPr>
        <w:t>AP</w:t>
      </w:r>
      <w:r w:rsidRPr="004931C9">
        <w:rPr>
          <w:rFonts w:ascii="Helvetica" w:hAnsi="Helvetica" w:cs="Helvetica"/>
          <w:color w:val="FF0000"/>
          <w:sz w:val="20"/>
          <w:szCs w:val="20"/>
          <w:highlight w:val="yellow"/>
        </w:rPr>
        <w:t xml:space="preserve"> </w:t>
      </w:r>
      <w:r w:rsidRPr="004931C9">
        <w:rPr>
          <w:rFonts w:ascii="Helvetica" w:hAnsi="Helvetica" w:cs="Helvetica"/>
          <w:sz w:val="20"/>
          <w:szCs w:val="20"/>
          <w:highlight w:val="yellow"/>
        </w:rPr>
        <w:t xml:space="preserve">is also a VHT </w:t>
      </w:r>
      <w:r w:rsidR="008C3B3E" w:rsidRPr="004931C9">
        <w:rPr>
          <w:rFonts w:ascii="Helvetica" w:hAnsi="Helvetica" w:cs="Helvetica"/>
          <w:color w:val="0070C0"/>
          <w:sz w:val="20"/>
          <w:szCs w:val="20"/>
          <w:highlight w:val="yellow"/>
        </w:rPr>
        <w:t xml:space="preserve">STA </w:t>
      </w:r>
      <w:r w:rsidRPr="004931C9">
        <w:rPr>
          <w:rFonts w:ascii="Helvetica" w:hAnsi="Helvetica" w:cs="Helvetica"/>
          <w:strike/>
          <w:color w:val="FF0000"/>
          <w:sz w:val="20"/>
          <w:szCs w:val="20"/>
          <w:highlight w:val="yellow"/>
        </w:rPr>
        <w:t>AP</w:t>
      </w:r>
      <w:r w:rsidR="008C3B3E" w:rsidRPr="009A1BCD">
        <w:rPr>
          <w:rFonts w:ascii="Helvetica" w:hAnsi="Helvetica" w:cs="Helvetica"/>
          <w:color w:val="70AD47" w:themeColor="accent6"/>
          <w:sz w:val="20"/>
          <w:szCs w:val="20"/>
        </w:rPr>
        <w:t>(</w:t>
      </w:r>
      <w:r w:rsidR="008C3B3E">
        <w:rPr>
          <w:rFonts w:ascii="Helvetica" w:hAnsi="Helvetica" w:cs="Helvetica"/>
          <w:color w:val="70AD47" w:themeColor="accent6"/>
          <w:sz w:val="20"/>
          <w:szCs w:val="20"/>
        </w:rPr>
        <w:t>#5423, 5116, 5423, 7699 ,5091, 6927, 7697, 3000, 3101, 5039, 5117, 6929, 7290, 3001, 6930, 7291, 8537)</w:t>
      </w:r>
    </w:p>
    <w:p w14:paraId="26A0783B" w14:textId="218D2FDA" w:rsidR="00571888" w:rsidRPr="008C3B3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C3B3E">
        <w:rPr>
          <w:rFonts w:ascii="Helvetica" w:hAnsi="Helvetica" w:cs="Helvetica"/>
          <w:strike/>
          <w:color w:val="FF0000"/>
          <w:sz w:val="20"/>
          <w:szCs w:val="20"/>
        </w:rPr>
        <w:t xml:space="preserve">An HE non-AP STA </w:t>
      </w:r>
      <w:r w:rsidR="00B36C18" w:rsidRPr="008C3B3E">
        <w:rPr>
          <w:rFonts w:ascii="Helvetica" w:hAnsi="Helvetica" w:cs="Helvetica"/>
          <w:strike/>
          <w:color w:val="FF0000"/>
          <w:sz w:val="20"/>
          <w:szCs w:val="20"/>
          <w:u w:val="single"/>
        </w:rPr>
        <w:t>that</w:t>
      </w:r>
      <w:r w:rsidR="00B36C18" w:rsidRPr="008C3B3E">
        <w:rPr>
          <w:rFonts w:ascii="Helvetica" w:hAnsi="Helvetica" w:cs="Helvetica"/>
          <w:strike/>
          <w:color w:val="FF0000"/>
          <w:sz w:val="20"/>
          <w:szCs w:val="20"/>
        </w:rPr>
        <w:t xml:space="preserve"> </w:t>
      </w:r>
      <w:r w:rsidRPr="008C3B3E">
        <w:rPr>
          <w:rFonts w:ascii="Helvetica" w:hAnsi="Helvetica" w:cs="Helvetica"/>
          <w:strike/>
          <w:color w:val="FF0000"/>
          <w:sz w:val="20"/>
          <w:szCs w:val="20"/>
        </w:rPr>
        <w:t>support</w:t>
      </w:r>
      <w:r w:rsidR="00B36C18" w:rsidRPr="008C3B3E">
        <w:rPr>
          <w:rFonts w:ascii="Helvetica" w:hAnsi="Helvetica" w:cs="Helvetica"/>
          <w:strike/>
          <w:color w:val="FF0000"/>
          <w:sz w:val="20"/>
          <w:szCs w:val="20"/>
          <w:u w:val="single"/>
        </w:rPr>
        <w:t>s</w:t>
      </w:r>
      <w:r w:rsidRPr="008C3B3E">
        <w:rPr>
          <w:rFonts w:ascii="Helvetica" w:hAnsi="Helvetica" w:cs="Helvetica"/>
          <w:strike/>
          <w:color w:val="FF0000"/>
          <w:sz w:val="20"/>
          <w:szCs w:val="20"/>
        </w:rPr>
        <w:t>ing 20 MHz, 40 MHz, 80 MHz, 160 MHz and 80+80 MHz is also a VHT non-AP STA</w:t>
      </w:r>
      <w:r w:rsidR="00613CF1" w:rsidRPr="008C3B3E">
        <w:rPr>
          <w:rFonts w:ascii="Helvetica" w:hAnsi="Helvetica" w:cs="Helvetica"/>
          <w:strike/>
          <w:color w:val="FF0000"/>
          <w:sz w:val="20"/>
          <w:szCs w:val="20"/>
        </w:rPr>
        <w:t xml:space="preserve"> </w:t>
      </w:r>
    </w:p>
    <w:p w14:paraId="053BB29A" w14:textId="0B245AB5"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w:t>
      </w:r>
      <w:r w:rsidRPr="004931C9">
        <w:rPr>
          <w:rFonts w:ascii="Helvetica" w:hAnsi="Helvetica" w:cs="Helvetica"/>
          <w:color w:val="4472C4" w:themeColor="accent5"/>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4472C4" w:themeColor="accent5"/>
          <w:sz w:val="20"/>
          <w:szCs w:val="20"/>
          <w:highlight w:val="yellow"/>
          <w:u w:val="single"/>
        </w:rPr>
        <w:t>STA</w:t>
      </w:r>
      <w:r>
        <w:rPr>
          <w:rFonts w:ascii="Helvetica" w:hAnsi="Helvetica" w:cs="Helvetica"/>
          <w:color w:val="4472C4" w:themeColor="accent5"/>
          <w:sz w:val="20"/>
          <w:szCs w:val="20"/>
          <w:u w:val="single"/>
        </w:rPr>
        <w:t xml:space="preserve"> to support operation in 20 MHz channel bandwidth</w:t>
      </w:r>
    </w:p>
    <w:p w14:paraId="5E3F6DC0" w14:textId="213C4362"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w:t>
      </w:r>
      <w:r w:rsidR="008B124D" w:rsidRPr="008B124D">
        <w:rPr>
          <w:rFonts w:ascii="Helvetica" w:hAnsi="Helvetica" w:cs="Helvetica"/>
          <w:strike/>
          <w:color w:val="FF0000"/>
          <w:sz w:val="20"/>
          <w:szCs w:val="20"/>
          <w:u w:val="single"/>
        </w:rPr>
        <w:t>non-AP</w:t>
      </w:r>
      <w:r w:rsidR="008B124D" w:rsidRPr="008B124D">
        <w:rPr>
          <w:rFonts w:ascii="Helvetica" w:hAnsi="Helvetica" w:cs="Helvetica"/>
          <w:color w:val="FF0000"/>
          <w:sz w:val="20"/>
          <w:szCs w:val="20"/>
          <w:u w:val="single"/>
        </w:rPr>
        <w:t xml:space="preserve"> </w:t>
      </w:r>
      <w:r w:rsidRPr="004931C9">
        <w:rPr>
          <w:rFonts w:ascii="Helvetica" w:hAnsi="Helvetica" w:cs="Helvetica"/>
          <w:color w:val="4472C4" w:themeColor="accent5"/>
          <w:sz w:val="20"/>
          <w:szCs w:val="20"/>
          <w:highlight w:val="yellow"/>
          <w:u w:val="single"/>
        </w:rPr>
        <w:t>HE STA</w:t>
      </w:r>
      <w:r>
        <w:rPr>
          <w:rFonts w:ascii="Helvetica" w:hAnsi="Helvetica" w:cs="Helvetica"/>
          <w:color w:val="4472C4" w:themeColor="accent5"/>
          <w:sz w:val="20"/>
          <w:szCs w:val="20"/>
          <w:u w:val="single"/>
        </w:rPr>
        <w:t xml:space="preserve"> to support operation in 40 MHz, and 80 MHz channel bandwidth except when the STA declares </w:t>
      </w:r>
      <w:r w:rsidR="004931C9">
        <w:rPr>
          <w:rFonts w:ascii="Helvetica" w:hAnsi="Helvetica" w:cs="Helvetica"/>
          <w:color w:val="4472C4" w:themeColor="accent5"/>
          <w:sz w:val="20"/>
          <w:szCs w:val="20"/>
          <w:u w:val="single"/>
        </w:rPr>
        <w:t xml:space="preserve">that it </w:t>
      </w:r>
      <w:r>
        <w:rPr>
          <w:rFonts w:ascii="Helvetica" w:hAnsi="Helvetica" w:cs="Helvetica"/>
          <w:color w:val="4472C4" w:themeColor="accent5"/>
          <w:sz w:val="20"/>
          <w:szCs w:val="20"/>
          <w:u w:val="single"/>
        </w:rPr>
        <w:t>only sup</w:t>
      </w:r>
      <w:r w:rsidR="004931C9">
        <w:rPr>
          <w:rFonts w:ascii="Helvetica" w:hAnsi="Helvetica" w:cs="Helvetica"/>
          <w:color w:val="4472C4" w:themeColor="accent5"/>
          <w:sz w:val="20"/>
          <w:szCs w:val="20"/>
          <w:u w:val="single"/>
        </w:rPr>
        <w:t>ports</w:t>
      </w:r>
      <w:r w:rsidR="006863B6">
        <w:rPr>
          <w:rFonts w:ascii="Helvetica" w:hAnsi="Helvetica" w:cs="Helvetica"/>
          <w:color w:val="4472C4" w:themeColor="accent5"/>
          <w:sz w:val="20"/>
          <w:szCs w:val="20"/>
          <w:u w:val="single"/>
        </w:rPr>
        <w:t xml:space="preserve"> 20</w:t>
      </w:r>
      <w:r w:rsidR="00797030">
        <w:rPr>
          <w:rFonts w:ascii="Helvetica" w:hAnsi="Helvetica" w:cs="Helvetica"/>
          <w:color w:val="4472C4" w:themeColor="accent5"/>
          <w:sz w:val="20"/>
          <w:szCs w:val="20"/>
          <w:u w:val="single"/>
        </w:rPr>
        <w:t xml:space="preserve"> </w:t>
      </w:r>
      <w:r w:rsidR="006863B6">
        <w:rPr>
          <w:rFonts w:ascii="Helvetica" w:hAnsi="Helvetica" w:cs="Helvetica"/>
          <w:color w:val="4472C4" w:themeColor="accent5"/>
          <w:sz w:val="20"/>
          <w:szCs w:val="20"/>
          <w:u w:val="single"/>
        </w:rPr>
        <w:t>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1C664AEC"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optional for an </w:t>
      </w:r>
      <w:r w:rsidRPr="004931C9">
        <w:rPr>
          <w:rFonts w:ascii="Helvetica" w:hAnsi="Helvetica" w:cs="Helvetica"/>
          <w:color w:val="4472C4" w:themeColor="accent5"/>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4472C4" w:themeColor="accent5"/>
          <w:sz w:val="20"/>
          <w:szCs w:val="20"/>
          <w:highlight w:val="yellow"/>
          <w:u w:val="single"/>
        </w:rPr>
        <w:t>STA</w:t>
      </w:r>
      <w:r>
        <w:rPr>
          <w:rFonts w:ascii="Helvetica" w:hAnsi="Helvetica" w:cs="Helvetica"/>
          <w:color w:val="4472C4" w:themeColor="accent5"/>
          <w:sz w:val="20"/>
          <w:szCs w:val="20"/>
          <w:u w:val="single"/>
        </w:rPr>
        <w:t xml:space="preserve">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24BE3365"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It is mandatory for 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 xml:space="preserve">n </w:t>
      </w:r>
      <w:r w:rsidR="00571888" w:rsidRPr="004931C9">
        <w:rPr>
          <w:rFonts w:ascii="Helvetica" w:hAnsi="Helvetica" w:cs="Helvetica"/>
          <w:sz w:val="20"/>
          <w:szCs w:val="20"/>
          <w:highlight w:val="yellow"/>
        </w:rPr>
        <w:t xml:space="preserve">HE </w:t>
      </w:r>
      <w:r w:rsidR="008B124D" w:rsidRPr="008B124D">
        <w:rPr>
          <w:rFonts w:ascii="Helvetica" w:hAnsi="Helvetica" w:cs="Helvetica"/>
          <w:strike/>
          <w:color w:val="FF0000"/>
          <w:sz w:val="20"/>
          <w:szCs w:val="20"/>
          <w:highlight w:val="yellow"/>
        </w:rPr>
        <w:t>non-AP</w:t>
      </w:r>
      <w:r w:rsidR="008B124D" w:rsidRPr="008B124D">
        <w:rPr>
          <w:rFonts w:ascii="Helvetica" w:hAnsi="Helvetica" w:cs="Helvetica"/>
          <w:color w:val="FF0000"/>
          <w:sz w:val="20"/>
          <w:szCs w:val="20"/>
          <w:highlight w:val="yellow"/>
        </w:rPr>
        <w:t xml:space="preserve"> </w:t>
      </w:r>
      <w:r w:rsidR="00571888" w:rsidRPr="004931C9">
        <w:rPr>
          <w:rFonts w:ascii="Helvetica" w:hAnsi="Helvetica" w:cs="Helvetica"/>
          <w:sz w:val="20"/>
          <w:szCs w:val="20"/>
          <w:highlight w:val="yellow"/>
        </w:rPr>
        <w:t>STA</w:t>
      </w:r>
      <w:r w:rsidR="00571888" w:rsidRPr="0091364E">
        <w:rPr>
          <w:rFonts w:ascii="Helvetica" w:hAnsi="Helvetica" w:cs="Helvetica"/>
          <w:sz w:val="20"/>
          <w:szCs w:val="20"/>
        </w:rPr>
        <w:t xml:space="preserve">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1B54F16A"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 xml:space="preserve">It is optional for an </w:t>
      </w:r>
      <w:r w:rsidRPr="004931C9">
        <w:rPr>
          <w:rFonts w:ascii="Helvetica" w:hAnsi="Helvetica" w:cs="Helvetica"/>
          <w:color w:val="0070C0"/>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0070C0"/>
          <w:sz w:val="20"/>
          <w:szCs w:val="20"/>
          <w:highlight w:val="yellow"/>
          <w:u w:val="single"/>
        </w:rPr>
        <w:t>STA</w:t>
      </w:r>
      <w:r>
        <w:rPr>
          <w:rFonts w:ascii="Helvetica" w:hAnsi="Helvetica" w:cs="Helvetica"/>
          <w:color w:val="0070C0"/>
          <w:sz w:val="20"/>
          <w:szCs w:val="20"/>
          <w:u w:val="single"/>
        </w:rPr>
        <w:t xml:space="preserve">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(#7701)</w:t>
      </w:r>
      <w:r>
        <w:rPr>
          <w:rFonts w:ascii="Helvetica" w:hAnsi="Helvetica" w:cs="Helvetica"/>
          <w:sz w:val="20"/>
          <w:szCs w:val="20"/>
        </w:rPr>
        <w:t>STA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4F58ACA4"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900415">
        <w:rPr>
          <w:rFonts w:ascii="Helvetica" w:hAnsi="Helvetica" w:cs="Helvetica"/>
          <w:sz w:val="20"/>
          <w:szCs w:val="20"/>
        </w:rPr>
        <w:t>for</w:t>
      </w:r>
      <w:r w:rsidRPr="00900415">
        <w:rPr>
          <w:rFonts w:ascii="Helvetica" w:hAnsi="Helvetica" w:cs="Helvetica"/>
          <w:strike/>
          <w:sz w:val="20"/>
          <w:szCs w:val="20"/>
        </w:rPr>
        <w:t xml:space="preserve">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Pr="00797030">
        <w:rPr>
          <w:rFonts w:ascii="Helvetica" w:hAnsi="Helvetica" w:cs="Helvetica"/>
          <w:sz w:val="20"/>
          <w:szCs w:val="20"/>
        </w:rPr>
        <w:t xml:space="preserve">by </w:t>
      </w:r>
      <w:r w:rsidRPr="000C4D0F">
        <w:rPr>
          <w:rFonts w:ascii="Helvetica" w:hAnsi="Helvetica" w:cs="Helvetica"/>
          <w:color w:val="4472C4" w:themeColor="accent5"/>
          <w:sz w:val="20"/>
          <w:szCs w:val="20"/>
        </w:rPr>
        <w:t xml:space="preserve">an </w:t>
      </w:r>
      <w:r w:rsidRPr="0091364E">
        <w:rPr>
          <w:rFonts w:ascii="Helvetica" w:hAnsi="Helvetica" w:cs="Helvetica"/>
          <w:sz w:val="20"/>
          <w:szCs w:val="20"/>
        </w:rPr>
        <w:t xml:space="preserve">HE AP </w:t>
      </w:r>
      <w:r w:rsidRPr="00900415">
        <w:rPr>
          <w:rFonts w:ascii="Helvetica" w:hAnsi="Helvetica" w:cs="Helvetica"/>
          <w:sz w:val="20"/>
          <w:szCs w:val="20"/>
        </w:rPr>
        <w:t xml:space="preserve">that supports </w:t>
      </w:r>
      <w:r w:rsidRPr="0091364E">
        <w:rPr>
          <w:rFonts w:ascii="Helvetica" w:hAnsi="Helvetica" w:cs="Helvetica"/>
          <w:sz w:val="20"/>
          <w:szCs w:val="20"/>
        </w:rPr>
        <w:t xml:space="preserve">4 or more spatial streams </w:t>
      </w:r>
      <w:r w:rsidRPr="00900415">
        <w:rPr>
          <w:rFonts w:ascii="Helvetica" w:hAnsi="Helvetica" w:cs="Helvetica"/>
          <w:sz w:val="20"/>
          <w:szCs w:val="20"/>
        </w:rPr>
        <w:t>when MU-MIMO is done on the entire PPDU bandwidth</w:t>
      </w:r>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 xml:space="preserve">7465, 9613, 6071, </w:t>
      </w:r>
      <w:r w:rsidR="001F3231">
        <w:rPr>
          <w:rFonts w:ascii="Helvetica" w:hAnsi="Helvetica" w:cs="Helvetica"/>
          <w:color w:val="70AD47" w:themeColor="accent6"/>
          <w:sz w:val="20"/>
          <w:szCs w:val="20"/>
        </w:rPr>
        <w:lastRenderedPageBreak/>
        <w:t>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D76CD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D76CDE">
        <w:rPr>
          <w:rFonts w:ascii="Helvetica" w:hAnsi="Helvetica" w:cs="Helvetica"/>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5D2D1B0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602FB3">
        <w:rPr>
          <w:rFonts w:ascii="Helvetica" w:hAnsi="Helvetica" w:cs="Helvetica"/>
          <w:strike/>
          <w:color w:val="FF0000"/>
          <w:sz w:val="20"/>
          <w:szCs w:val="20"/>
        </w:rPr>
        <w:t xml:space="preserve">Mandatory support for the basic </w:t>
      </w:r>
      <w:r w:rsidR="00493AFC" w:rsidRPr="00602FB3">
        <w:rPr>
          <w:rFonts w:ascii="Helvetica" w:hAnsi="Helvetica" w:cs="Helvetica"/>
          <w:strike/>
          <w:color w:val="FF0000"/>
          <w:sz w:val="20"/>
          <w:szCs w:val="20"/>
        </w:rPr>
        <w:t>T</w:t>
      </w:r>
      <w:r w:rsidRPr="00602FB3">
        <w:rPr>
          <w:rFonts w:ascii="Helvetica" w:hAnsi="Helvetica" w:cs="Helvetica"/>
          <w:strike/>
          <w:color w:val="FF0000"/>
          <w:sz w:val="20"/>
          <w:szCs w:val="20"/>
        </w:rPr>
        <w:t>rigger frame</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1EE6EA1B"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dynamic fragmentation level</w:t>
      </w:r>
      <w:r w:rsidR="00905723">
        <w:rPr>
          <w:rFonts w:ascii="Helvetica" w:hAnsi="Helvetica" w:cs="Helvetica"/>
          <w:color w:val="0070C0"/>
          <w:sz w:val="20"/>
          <w:szCs w:val="20"/>
          <w:u w:val="single"/>
        </w:rPr>
        <w:t>s</w:t>
      </w:r>
      <w:r>
        <w:rPr>
          <w:rFonts w:ascii="Helvetica" w:hAnsi="Helvetica" w:cs="Helvetica"/>
          <w:color w:val="0070C0"/>
          <w:sz w:val="20"/>
          <w:szCs w:val="20"/>
          <w:u w:val="single"/>
        </w:rPr>
        <w:t xml:space="preserve">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789E1741" w14:textId="6821FC77" w:rsidR="002210A9"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Mandatory support for an AP </w:t>
      </w:r>
      <w:r w:rsidR="002210A9" w:rsidRPr="002210A9">
        <w:rPr>
          <w:rFonts w:ascii="Helvetica" w:hAnsi="Helvetica" w:cs="Helvetica"/>
          <w:color w:val="0070C0"/>
          <w:sz w:val="20"/>
          <w:szCs w:val="20"/>
          <w:highlight w:val="yellow"/>
          <w:u w:val="single"/>
        </w:rPr>
        <w:t xml:space="preserve">to receive </w:t>
      </w:r>
      <w:r w:rsidRPr="002210A9">
        <w:rPr>
          <w:rFonts w:ascii="Helvetica" w:hAnsi="Helvetica" w:cs="Helvetica"/>
          <w:color w:val="0070C0"/>
          <w:sz w:val="20"/>
          <w:szCs w:val="20"/>
          <w:highlight w:val="yellow"/>
          <w:u w:val="single"/>
        </w:rPr>
        <w:t xml:space="preserve">and </w:t>
      </w:r>
      <w:r w:rsidR="00901946">
        <w:rPr>
          <w:rFonts w:ascii="Helvetica" w:hAnsi="Helvetica" w:cs="Helvetica"/>
          <w:color w:val="0070C0"/>
          <w:sz w:val="20"/>
          <w:szCs w:val="20"/>
          <w:highlight w:val="yellow"/>
          <w:u w:val="single"/>
        </w:rPr>
        <w:t>optional an AP to transmit operating mode i</w:t>
      </w:r>
      <w:r w:rsidR="002210A9" w:rsidRPr="002210A9">
        <w:rPr>
          <w:rFonts w:ascii="Helvetica" w:hAnsi="Helvetica" w:cs="Helvetica"/>
          <w:color w:val="0070C0"/>
          <w:sz w:val="20"/>
          <w:szCs w:val="20"/>
          <w:highlight w:val="yellow"/>
          <w:u w:val="single"/>
        </w:rPr>
        <w:t>ndication</w:t>
      </w:r>
    </w:p>
    <w:p w14:paraId="65B97057" w14:textId="6FA75FEB" w:rsidR="009B4522" w:rsidRPr="00EA3C68" w:rsidRDefault="005E3076"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w:t>
      </w:r>
      <w:bookmarkStart w:id="0" w:name="_GoBack"/>
      <w:bookmarkEnd w:id="0"/>
      <w:r w:rsidR="00E217A5">
        <w:rPr>
          <w:rFonts w:ascii="Helvetica" w:hAnsi="Helvetica" w:cs="Helvetica"/>
          <w:color w:val="0070C0"/>
          <w:sz w:val="20"/>
          <w:szCs w:val="20"/>
          <w:u w:val="single"/>
        </w:rPr>
        <w:t>ptional support for a</w:t>
      </w:r>
      <w:r w:rsidR="009B4522" w:rsidRPr="009B4522">
        <w:rPr>
          <w:rFonts w:ascii="Helvetica" w:hAnsi="Helvetica" w:cs="Helvetica"/>
          <w:color w:val="0070C0"/>
          <w:sz w:val="20"/>
          <w:szCs w:val="20"/>
          <w:u w:val="single"/>
        </w:rPr>
        <w:t xml:space="preserve"> non-AP </w:t>
      </w:r>
      <w:r w:rsidR="00E217A5">
        <w:rPr>
          <w:rFonts w:ascii="Helvetica" w:hAnsi="Helvetica" w:cs="Helvetica"/>
          <w:color w:val="0070C0"/>
          <w:sz w:val="20"/>
          <w:szCs w:val="20"/>
          <w:u w:val="single"/>
        </w:rPr>
        <w:t>STA</w:t>
      </w:r>
      <w:r w:rsidR="002210A9">
        <w:rPr>
          <w:rFonts w:ascii="Helvetica" w:hAnsi="Helvetica" w:cs="Helvetica"/>
          <w:color w:val="0070C0"/>
          <w:sz w:val="20"/>
          <w:szCs w:val="20"/>
          <w:u w:val="single"/>
        </w:rPr>
        <w:t xml:space="preserve"> </w:t>
      </w:r>
      <w:r w:rsidR="002210A9" w:rsidRPr="002210A9">
        <w:rPr>
          <w:rFonts w:ascii="Helvetica" w:hAnsi="Helvetica" w:cs="Helvetica"/>
          <w:color w:val="0070C0"/>
          <w:sz w:val="20"/>
          <w:szCs w:val="20"/>
          <w:highlight w:val="yellow"/>
          <w:u w:val="single"/>
        </w:rPr>
        <w:t>to transmit and receive</w:t>
      </w:r>
      <w:r w:rsidR="00E217A5">
        <w:rPr>
          <w:rFonts w:ascii="Helvetica" w:hAnsi="Helvetica" w:cs="Helvetica"/>
          <w:color w:val="0070C0"/>
          <w:sz w:val="20"/>
          <w:szCs w:val="20"/>
          <w:u w:val="single"/>
        </w:rPr>
        <w:t xml:space="preserve"> for </w:t>
      </w:r>
      <w:r w:rsidR="00901946">
        <w:rPr>
          <w:rFonts w:ascii="Helvetica" w:hAnsi="Helvetica" w:cs="Helvetica"/>
          <w:color w:val="0070C0"/>
          <w:sz w:val="20"/>
          <w:szCs w:val="20"/>
          <w:highlight w:val="yellow"/>
          <w:u w:val="single"/>
        </w:rPr>
        <w:t>o</w:t>
      </w:r>
      <w:r w:rsidR="00E217A5" w:rsidRPr="002210A9">
        <w:rPr>
          <w:rFonts w:ascii="Helvetica" w:hAnsi="Helvetica" w:cs="Helvetica"/>
          <w:color w:val="0070C0"/>
          <w:sz w:val="20"/>
          <w:szCs w:val="20"/>
          <w:highlight w:val="yellow"/>
          <w:u w:val="single"/>
        </w:rPr>
        <w:t>perati</w:t>
      </w:r>
      <w:r w:rsidR="009B4522" w:rsidRPr="002210A9">
        <w:rPr>
          <w:rFonts w:ascii="Helvetica" w:hAnsi="Helvetica" w:cs="Helvetica"/>
          <w:color w:val="0070C0"/>
          <w:sz w:val="20"/>
          <w:szCs w:val="20"/>
          <w:highlight w:val="yellow"/>
          <w:u w:val="single"/>
        </w:rPr>
        <w:t>n</w:t>
      </w:r>
      <w:r w:rsidR="00E217A5" w:rsidRPr="002210A9">
        <w:rPr>
          <w:rFonts w:ascii="Helvetica" w:hAnsi="Helvetica" w:cs="Helvetica"/>
          <w:color w:val="0070C0"/>
          <w:sz w:val="20"/>
          <w:szCs w:val="20"/>
          <w:highlight w:val="yellow"/>
          <w:u w:val="single"/>
        </w:rPr>
        <w:t>g</w:t>
      </w:r>
      <w:r w:rsidR="00901946">
        <w:rPr>
          <w:rFonts w:ascii="Helvetica" w:hAnsi="Helvetica" w:cs="Helvetica"/>
          <w:color w:val="0070C0"/>
          <w:sz w:val="20"/>
          <w:szCs w:val="20"/>
          <w:highlight w:val="yellow"/>
          <w:u w:val="single"/>
        </w:rPr>
        <w:t xml:space="preserve"> mode i</w:t>
      </w:r>
      <w:r w:rsidR="009B4522" w:rsidRPr="002210A9">
        <w:rPr>
          <w:rFonts w:ascii="Helvetica" w:hAnsi="Helvetica" w:cs="Helvetica"/>
          <w:color w:val="0070C0"/>
          <w:sz w:val="20"/>
          <w:szCs w:val="20"/>
          <w:highlight w:val="yellow"/>
          <w:u w:val="single"/>
        </w:rPr>
        <w:t>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operation</w:t>
      </w:r>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Optional support for Multi-STA BlockAck</w:t>
      </w:r>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061058FF" w:rsidR="00CC1FD2" w:rsidRPr="00875BA8" w:rsidRDefault="000C6F58"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m</w:t>
      </w:r>
      <w:r w:rsidR="00CC1FD2">
        <w:rPr>
          <w:rFonts w:ascii="Helvetica" w:hAnsi="Helvetica" w:cs="Helvetica"/>
          <w:color w:val="0070C0"/>
          <w:sz w:val="20"/>
          <w:szCs w:val="20"/>
          <w:u w:val="single"/>
        </w:rPr>
        <w:t>ulti-TID A</w:t>
      </w:r>
      <w:r w:rsidR="004931C9">
        <w:rPr>
          <w:rFonts w:ascii="Helvetica" w:hAnsi="Helvetica" w:cs="Helvetica"/>
          <w:color w:val="0070C0"/>
          <w:sz w:val="20"/>
          <w:szCs w:val="20"/>
          <w:u w:val="single"/>
        </w:rPr>
        <w:t>-</w:t>
      </w:r>
      <w:r w:rsidR="00CC1FD2">
        <w:rPr>
          <w:rFonts w:ascii="Helvetica" w:hAnsi="Helvetica" w:cs="Helvetica"/>
          <w:color w:val="0070C0"/>
          <w:sz w:val="20"/>
          <w:szCs w:val="20"/>
          <w:u w:val="single"/>
        </w:rPr>
        <w:t xml:space="preserve">MPDU </w:t>
      </w:r>
      <w:r w:rsidR="000765DB">
        <w:rPr>
          <w:rFonts w:ascii="Helvetica" w:hAnsi="Helvetica" w:cs="Helvetica"/>
          <w:color w:val="0070C0"/>
          <w:sz w:val="20"/>
          <w:szCs w:val="20"/>
          <w:u w:val="single"/>
        </w:rPr>
        <w:t xml:space="preserve">operation </w:t>
      </w:r>
      <w:r w:rsidR="00CC1FD2" w:rsidRPr="00D87CB7">
        <w:rPr>
          <w:rFonts w:ascii="Helvetica" w:hAnsi="Helvetica" w:cs="Helvetica"/>
          <w:color w:val="70AD47" w:themeColor="accent6"/>
          <w:sz w:val="20"/>
          <w:szCs w:val="20"/>
          <w:u w:val="single"/>
        </w:rPr>
        <w:t>(#31</w:t>
      </w:r>
      <w:r w:rsidR="00CC1FD2">
        <w:rPr>
          <w:rFonts w:ascii="Helvetica" w:hAnsi="Helvetica" w:cs="Helvetica"/>
          <w:color w:val="70AD47" w:themeColor="accent6"/>
          <w:sz w:val="20"/>
          <w:szCs w:val="20"/>
          <w:u w:val="single"/>
        </w:rPr>
        <w:t>49)</w:t>
      </w:r>
    </w:p>
    <w:p w14:paraId="3C98B2C3" w14:textId="7114E499" w:rsidR="00867DE6"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4931C9" w:rsidRPr="004931C9">
        <w:rPr>
          <w:rFonts w:ascii="Helvetica" w:hAnsi="Helvetica" w:cs="Helvetica"/>
          <w:color w:val="0070C0"/>
          <w:sz w:val="20"/>
          <w:szCs w:val="20"/>
          <w:highlight w:val="yellow"/>
          <w:u w:val="single"/>
        </w:rPr>
        <w:t>ER</w:t>
      </w:r>
      <w:r w:rsidR="002D6586">
        <w:rPr>
          <w:rFonts w:ascii="Helvetica" w:hAnsi="Helvetica" w:cs="Helvetica"/>
          <w:color w:val="0070C0"/>
          <w:sz w:val="20"/>
          <w:szCs w:val="20"/>
          <w:u w:val="single"/>
        </w:rPr>
        <w:t xml:space="preserv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4F85D4B4" w14:textId="5197CB2D" w:rsidR="002210A9" w:rsidRPr="007B695C" w:rsidRDefault="002210A9"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highlight w:val="yellow"/>
          <w:u w:val="single"/>
        </w:rPr>
      </w:pPr>
      <w:r w:rsidRPr="007B695C">
        <w:rPr>
          <w:rFonts w:ascii="Helvetica" w:hAnsi="Helvetica" w:cs="Helvetica"/>
          <w:color w:val="0070C0"/>
          <w:sz w:val="20"/>
          <w:szCs w:val="20"/>
          <w:highlight w:val="yellow"/>
          <w:u w:val="single"/>
        </w:rPr>
        <w:t xml:space="preserve">Mandatory support for </w:t>
      </w:r>
      <w:r w:rsidR="005E3076">
        <w:rPr>
          <w:rFonts w:ascii="Helvetica" w:hAnsi="Helvetica" w:cs="Helvetica"/>
          <w:color w:val="0070C0"/>
          <w:sz w:val="20"/>
          <w:szCs w:val="20"/>
          <w:highlight w:val="yellow"/>
          <w:u w:val="single"/>
        </w:rPr>
        <w:t xml:space="preserve">non-AP STA for </w:t>
      </w:r>
      <w:r w:rsidRPr="007B695C">
        <w:rPr>
          <w:rFonts w:ascii="Helvetica" w:hAnsi="Helvetica" w:cs="Helvetica"/>
          <w:color w:val="0070C0"/>
          <w:sz w:val="20"/>
          <w:szCs w:val="20"/>
          <w:highlight w:val="yellow"/>
          <w:u w:val="single"/>
        </w:rPr>
        <w:t>Multi-BSSID</w:t>
      </w:r>
      <w:r w:rsidR="00CD0E95">
        <w:rPr>
          <w:rFonts w:ascii="Helvetica" w:hAnsi="Helvetica" w:cs="Helvetica"/>
          <w:color w:val="0070C0"/>
          <w:sz w:val="20"/>
          <w:szCs w:val="20"/>
          <w:highlight w:val="yellow"/>
          <w:u w:val="single"/>
        </w:rPr>
        <w:t xml:space="preserve"> </w:t>
      </w:r>
      <w:r w:rsidR="00CD0E95" w:rsidRPr="00D87CB7">
        <w:rPr>
          <w:rFonts w:ascii="Helvetica" w:hAnsi="Helvetica" w:cs="Helvetica"/>
          <w:color w:val="70AD47" w:themeColor="accent6"/>
          <w:sz w:val="20"/>
          <w:szCs w:val="20"/>
          <w:u w:val="single"/>
        </w:rPr>
        <w:t>(#31</w:t>
      </w:r>
      <w:r w:rsidR="00CD0E95">
        <w:rPr>
          <w:rFonts w:ascii="Helvetica" w:hAnsi="Helvetica" w:cs="Helvetica"/>
          <w:color w:val="70AD47" w:themeColor="accent6"/>
          <w:sz w:val="20"/>
          <w:szCs w:val="20"/>
          <w:u w:val="single"/>
        </w:rPr>
        <w:t>49)</w:t>
      </w:r>
    </w:p>
    <w:p w14:paraId="062C6C91" w14:textId="5582B101"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r>
        <w:rPr>
          <w:rFonts w:ascii="Helvetica" w:hAnsi="Helvetica" w:cs="Helvetica"/>
          <w:sz w:val="20"/>
          <w:szCs w:val="20"/>
        </w:rPr>
        <w:t>direction</w:t>
      </w:r>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transmission resources</w:t>
      </w:r>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BlockAck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 xml:space="preserve">between </w:t>
      </w:r>
      <w:r w:rsidR="000C6F58" w:rsidRPr="002210A9">
        <w:rPr>
          <w:rFonts w:ascii="Helvetica" w:hAnsi="Helvetica" w:cs="Helvetica"/>
          <w:sz w:val="20"/>
          <w:szCs w:val="20"/>
          <w:highlight w:val="yellow"/>
        </w:rPr>
        <w:t>a</w:t>
      </w:r>
      <w:r>
        <w:rPr>
          <w:rFonts w:ascii="Helvetica" w:hAnsi="Helvetica" w:cs="Helvetica"/>
          <w:sz w:val="20"/>
          <w:szCs w:val="20"/>
        </w:rPr>
        <w:t xml:space="preserv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B82E8A">
        <w:rPr>
          <w:rFonts w:ascii="Helvetica" w:hAnsi="Helvetica" w:cs="Helvetica"/>
          <w:color w:val="70AD47" w:themeColor="accent6"/>
          <w:sz w:val="20"/>
          <w:szCs w:val="20"/>
        </w:rPr>
        <w:t>,6234</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0058" w14:textId="77777777" w:rsidR="00080777" w:rsidRDefault="00080777">
      <w:pPr>
        <w:spacing w:after="0" w:line="240" w:lineRule="auto"/>
      </w:pPr>
      <w:r>
        <w:separator/>
      </w:r>
    </w:p>
  </w:endnote>
  <w:endnote w:type="continuationSeparator" w:id="0">
    <w:p w14:paraId="6F098EFE" w14:textId="77777777" w:rsidR="00080777" w:rsidRDefault="0008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B82E8A" w:rsidRDefault="00B82E8A"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76CDE">
      <w:rPr>
        <w:noProof/>
      </w:rPr>
      <w:t>20</w:t>
    </w:r>
    <w:r>
      <w:fldChar w:fldCharType="end"/>
    </w:r>
    <w:r>
      <w:tab/>
      <w:t xml:space="preserve"> Guoqing Li, Apple</w:t>
    </w:r>
  </w:p>
  <w:p w14:paraId="7CB88B03" w14:textId="77777777" w:rsidR="00B82E8A" w:rsidRDefault="00B82E8A" w:rsidP="00D5036D"/>
  <w:p w14:paraId="4EB9FB5C" w14:textId="77777777" w:rsidR="00B82E8A" w:rsidRDefault="00B82E8A">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B82E8A" w:rsidRDefault="00B82E8A"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E3076">
      <w:rPr>
        <w:noProof/>
      </w:rPr>
      <w:t>21</w:t>
    </w:r>
    <w:r>
      <w:fldChar w:fldCharType="end"/>
    </w:r>
    <w:r>
      <w:tab/>
      <w:t xml:space="preserve"> Guoqing Li, Apple</w:t>
    </w:r>
  </w:p>
  <w:p w14:paraId="6BFC7799" w14:textId="77777777" w:rsidR="00B82E8A" w:rsidRDefault="00B82E8A" w:rsidP="009B1A89"/>
  <w:p w14:paraId="4F851693" w14:textId="77777777" w:rsidR="00B82E8A" w:rsidRDefault="00B82E8A">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5E3076">
      <w:rPr>
        <w:rFonts w:ascii="Times New Roman" w:hAnsi="Times New Roman" w:cs="Times New Roman"/>
        <w:noProof/>
        <w:w w:val="100"/>
        <w:sz w:val="20"/>
        <w:szCs w:val="20"/>
      </w:rPr>
      <w:t>21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1F99A" w14:textId="77777777" w:rsidR="00080777" w:rsidRDefault="00080777">
      <w:pPr>
        <w:spacing w:after="0" w:line="240" w:lineRule="auto"/>
      </w:pPr>
      <w:r>
        <w:separator/>
      </w:r>
    </w:p>
  </w:footnote>
  <w:footnote w:type="continuationSeparator" w:id="0">
    <w:p w14:paraId="6ED6A8A3" w14:textId="77777777" w:rsidR="00080777" w:rsidRDefault="00080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17245"/>
    <w:rsid w:val="00036D4B"/>
    <w:rsid w:val="00047D56"/>
    <w:rsid w:val="00050C6B"/>
    <w:rsid w:val="00053268"/>
    <w:rsid w:val="00063F77"/>
    <w:rsid w:val="000672C0"/>
    <w:rsid w:val="000765DB"/>
    <w:rsid w:val="00080777"/>
    <w:rsid w:val="00081CF3"/>
    <w:rsid w:val="00082195"/>
    <w:rsid w:val="00082EC3"/>
    <w:rsid w:val="0009024D"/>
    <w:rsid w:val="00091407"/>
    <w:rsid w:val="0009355C"/>
    <w:rsid w:val="00094539"/>
    <w:rsid w:val="000A4B77"/>
    <w:rsid w:val="000A5CA3"/>
    <w:rsid w:val="000A7151"/>
    <w:rsid w:val="000C4D0F"/>
    <w:rsid w:val="000C6F58"/>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6FDB"/>
    <w:rsid w:val="00207E99"/>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3076"/>
    <w:rsid w:val="005E52C7"/>
    <w:rsid w:val="005F5FA7"/>
    <w:rsid w:val="005F68E0"/>
    <w:rsid w:val="005F6C0C"/>
    <w:rsid w:val="00602FB3"/>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97030"/>
    <w:rsid w:val="007B53D2"/>
    <w:rsid w:val="007B663D"/>
    <w:rsid w:val="007B695C"/>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0415"/>
    <w:rsid w:val="00901946"/>
    <w:rsid w:val="00905723"/>
    <w:rsid w:val="00905A8C"/>
    <w:rsid w:val="00907CF5"/>
    <w:rsid w:val="0091364E"/>
    <w:rsid w:val="009164A4"/>
    <w:rsid w:val="00917FB8"/>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2E8A"/>
    <w:rsid w:val="00B85765"/>
    <w:rsid w:val="00B92451"/>
    <w:rsid w:val="00B9467D"/>
    <w:rsid w:val="00B950C9"/>
    <w:rsid w:val="00BA1A60"/>
    <w:rsid w:val="00BA3326"/>
    <w:rsid w:val="00BB3782"/>
    <w:rsid w:val="00BB4544"/>
    <w:rsid w:val="00BB7C70"/>
    <w:rsid w:val="00BC3FFD"/>
    <w:rsid w:val="00BD74A5"/>
    <w:rsid w:val="00BE1E46"/>
    <w:rsid w:val="00BE3473"/>
    <w:rsid w:val="00BE7688"/>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0E95"/>
    <w:rsid w:val="00CD41AD"/>
    <w:rsid w:val="00CD4E28"/>
    <w:rsid w:val="00CE49B5"/>
    <w:rsid w:val="00CF0970"/>
    <w:rsid w:val="00CF4DEC"/>
    <w:rsid w:val="00D15005"/>
    <w:rsid w:val="00D26891"/>
    <w:rsid w:val="00D27700"/>
    <w:rsid w:val="00D37708"/>
    <w:rsid w:val="00D37E8B"/>
    <w:rsid w:val="00D41F81"/>
    <w:rsid w:val="00D443F0"/>
    <w:rsid w:val="00D5036D"/>
    <w:rsid w:val="00D533B3"/>
    <w:rsid w:val="00D73156"/>
    <w:rsid w:val="00D76CDE"/>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C5369"/>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625918D-B3AF-E148-BCCD-8EA15E06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5757</Words>
  <Characters>32819</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3</cp:revision>
  <dcterms:created xsi:type="dcterms:W3CDTF">2017-07-13T06:27:00Z</dcterms:created>
  <dcterms:modified xsi:type="dcterms:W3CDTF">2017-07-13T06:28:00Z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