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90775">
              <w:rPr>
                <w:b w:val="0"/>
                <w:noProof/>
                <w:sz w:val="20"/>
              </w:rPr>
              <w:t>2017-07-09</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7753F932" w:rsidR="00A353D7" w:rsidRPr="00FA4131" w:rsidRDefault="00A353D7" w:rsidP="002D508C">
      <w:pPr>
        <w:jc w:val="both"/>
        <w:outlineLvl w:val="0"/>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390775">
        <w:rPr>
          <w:lang w:eastAsia="ko-KR"/>
        </w:rPr>
        <w:t>3</w:t>
      </w:r>
      <w:r>
        <w:rPr>
          <w:lang w:eastAsia="ko-KR"/>
        </w:rPr>
        <w:t xml:space="preserve"> </w:t>
      </w:r>
      <w:r w:rsidR="0073642B">
        <w:rPr>
          <w:lang w:eastAsia="ko-KR"/>
        </w:rPr>
        <w:t>section 4.3.14a</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7980187A"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4C601D57"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6EF621FD"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34D39E4C"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095EE949"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doc#11-17-xx-CR-4.3.14a</w:t>
            </w:r>
            <w:r w:rsidR="00230DD0" w:rsidRPr="00613CF1">
              <w:rPr>
                <w:rFonts w:ascii="Calibri" w:eastAsia="Times New Roman" w:hAnsi="Calibri" w:cs="Times New Roman"/>
                <w:color w:val="000000"/>
                <w:sz w:val="18"/>
                <w:szCs w:val="18"/>
              </w:rPr>
              <w:t xml:space="preserve"> </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7A521E6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3A8B83A3"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635FF8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4B2B60B"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0CE32EA6"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1D7C77"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02548CAB"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49EB181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78AC0D5"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27B68975"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25782594"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791CF09A"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w:t>
            </w:r>
            <w:r>
              <w:rPr>
                <w:rFonts w:ascii="Calibri" w:eastAsia="Times New Roman" w:hAnsi="Calibri" w:cs="Times New Roman"/>
                <w:color w:val="000000"/>
                <w:sz w:val="18"/>
                <w:szCs w:val="18"/>
              </w:rPr>
              <w:lastRenderedPageBreak/>
              <w:t>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131611A0"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36D983C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4548E28E"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1E2A4F6C"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02383386"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6042123D"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5A71C7F8"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39AA2664"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763D941B"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49E4F693"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638FC05D"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53A4977"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13D57D99"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636785A9"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3964ED9D"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5F6562CB"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0846CF67"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031ACDC0"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2C18CAD9"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doc#11-17-xx-CR-4.3.14a</w:t>
            </w:r>
            <w:r w:rsidR="00D443F0" w:rsidRPr="00613CF1">
              <w:rPr>
                <w:rFonts w:ascii="Calibri" w:eastAsia="Times New Roman" w:hAnsi="Calibri" w:cs="Times New Roman"/>
                <w:color w:val="000000"/>
                <w:sz w:val="18"/>
                <w:szCs w:val="18"/>
              </w:rPr>
              <w:t xml:space="preserve"> </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2A229242"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57637D06"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doc#11-17-xx-CR-4.3.14a</w:t>
            </w:r>
            <w:r w:rsidR="00175A1F" w:rsidRPr="00613CF1">
              <w:rPr>
                <w:rFonts w:ascii="Calibri" w:eastAsia="Times New Roman" w:hAnsi="Calibri" w:cs="Times New Roman"/>
                <w:color w:val="000000"/>
                <w:sz w:val="18"/>
                <w:szCs w:val="18"/>
              </w:rPr>
              <w:t xml:space="preserve"> </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3944D4E2"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49C64523"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0F7B7B6A"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2D9621E8"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47574265"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07E0FF8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 xml:space="preserve">not </w:t>
            </w:r>
            <w:bookmarkStart w:id="0" w:name="_GoBack"/>
            <w:bookmarkEnd w:id="0"/>
            <w:r w:rsidR="00DB4C6C">
              <w:rPr>
                <w:rFonts w:ascii="Calibri" w:eastAsia="Times New Roman" w:hAnsi="Calibri" w:cs="Times New Roman"/>
                <w:color w:val="000000"/>
                <w:sz w:val="18"/>
                <w:szCs w:val="18"/>
              </w:rPr>
              <w:t>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1F1174A1"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 xml:space="preserve">doc#11-17-xx-CR-4.3.14a </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04D11305"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6905F34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doc#11-17-xx-CR-4.3.14a</w:t>
            </w:r>
            <w:r w:rsidR="001B6A59" w:rsidRPr="00613CF1">
              <w:rPr>
                <w:rFonts w:ascii="Calibri" w:eastAsia="Times New Roman" w:hAnsi="Calibri" w:cs="Times New Roman"/>
                <w:color w:val="000000"/>
                <w:sz w:val="18"/>
                <w:szCs w:val="18"/>
              </w:rPr>
              <w:t xml:space="preserve"> </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48D580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4574D7">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35D65628" w:rsidR="007F5024" w:rsidRPr="007544DB" w:rsidRDefault="004574D7"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B13ADF">
              <w:rPr>
                <w:rStyle w:val="CommentReference"/>
                <w:sz w:val="18"/>
                <w:szCs w:val="18"/>
              </w:rPr>
              <w:t>6233</w:t>
            </w:r>
            <w:r>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46E59BE5" w:rsidR="007F5024" w:rsidRPr="007544DB" w:rsidRDefault="00B13ADF"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26E95D1C"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 xml:space="preserve">doc#11-17-xx-CR-4.3.14a </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774DAE1"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37C837F7"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w:t>
            </w:r>
            <w:r w:rsidR="00AD1422">
              <w:rPr>
                <w:rFonts w:ascii="Calibri" w:eastAsia="Times New Roman" w:hAnsi="Calibri" w:cs="Times New Roman"/>
                <w:color w:val="000000"/>
                <w:sz w:val="18"/>
                <w:szCs w:val="18"/>
              </w:rPr>
              <w:lastRenderedPageBreak/>
              <w:t>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7FA0979E"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7443BF57"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2B00F44E"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7777777"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beacon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72F7B263"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43356D1B"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39DE3EEF"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33235C2D"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33CD926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5EBA500D"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29ED4036"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3D6C2C35"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6A3E8C78"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955654E"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6F399CEB"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7C22AAA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6169356A"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0D4125C5"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5E362EB5"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382B5FAF"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HE non-AP STA to support operation in 40 MHz, and 80 MHz channel bandwidth except when the STA declares only supporting 20MHz channel bandwidth.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5A3EA8DD"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operation in 40 MHz channel bandwidth.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MU-MIMO by an HE AP that supports 4 or more spatial streams when MU-MIMO is done on the entire PPDU bandwidth</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lastRenderedPageBreak/>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45C81DC0"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for </w:t>
      </w:r>
      <w:r w:rsidR="007D0EF4" w:rsidRPr="007D0EF4">
        <w:rPr>
          <w:rFonts w:ascii="Helvetica" w:hAnsi="Helvetica" w:cs="Helvetica"/>
          <w:color w:val="0070C0"/>
          <w:sz w:val="20"/>
          <w:szCs w:val="20"/>
          <w:u w:val="single"/>
        </w:rPr>
        <w:t>Basic, MU-RTS, MU-BAR and BSR</w:t>
      </w:r>
      <w:r w:rsidR="00E217A5">
        <w:rPr>
          <w:rFonts w:ascii="Helvetica" w:hAnsi="Helvetica" w:cs="Helvetica"/>
          <w:color w:val="0070C0"/>
          <w:sz w:val="20"/>
          <w:szCs w:val="20"/>
          <w:u w:val="single"/>
        </w:rPr>
        <w:t>P</w:t>
      </w:r>
      <w:r w:rsidR="007D0EF4" w:rsidRPr="007D0EF4">
        <w:rPr>
          <w:rFonts w:ascii="Helvetica" w:hAnsi="Helvetica" w:cs="Helvetica"/>
          <w:color w:val="0070C0"/>
          <w:sz w:val="20"/>
          <w:szCs w:val="20"/>
        </w:rPr>
        <w:t xml:space="preserve"> </w:t>
      </w:r>
      <w:r w:rsidRPr="007D0EF4">
        <w:rPr>
          <w:rFonts w:ascii="Helvetica" w:hAnsi="Helvetica" w:cs="Helvetica"/>
          <w:strike/>
          <w:color w:val="FF0000"/>
          <w:sz w:val="20"/>
          <w:szCs w:val="20"/>
        </w:rPr>
        <w:t xml:space="preserve">the basic </w:t>
      </w:r>
      <w:r w:rsidRPr="0091364E">
        <w:rPr>
          <w:rFonts w:ascii="Helvetica" w:hAnsi="Helvetica" w:cs="Helvetica"/>
          <w:sz w:val="20"/>
          <w:szCs w:val="20"/>
        </w:rPr>
        <w:t xml:space="preserve">trigger </w:t>
      </w:r>
      <w:proofErr w:type="gramStart"/>
      <w:r w:rsidRPr="0091364E">
        <w:rPr>
          <w:rFonts w:ascii="Helvetica" w:hAnsi="Helvetica" w:cs="Helvetica"/>
          <w:sz w:val="20"/>
          <w:szCs w:val="20"/>
        </w:rPr>
        <w:t>frame</w:t>
      </w:r>
      <w:r w:rsidR="007D0EF4" w:rsidRPr="007D0EF4">
        <w:rPr>
          <w:rFonts w:ascii="Helvetica" w:hAnsi="Helvetica" w:cs="Helvetica"/>
          <w:color w:val="0070C0"/>
          <w:sz w:val="20"/>
          <w:szCs w:val="20"/>
          <w:u w:val="single"/>
        </w:rPr>
        <w:t>s</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76C4E6D8" w:rsidR="00CC1FD2" w:rsidRPr="00875BA8" w:rsidRDefault="00CC1FD2"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3C98B2C3" w14:textId="5BFE76BC"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ER</w:t>
      </w:r>
      <w:r>
        <w:rPr>
          <w:rFonts w:ascii="Helvetica" w:hAnsi="Helvetica" w:cs="Helvetica"/>
          <w:color w:val="0070C0"/>
          <w:sz w:val="20"/>
          <w:szCs w:val="20"/>
          <w:u w:val="single"/>
        </w:rPr>
        <w:t xml:space="preserve"> Beacon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BF01F" w14:textId="77777777" w:rsidR="00641C2B" w:rsidRDefault="00641C2B">
      <w:pPr>
        <w:spacing w:after="0" w:line="240" w:lineRule="auto"/>
      </w:pPr>
      <w:r>
        <w:separator/>
      </w:r>
    </w:p>
  </w:endnote>
  <w:endnote w:type="continuationSeparator" w:id="0">
    <w:p w14:paraId="3A3E8D5F" w14:textId="77777777" w:rsidR="00641C2B" w:rsidRDefault="0064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875BA8" w:rsidRDefault="00875BA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B4C6C">
      <w:rPr>
        <w:noProof/>
      </w:rPr>
      <w:t>16</w:t>
    </w:r>
    <w:r>
      <w:fldChar w:fldCharType="end"/>
    </w:r>
    <w:r>
      <w:tab/>
      <w:t xml:space="preserve"> Guoqing Li, Apple</w:t>
    </w:r>
  </w:p>
  <w:p w14:paraId="7CB88B03" w14:textId="77777777" w:rsidR="00875BA8" w:rsidRDefault="00875BA8" w:rsidP="00D5036D"/>
  <w:p w14:paraId="4EB9FB5C" w14:textId="77777777" w:rsidR="00875BA8" w:rsidRDefault="00875BA8">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875BA8" w:rsidRDefault="00875BA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F0970">
      <w:rPr>
        <w:noProof/>
      </w:rPr>
      <w:t>15</w:t>
    </w:r>
    <w:r>
      <w:fldChar w:fldCharType="end"/>
    </w:r>
    <w:r>
      <w:tab/>
      <w:t xml:space="preserve"> Guoqing Li, Apple</w:t>
    </w:r>
  </w:p>
  <w:p w14:paraId="6BFC7799" w14:textId="77777777" w:rsidR="00875BA8" w:rsidRDefault="00875BA8" w:rsidP="009B1A89"/>
  <w:p w14:paraId="4F851693" w14:textId="77777777" w:rsidR="00875BA8" w:rsidRDefault="00875BA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F0970">
      <w:rPr>
        <w:rFonts w:ascii="Times New Roman" w:hAnsi="Times New Roman" w:cs="Times New Roman"/>
        <w:noProof/>
        <w:w w:val="100"/>
        <w:sz w:val="20"/>
        <w:szCs w:val="20"/>
      </w:rPr>
      <w:t>15</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262BB" w14:textId="77777777" w:rsidR="00641C2B" w:rsidRDefault="00641C2B">
      <w:pPr>
        <w:spacing w:after="0" w:line="240" w:lineRule="auto"/>
      </w:pPr>
      <w:r>
        <w:separator/>
      </w:r>
    </w:p>
  </w:footnote>
  <w:footnote w:type="continuationSeparator" w:id="0">
    <w:p w14:paraId="239A3047" w14:textId="77777777" w:rsidR="00641C2B" w:rsidRDefault="00641C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E608B"/>
    <w:rsid w:val="001F3231"/>
    <w:rsid w:val="00206FDB"/>
    <w:rsid w:val="00211CEA"/>
    <w:rsid w:val="00230DD0"/>
    <w:rsid w:val="00230F01"/>
    <w:rsid w:val="002319BF"/>
    <w:rsid w:val="00235464"/>
    <w:rsid w:val="00237234"/>
    <w:rsid w:val="002372C2"/>
    <w:rsid w:val="002424FA"/>
    <w:rsid w:val="002638A1"/>
    <w:rsid w:val="002642D6"/>
    <w:rsid w:val="002648A3"/>
    <w:rsid w:val="00273EB7"/>
    <w:rsid w:val="0027572F"/>
    <w:rsid w:val="00276C73"/>
    <w:rsid w:val="002937ED"/>
    <w:rsid w:val="00295589"/>
    <w:rsid w:val="00295965"/>
    <w:rsid w:val="002A19D8"/>
    <w:rsid w:val="002A6D5B"/>
    <w:rsid w:val="002B4E90"/>
    <w:rsid w:val="002C029E"/>
    <w:rsid w:val="002D12E9"/>
    <w:rsid w:val="002D2B70"/>
    <w:rsid w:val="002D508C"/>
    <w:rsid w:val="002D5AF3"/>
    <w:rsid w:val="002E4555"/>
    <w:rsid w:val="002F1797"/>
    <w:rsid w:val="002F2502"/>
    <w:rsid w:val="002F5F59"/>
    <w:rsid w:val="002F79FC"/>
    <w:rsid w:val="00303623"/>
    <w:rsid w:val="0030737B"/>
    <w:rsid w:val="0031494C"/>
    <w:rsid w:val="00316BC4"/>
    <w:rsid w:val="00317834"/>
    <w:rsid w:val="00324A5C"/>
    <w:rsid w:val="00324D17"/>
    <w:rsid w:val="00325D95"/>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A12DC"/>
    <w:rsid w:val="003A65AB"/>
    <w:rsid w:val="003B2792"/>
    <w:rsid w:val="003C367F"/>
    <w:rsid w:val="003D122B"/>
    <w:rsid w:val="003D17DD"/>
    <w:rsid w:val="003D2DC7"/>
    <w:rsid w:val="003E6A67"/>
    <w:rsid w:val="003F192D"/>
    <w:rsid w:val="003F1C27"/>
    <w:rsid w:val="004150DE"/>
    <w:rsid w:val="004173CD"/>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7D6E"/>
    <w:rsid w:val="006112CB"/>
    <w:rsid w:val="00613CF1"/>
    <w:rsid w:val="0062118E"/>
    <w:rsid w:val="00630B71"/>
    <w:rsid w:val="00633E7A"/>
    <w:rsid w:val="00635C4A"/>
    <w:rsid w:val="00641C2B"/>
    <w:rsid w:val="00655D82"/>
    <w:rsid w:val="00663280"/>
    <w:rsid w:val="00663E63"/>
    <w:rsid w:val="00670B9C"/>
    <w:rsid w:val="006825D4"/>
    <w:rsid w:val="00682A4A"/>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407AB"/>
    <w:rsid w:val="00844552"/>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E6D5F"/>
    <w:rsid w:val="008F679B"/>
    <w:rsid w:val="00905A8C"/>
    <w:rsid w:val="00907CF5"/>
    <w:rsid w:val="0091364E"/>
    <w:rsid w:val="009164A4"/>
    <w:rsid w:val="00921442"/>
    <w:rsid w:val="00921BD6"/>
    <w:rsid w:val="00923FB4"/>
    <w:rsid w:val="00925318"/>
    <w:rsid w:val="009268E8"/>
    <w:rsid w:val="00931DE9"/>
    <w:rsid w:val="00967769"/>
    <w:rsid w:val="00981DB1"/>
    <w:rsid w:val="0098210D"/>
    <w:rsid w:val="0098383F"/>
    <w:rsid w:val="00996A96"/>
    <w:rsid w:val="009A1BCD"/>
    <w:rsid w:val="009A2DC8"/>
    <w:rsid w:val="009A32B4"/>
    <w:rsid w:val="009B0099"/>
    <w:rsid w:val="009B062C"/>
    <w:rsid w:val="009B1A89"/>
    <w:rsid w:val="009B4522"/>
    <w:rsid w:val="009C325C"/>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795D"/>
    <w:rsid w:val="00C07AB0"/>
    <w:rsid w:val="00C152C3"/>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C7D04B8-E6D1-8C41-BDF4-89EA2F95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5752</Words>
  <Characters>32791</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8</cp:revision>
  <dcterms:created xsi:type="dcterms:W3CDTF">2017-07-09T20:07:00Z</dcterms:created>
  <dcterms:modified xsi:type="dcterms:W3CDTF">2017-07-09T20:12:00Z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