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24" w:rsidRDefault="00774E24">
      <w:pPr>
        <w:pStyle w:val="T1"/>
        <w:pBdr>
          <w:bottom w:val="single" w:sz="6" w:space="1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2430"/>
        <w:gridCol w:w="4140"/>
        <w:gridCol w:w="1980"/>
        <w:gridCol w:w="1900"/>
      </w:tblGrid>
      <w:tr w:rsidR="00774E24">
        <w:trPr>
          <w:trHeight w:val="485"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774E24" w:rsidP="00BA55AD">
            <w:pPr>
              <w:pStyle w:val="T2"/>
            </w:pPr>
            <w:r>
              <w:t>[</w:t>
            </w:r>
            <w:r w:rsidR="00BA55AD">
              <w:t>ANQP Neighbor Report correction</w:t>
            </w:r>
            <w:r>
              <w:t>]</w:t>
            </w:r>
          </w:p>
        </w:tc>
      </w:tr>
      <w:tr w:rsidR="00774E24">
        <w:trPr>
          <w:trHeight w:val="359"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774E24" w:rsidP="00064C1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4C15">
              <w:rPr>
                <w:b w:val="0"/>
                <w:sz w:val="20"/>
              </w:rPr>
              <w:t>2017</w:t>
            </w:r>
            <w:r>
              <w:rPr>
                <w:b w:val="0"/>
                <w:sz w:val="20"/>
              </w:rPr>
              <w:t>-</w:t>
            </w:r>
            <w:r w:rsidR="00064C15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064C15">
              <w:rPr>
                <w:b w:val="0"/>
                <w:sz w:val="20"/>
              </w:rPr>
              <w:t>01</w:t>
            </w:r>
          </w:p>
        </w:tc>
      </w:tr>
      <w:tr w:rsidR="00774E24">
        <w:trPr>
          <w:cantSplit/>
          <w:jc w:val="center"/>
        </w:trPr>
        <w:tc>
          <w:tcPr>
            <w:tcW w:w="12981" w:type="dxa"/>
            <w:gridSpan w:val="5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:rsidR="00774E24" w:rsidRDefault="004C4DC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414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Default="00064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Gabor Bajko</w:t>
            </w:r>
          </w:p>
        </w:tc>
        <w:tc>
          <w:tcPr>
            <w:tcW w:w="2430" w:type="dxa"/>
            <w:vAlign w:val="center"/>
          </w:tcPr>
          <w:p w:rsidR="00774E24" w:rsidRDefault="00064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4140" w:type="dxa"/>
            <w:vAlign w:val="center"/>
          </w:tcPr>
          <w:p w:rsidR="00774E24" w:rsidRDefault="00064C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Rd</w:t>
            </w:r>
          </w:p>
        </w:tc>
        <w:tc>
          <w:tcPr>
            <w:tcW w:w="198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0" w:type="dxa"/>
            <w:vAlign w:val="center"/>
          </w:tcPr>
          <w:p w:rsidR="00774E24" w:rsidRDefault="00064C1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Gabor.bajko@mediatek.com</w:t>
            </w:r>
          </w:p>
        </w:tc>
      </w:tr>
      <w:tr w:rsidR="00774E24">
        <w:trPr>
          <w:jc w:val="center"/>
        </w:trPr>
        <w:tc>
          <w:tcPr>
            <w:tcW w:w="2531" w:type="dxa"/>
            <w:vAlign w:val="center"/>
          </w:tcPr>
          <w:p w:rsidR="00774E24" w:rsidRDefault="00BA55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Yee</w:t>
            </w:r>
          </w:p>
        </w:tc>
        <w:tc>
          <w:tcPr>
            <w:tcW w:w="2430" w:type="dxa"/>
            <w:vAlign w:val="center"/>
          </w:tcPr>
          <w:p w:rsidR="00774E24" w:rsidRDefault="00BA55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4140" w:type="dxa"/>
            <w:vAlign w:val="center"/>
          </w:tcPr>
          <w:p w:rsidR="00774E24" w:rsidRDefault="00BA55A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2840 Junction Rd</w:t>
            </w:r>
          </w:p>
        </w:tc>
        <w:tc>
          <w:tcPr>
            <w:tcW w:w="1980" w:type="dxa"/>
            <w:vAlign w:val="center"/>
          </w:tcPr>
          <w:p w:rsidR="00774E24" w:rsidRDefault="00774E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00" w:type="dxa"/>
            <w:vAlign w:val="center"/>
          </w:tcPr>
          <w:p w:rsidR="00774E24" w:rsidRDefault="00BA55A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James.yee@mediatek.com</w:t>
            </w:r>
          </w:p>
        </w:tc>
      </w:tr>
    </w:tbl>
    <w:p w:rsidR="00774E24" w:rsidRDefault="00774E24">
      <w:pPr>
        <w:pStyle w:val="T2"/>
        <w:ind w:left="0"/>
        <w:jc w:val="left"/>
        <w:rPr>
          <w:b w:val="0"/>
          <w:sz w:val="16"/>
        </w:rPr>
      </w:pPr>
    </w:p>
    <w:p w:rsidR="00BA55AD" w:rsidRDefault="00064C1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133985</wp:posOffset>
                </wp:positionV>
                <wp:extent cx="8229600" cy="2794635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279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589" w:rsidRDefault="0011058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3D6991" w:rsidRDefault="00110589">
                            <w:r>
                              <w:t>[</w:t>
                            </w:r>
                            <w:r w:rsidR="003D6991">
                              <w:t>802.11-2016 spec defines in section 9.4.5.19 the Neighbor Report ANQP element, allowing unassociated non-AP STAs to query the AP for Neighbor Report elements. The section was added by the TGmc TG.</w:t>
                            </w:r>
                          </w:p>
                          <w:p w:rsidR="003D6991" w:rsidRDefault="003D6991" w:rsidP="003D6991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The section also states “</w:t>
                            </w:r>
                            <w:r>
                              <w:rPr>
                                <w:rFonts w:ascii="TimesNewRomanPSMT" w:eastAsia="TimesNewRomanPSMT" w:cs="TimesNewRomanPSMT"/>
                                <w:sz w:val="20"/>
                                <w:lang w:val="en-US"/>
                              </w:rPr>
                              <w:t>The Element ID and the Length fields of the Neighbor Report element, as shown in Figure 9-295, are not included.</w:t>
                            </w:r>
                            <w:r>
                              <w:t>”, which restricts the AP from including multiple Neighbor Reports into the ANQP element, as otherwise it would not be parsable.</w:t>
                            </w:r>
                          </w:p>
                          <w:p w:rsidR="00110589" w:rsidRDefault="003D6991">
                            <w:r>
                              <w:t>There are some workarounds to overcome this issue, but the industry felt that this sentence is a leftover</w:t>
                            </w:r>
                            <w:r w:rsidR="00BA55AD">
                              <w:t xml:space="preserve"> from a previous version of a working TGmc draft,</w:t>
                            </w:r>
                            <w:r>
                              <w:t xml:space="preserve"> and decided to ignore it. Interop events at external organizations showed that all participating vendors include</w:t>
                            </w:r>
                            <w:r w:rsidR="00BA55AD">
                              <w:t>d</w:t>
                            </w:r>
                            <w:r>
                              <w:t xml:space="preserve"> the Element ID and length field when constructing a Neighbor Report ANQP element.</w:t>
                            </w:r>
                          </w:p>
                          <w:p w:rsidR="003D6991" w:rsidRDefault="003D6991"/>
                          <w:p w:rsidR="003D6991" w:rsidRDefault="003D6991">
                            <w:r>
                              <w:t>It is therefore proposed to remove the cited sentence from section 9.4.5.19.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.6pt;margin-top:10.55pt;width:9in;height:2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iOgwIAABE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" o:allowincell="f" stroked="f">
                <v:textbox>
                  <w:txbxContent>
                    <w:p w:rsidR="00110589" w:rsidRDefault="0011058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3D6991" w:rsidRDefault="00110589">
                      <w:r>
                        <w:t>[</w:t>
                      </w:r>
                      <w:r w:rsidR="003D6991">
                        <w:t>802.11-2016 spec defines in section 9.4.5.19 the Neighbor Report ANQP element, allowing unassociated non-AP STAs to query the AP for Neighbor Report elements. The section was added by the TGmc TG.</w:t>
                      </w:r>
                    </w:p>
                    <w:p w:rsidR="003D6991" w:rsidRDefault="003D6991" w:rsidP="003D6991">
                      <w:pPr>
                        <w:autoSpaceDE w:val="0"/>
                        <w:autoSpaceDN w:val="0"/>
                        <w:adjustRightInd w:val="0"/>
                      </w:pPr>
                      <w:r>
                        <w:t>The section also states “</w:t>
                      </w:r>
                      <w:r>
                        <w:rPr>
                          <w:rFonts w:ascii="TimesNewRomanPSMT" w:eastAsia="TimesNewRomanPSMT" w:cs="TimesNewRomanPSMT"/>
                          <w:sz w:val="20"/>
                          <w:lang w:val="en-US"/>
                        </w:rPr>
                        <w:t>The Element ID and the Length fields of the Neighbor Report element, as shown in Figure 9-295, are not included.</w:t>
                      </w:r>
                      <w:r>
                        <w:t>”, which restricts the AP from including multiple Neighbor Reports into the ANQP element, as otherwise it would not be parsable.</w:t>
                      </w:r>
                    </w:p>
                    <w:p w:rsidR="00110589" w:rsidRDefault="003D6991">
                      <w:r>
                        <w:t>There are some workarounds to overcome this issue, but the industry felt that this sentence is a leftover</w:t>
                      </w:r>
                      <w:r w:rsidR="00BA55AD">
                        <w:t xml:space="preserve"> from a previous version of a working TGmc draft,</w:t>
                      </w:r>
                      <w:r>
                        <w:t xml:space="preserve"> and decided to ignore it. Interop events at external organizations showed that all participating vendors include</w:t>
                      </w:r>
                      <w:r w:rsidR="00BA55AD">
                        <w:t>d</w:t>
                      </w:r>
                      <w:r>
                        <w:t xml:space="preserve"> the Element ID and length field when constructing a Neighbor Report ANQP element.</w:t>
                      </w:r>
                    </w:p>
                    <w:p w:rsidR="003D6991" w:rsidRDefault="003D6991"/>
                    <w:p w:rsidR="003D6991" w:rsidRDefault="003D6991">
                      <w:r>
                        <w:t>It is therefore proposed to remove the cited sentence from section 9.4.5.19.</w:t>
                      </w:r>
                    </w:p>
                  </w:txbxContent>
                </v:textbox>
              </v:shape>
            </w:pict>
          </mc:Fallback>
        </mc:AlternateContent>
      </w:r>
    </w:p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Pr="00BA55AD" w:rsidRDefault="00BA55AD" w:rsidP="00BA55AD"/>
    <w:p w:rsidR="00BA55AD" w:rsidRDefault="00BA55AD" w:rsidP="00BA55AD"/>
    <w:p w:rsidR="00BA55AD" w:rsidRDefault="00BA55AD" w:rsidP="00BA55AD"/>
    <w:p w:rsidR="00BA55AD" w:rsidRDefault="00BA55AD" w:rsidP="00BA55AD">
      <w:pPr>
        <w:tabs>
          <w:tab w:val="left" w:pos="3641"/>
        </w:tabs>
      </w:pPr>
      <w:r>
        <w:tab/>
      </w:r>
    </w:p>
    <w:p w:rsidR="00BA55AD" w:rsidRDefault="00BA55AD">
      <w:r>
        <w:br w:type="page"/>
      </w:r>
    </w:p>
    <w:p w:rsidR="00AC56A8" w:rsidRPr="00BA55AD" w:rsidRDefault="00BA55AD" w:rsidP="00BA55AD">
      <w:pPr>
        <w:tabs>
          <w:tab w:val="left" w:pos="3641"/>
        </w:tabs>
        <w:rPr>
          <w:color w:val="FF0000"/>
        </w:rPr>
      </w:pPr>
      <w:r w:rsidRPr="00BA55AD">
        <w:rPr>
          <w:color w:val="FF0000"/>
        </w:rPr>
        <w:lastRenderedPageBreak/>
        <w:t>Editor: make the following changes to 802.11-2016:</w:t>
      </w:r>
    </w:p>
    <w:p w:rsidR="00BA55AD" w:rsidRDefault="00BA55AD" w:rsidP="00BA55AD">
      <w:pPr>
        <w:tabs>
          <w:tab w:val="left" w:pos="3641"/>
        </w:tabs>
      </w:pPr>
    </w:p>
    <w:p w:rsidR="00BA55AD" w:rsidRDefault="00BA55AD" w:rsidP="00BA55A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9.4.5.19 Neighbor Report ANQP-element</w:t>
      </w:r>
    </w:p>
    <w:p w:rsidR="00BA55AD" w:rsidRDefault="00BA55AD" w:rsidP="00BA55AD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>The Neighbor Report ANQP-element provides zero or more neighbor reports about neighboring APs. This</w:t>
      </w:r>
    </w:p>
    <w:p w:rsidR="00BA55AD" w:rsidRDefault="00BA55AD" w:rsidP="00BA55AD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>is of benefit to a STA in a preassociated state. The format of the Neighbor Report ANQP-element is defined</w:t>
      </w:r>
    </w:p>
    <w:p w:rsidR="00BA55AD" w:rsidRDefault="00BA55AD" w:rsidP="00BA55AD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>in Figure 9-619.</w:t>
      </w:r>
    </w:p>
    <w:p w:rsidR="00BA55AD" w:rsidRDefault="00BA55AD" w:rsidP="00BA55AD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881"/>
        <w:gridCol w:w="2879"/>
        <w:gridCol w:w="4140"/>
      </w:tblGrid>
      <w:tr w:rsidR="00BA55AD" w:rsidTr="00BA55AD">
        <w:tc>
          <w:tcPr>
            <w:tcW w:w="2881" w:type="dxa"/>
          </w:tcPr>
          <w:p w:rsidR="00BA55AD" w:rsidRDefault="00BA55AD" w:rsidP="00BA55AD">
            <w:pPr>
              <w:autoSpaceDE w:val="0"/>
              <w:autoSpaceDN w:val="0"/>
              <w:adjustRightInd w:val="0"/>
              <w:rPr>
                <w:rFonts w:ascii="TimesNewRomanPSMT" w:eastAsia="TimesNewRomanPSMT" w:hAnsi="Arial-BoldMT" w:cs="TimesNewRomanPSMT"/>
                <w:sz w:val="20"/>
                <w:lang w:val="en-US"/>
              </w:rPr>
            </w:pPr>
            <w:r>
              <w:rPr>
                <w:rFonts w:ascii="TimesNewRomanPSMT" w:eastAsia="TimesNewRomanPSMT" w:hAnsi="Arial-BoldMT" w:cs="TimesNewRomanPSMT"/>
                <w:sz w:val="20"/>
                <w:lang w:val="en-US"/>
              </w:rPr>
              <w:t>Info ID</w:t>
            </w:r>
          </w:p>
        </w:tc>
        <w:tc>
          <w:tcPr>
            <w:tcW w:w="2879" w:type="dxa"/>
          </w:tcPr>
          <w:p w:rsidR="00BA55AD" w:rsidRDefault="00BA55AD" w:rsidP="00BA55AD">
            <w:pPr>
              <w:autoSpaceDE w:val="0"/>
              <w:autoSpaceDN w:val="0"/>
              <w:adjustRightInd w:val="0"/>
              <w:rPr>
                <w:rFonts w:ascii="TimesNewRomanPSMT" w:eastAsia="TimesNewRomanPSMT" w:hAnsi="Arial-BoldMT" w:cs="TimesNewRomanPSMT"/>
                <w:sz w:val="20"/>
                <w:lang w:val="en-US"/>
              </w:rPr>
            </w:pPr>
            <w:r>
              <w:rPr>
                <w:rFonts w:ascii="TimesNewRomanPSMT" w:eastAsia="TimesNewRomanPSMT" w:hAnsi="Arial-BoldMT" w:cs="TimesNewRomanPSMT"/>
                <w:sz w:val="20"/>
                <w:lang w:val="en-US"/>
              </w:rPr>
              <w:t>Length</w:t>
            </w:r>
          </w:p>
        </w:tc>
        <w:tc>
          <w:tcPr>
            <w:tcW w:w="4140" w:type="dxa"/>
          </w:tcPr>
          <w:p w:rsidR="00BA55AD" w:rsidRDefault="00BA55AD" w:rsidP="00BA55AD">
            <w:pPr>
              <w:autoSpaceDE w:val="0"/>
              <w:autoSpaceDN w:val="0"/>
              <w:adjustRightInd w:val="0"/>
              <w:rPr>
                <w:rFonts w:ascii="TimesNewRomanPSMT" w:eastAsia="TimesNewRomanPSMT" w:hAnsi="Arial-BoldMT" w:cs="TimesNewRomanPSMT"/>
                <w:sz w:val="20"/>
                <w:lang w:val="en-US"/>
              </w:rPr>
            </w:pPr>
            <w:r w:rsidRPr="00BA55AD">
              <w:rPr>
                <w:rFonts w:ascii="TimesNewRomanPSMT" w:eastAsia="TimesNewRomanPSMT" w:hAnsi="Arial-BoldMT" w:cs="TimesNewRomanPSMT"/>
                <w:sz w:val="20"/>
                <w:lang w:val="en-US"/>
              </w:rPr>
              <w:t>Neighbor Report</w:t>
            </w:r>
            <w:r>
              <w:rPr>
                <w:rFonts w:ascii="TimesNewRomanPSMT" w:eastAsia="TimesNewRomanPSMT" w:hAnsi="Arial-BoldMT" w:cs="TimesNewRomanPSMT"/>
                <w:sz w:val="20"/>
                <w:lang w:val="en-US"/>
              </w:rPr>
              <w:t xml:space="preserve"> </w:t>
            </w:r>
            <w:r w:rsidRPr="00BA55AD">
              <w:rPr>
                <w:rFonts w:ascii="TimesNewRomanPSMT" w:eastAsia="TimesNewRomanPSMT" w:hAnsi="Arial-BoldMT" w:cs="TimesNewRomanPSMT"/>
                <w:sz w:val="20"/>
                <w:lang w:val="en-US"/>
              </w:rPr>
              <w:t>element (optional)</w:t>
            </w:r>
          </w:p>
        </w:tc>
      </w:tr>
    </w:tbl>
    <w:p w:rsidR="00BA55AD" w:rsidRDefault="00BA55AD" w:rsidP="00BA55AD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 xml:space="preserve">Octets: </w:t>
      </w:r>
      <w:r>
        <w:rPr>
          <w:rFonts w:ascii="TimesNewRomanPSMT" w:eastAsia="TimesNewRomanPSMT" w:hAnsi="Arial-BoldMT" w:cs="TimesNewRomanPSMT"/>
          <w:sz w:val="20"/>
          <w:lang w:val="en-US"/>
        </w:rPr>
        <w:tab/>
      </w:r>
      <w:r>
        <w:rPr>
          <w:rFonts w:ascii="TimesNewRomanPSMT" w:eastAsia="TimesNewRomanPSMT" w:hAnsi="Arial-BoldMT" w:cs="TimesNewRomanPSMT"/>
          <w:sz w:val="20"/>
          <w:lang w:val="en-US"/>
        </w:rPr>
        <w:tab/>
      </w:r>
      <w:r>
        <w:rPr>
          <w:rFonts w:ascii="TimesNewRomanPSMT" w:eastAsia="TimesNewRomanPSMT" w:hAnsi="Arial-BoldMT" w:cs="TimesNewRomanPSMT"/>
          <w:sz w:val="20"/>
          <w:lang w:val="en-US"/>
        </w:rPr>
        <w:tab/>
        <w:t>2</w:t>
      </w:r>
      <w:r>
        <w:rPr>
          <w:rFonts w:ascii="TimesNewRomanPSMT" w:eastAsia="TimesNewRomanPSMT" w:hAnsi="Arial-BoldMT" w:cs="TimesNewRomanPSMT"/>
          <w:sz w:val="20"/>
          <w:lang w:val="en-US"/>
        </w:rPr>
        <w:tab/>
      </w:r>
      <w:r>
        <w:rPr>
          <w:rFonts w:ascii="TimesNewRomanPSMT" w:eastAsia="TimesNewRomanPSMT" w:hAnsi="Arial-BoldMT" w:cs="TimesNewRomanPSMT"/>
          <w:sz w:val="20"/>
          <w:lang w:val="en-US"/>
        </w:rPr>
        <w:tab/>
      </w:r>
      <w:r>
        <w:rPr>
          <w:rFonts w:ascii="TimesNewRomanPSMT" w:eastAsia="TimesNewRomanPSMT" w:hAnsi="Arial-BoldMT" w:cs="TimesNewRomanPSMT"/>
          <w:sz w:val="20"/>
          <w:lang w:val="en-US"/>
        </w:rPr>
        <w:tab/>
      </w:r>
      <w:r>
        <w:rPr>
          <w:rFonts w:ascii="TimesNewRomanPSMT" w:eastAsia="TimesNewRomanPSMT" w:hAnsi="Arial-BoldMT" w:cs="TimesNewRomanPSMT"/>
          <w:sz w:val="20"/>
          <w:lang w:val="en-US"/>
        </w:rPr>
        <w:tab/>
        <w:t>2</w:t>
      </w:r>
      <w:r>
        <w:rPr>
          <w:rFonts w:ascii="TimesNewRomanPSMT" w:eastAsia="TimesNewRomanPSMT" w:hAnsi="Arial-BoldMT" w:cs="TimesNewRomanPSMT"/>
          <w:sz w:val="20"/>
          <w:lang w:val="en-US"/>
        </w:rPr>
        <w:tab/>
      </w:r>
      <w:r>
        <w:rPr>
          <w:rFonts w:ascii="TimesNewRomanPSMT" w:eastAsia="TimesNewRomanPSMT" w:hAnsi="Arial-BoldMT" w:cs="TimesNewRomanPSMT"/>
          <w:sz w:val="20"/>
          <w:lang w:val="en-US"/>
        </w:rPr>
        <w:tab/>
      </w:r>
      <w:r>
        <w:rPr>
          <w:rFonts w:ascii="TimesNewRomanPSMT" w:eastAsia="TimesNewRomanPSMT" w:hAnsi="Arial-BoldMT" w:cs="TimesNewRomanPSMT"/>
          <w:sz w:val="20"/>
          <w:lang w:val="en-US"/>
        </w:rPr>
        <w:tab/>
      </w:r>
      <w:r>
        <w:rPr>
          <w:rFonts w:ascii="TimesNewRomanPSMT" w:eastAsia="TimesNewRomanPSMT" w:hAnsi="Arial-BoldMT" w:cs="TimesNewRomanPSMT"/>
          <w:sz w:val="20"/>
          <w:lang w:val="en-US"/>
        </w:rPr>
        <w:tab/>
        <w:t>variable</w:t>
      </w:r>
    </w:p>
    <w:p w:rsidR="00BA55AD" w:rsidRDefault="00BA55AD" w:rsidP="00BA55AD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/>
        </w:rPr>
      </w:pPr>
    </w:p>
    <w:p w:rsidR="00BA55AD" w:rsidRDefault="00BA55AD" w:rsidP="00BA55AD">
      <w:pPr>
        <w:autoSpaceDE w:val="0"/>
        <w:autoSpaceDN w:val="0"/>
        <w:adjustRightInd w:val="0"/>
        <w:rPr>
          <w:rFonts w:ascii="TimesNewRomanPSMT" w:eastAsia="TimesNewRomanPSMT" w:hAnsi="Arial-BoldMT" w:cs="TimesNewRomanPSMT"/>
          <w:sz w:val="20"/>
          <w:lang w:val="en-US"/>
        </w:rPr>
      </w:pPr>
      <w:r>
        <w:rPr>
          <w:rFonts w:ascii="TimesNewRomanPSMT" w:eastAsia="TimesNewRomanPSMT" w:hAnsi="Arial-BoldMT" w:cs="TimesNewRomanPSMT"/>
          <w:sz w:val="20"/>
          <w:lang w:val="en-US"/>
        </w:rPr>
        <w:t>The Info ID and Length fields are defined in 9.4.5.1.</w:t>
      </w:r>
    </w:p>
    <w:p w:rsidR="00BA55AD" w:rsidRPr="00BA55AD" w:rsidRDefault="00BA55AD" w:rsidP="00BA55AD">
      <w:pPr>
        <w:autoSpaceDE w:val="0"/>
        <w:autoSpaceDN w:val="0"/>
        <w:adjustRightInd w:val="0"/>
      </w:pPr>
      <w:r>
        <w:rPr>
          <w:rFonts w:ascii="TimesNewRomanPSMT" w:eastAsia="TimesNewRomanPSMT" w:hAnsi="Arial-BoldMT" w:cs="TimesNewRomanPSMT"/>
          <w:sz w:val="20"/>
          <w:lang w:val="en-US"/>
        </w:rPr>
        <w:t xml:space="preserve">The format of the Neighbor Report element is shown in Figure 9-295 defined in 9.4.2.37. </w:t>
      </w:r>
      <w:r w:rsidRPr="00BA55AD">
        <w:rPr>
          <w:rFonts w:ascii="TimesNewRomanPSMT" w:eastAsia="TimesNewRomanPSMT" w:hAnsi="Arial-BoldMT" w:cs="TimesNewRomanPSMT"/>
          <w:strike/>
          <w:color w:val="FF0000"/>
          <w:sz w:val="20"/>
          <w:lang w:val="en-US"/>
        </w:rPr>
        <w:t>The Element ID</w:t>
      </w:r>
      <w:r w:rsidRPr="00BA55AD">
        <w:rPr>
          <w:rFonts w:ascii="TimesNewRomanPSMT" w:eastAsia="TimesNewRomanPSMT" w:hAnsi="Arial-BoldMT" w:cs="TimesNewRomanPSMT"/>
          <w:strike/>
          <w:color w:val="FF0000"/>
          <w:sz w:val="20"/>
          <w:lang w:val="en-US"/>
        </w:rPr>
        <w:t xml:space="preserve"> </w:t>
      </w:r>
      <w:r w:rsidRPr="00BA55AD">
        <w:rPr>
          <w:rFonts w:ascii="TimesNewRomanPSMT" w:eastAsia="TimesNewRomanPSMT" w:hAnsi="Arial-BoldMT" w:cs="TimesNewRomanPSMT"/>
          <w:strike/>
          <w:color w:val="FF0000"/>
          <w:sz w:val="20"/>
          <w:lang w:val="en-US"/>
        </w:rPr>
        <w:t xml:space="preserve">and the Length fields of the Neighbor Report element, as shown in Figure 9-295, are not included. </w:t>
      </w:r>
      <w:r>
        <w:rPr>
          <w:rFonts w:ascii="TimesNewRomanPSMT" w:eastAsia="TimesNewRomanPSMT" w:hAnsi="Arial-BoldMT" w:cs="TimesNewRomanPSMT"/>
          <w:sz w:val="20"/>
          <w:lang w:val="en-US"/>
        </w:rPr>
        <w:t>The Co-Located BSSID List subelement is present when there is at least one other BSS which is co-located with the</w:t>
      </w:r>
      <w:r>
        <w:rPr>
          <w:rFonts w:ascii="TimesNewRomanPSMT" w:eastAsia="TimesNewRomanPSMT" w:hAnsi="Arial-BoldMT" w:cs="TimesNewRomanPSMT"/>
          <w:sz w:val="20"/>
          <w:lang w:val="en-US"/>
        </w:rPr>
        <w:t xml:space="preserve"> </w:t>
      </w:r>
      <w:r>
        <w:rPr>
          <w:rFonts w:ascii="TimesNewRomanPSMT" w:eastAsia="TimesNewRomanPSMT" w:hAnsi="Arial-BoldMT" w:cs="TimesNewRomanPSMT"/>
          <w:sz w:val="20"/>
          <w:lang w:val="en-US"/>
        </w:rPr>
        <w:t>reporting BSS.</w:t>
      </w:r>
      <w:bookmarkStart w:id="0" w:name="_GoBack"/>
      <w:bookmarkEnd w:id="0"/>
    </w:p>
    <w:sectPr w:rsidR="00BA55AD" w:rsidRPr="00BA55AD">
      <w:headerReference w:type="default" r:id="rId6"/>
      <w:footerReference w:type="default" r:id="rId7"/>
      <w:pgSz w:w="15840" w:h="12240" w:orient="landscape" w:code="1"/>
      <w:pgMar w:top="1080" w:right="1080" w:bottom="1080" w:left="1080" w:header="432" w:footer="432" w:gutter="72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8C" w:rsidRDefault="00F1148C">
      <w:r>
        <w:separator/>
      </w:r>
    </w:p>
  </w:endnote>
  <w:endnote w:type="continuationSeparator" w:id="0">
    <w:p w:rsidR="00F1148C" w:rsidRDefault="00F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89" w:rsidRDefault="00F1148C">
    <w:pPr>
      <w:pStyle w:val="Footer"/>
    </w:pPr>
    <w:r>
      <w:fldChar w:fldCharType="begin"/>
    </w:r>
    <w:r>
      <w:instrText xml:space="preserve"> SUBJECT  \* MERGEFORMAT </w:instrText>
    </w:r>
    <w:r>
      <w:fldChar w:fldCharType="separate"/>
    </w:r>
    <w:r w:rsidR="00064C15">
      <w:t>Submission</w:t>
    </w:r>
    <w:r>
      <w:fldChar w:fldCharType="end"/>
    </w:r>
    <w:r w:rsidR="00110589">
      <w:tab/>
      <w:t xml:space="preserve">page </w:t>
    </w:r>
    <w:r w:rsidR="00110589">
      <w:fldChar w:fldCharType="begin"/>
    </w:r>
    <w:r w:rsidR="00110589">
      <w:instrText xml:space="preserve">page </w:instrText>
    </w:r>
    <w:r w:rsidR="00110589">
      <w:fldChar w:fldCharType="separate"/>
    </w:r>
    <w:r w:rsidR="00935B03">
      <w:rPr>
        <w:noProof/>
      </w:rPr>
      <w:t>2</w:t>
    </w:r>
    <w:r w:rsidR="00110589">
      <w:fldChar w:fldCharType="end"/>
    </w:r>
    <w:r w:rsidR="00110589">
      <w:tab/>
    </w:r>
    <w:r>
      <w:fldChar w:fldCharType="begin"/>
    </w:r>
    <w:r>
      <w:instrText xml:space="preserve"> COMMENTS  \* MERGEFORMAT </w:instrText>
    </w:r>
    <w:r>
      <w:fldChar w:fldCharType="separate"/>
    </w:r>
    <w:r w:rsidR="00064C15">
      <w:t>Jane Doe, Some Company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8C" w:rsidRDefault="00F1148C">
      <w:r>
        <w:separator/>
      </w:r>
    </w:p>
  </w:footnote>
  <w:footnote w:type="continuationSeparator" w:id="0">
    <w:p w:rsidR="00F1148C" w:rsidRDefault="00F11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89" w:rsidRDefault="00064C15">
    <w:pPr>
      <w:pStyle w:val="Header"/>
      <w:rPr>
        <w:sz w:val="36"/>
      </w:rPr>
    </w:pPr>
    <w:r>
      <w:rPr>
        <w:sz w:val="36"/>
      </w:rPr>
      <w:t>July 2017</w:t>
    </w:r>
    <w:r w:rsidR="00110589">
      <w:rPr>
        <w:sz w:val="36"/>
      </w:rPr>
      <w:tab/>
    </w:r>
    <w:r w:rsidR="00110589">
      <w:rPr>
        <w:sz w:val="36"/>
      </w:rPr>
      <w:tab/>
    </w:r>
    <w:r w:rsidR="00110589">
      <w:rPr>
        <w:sz w:val="36"/>
      </w:rPr>
      <w:fldChar w:fldCharType="begin"/>
    </w:r>
    <w:r w:rsidR="00110589">
      <w:rPr>
        <w:sz w:val="36"/>
      </w:rPr>
      <w:instrText xml:space="preserve"> TITLE  \* MERGEFORMAT </w:instrText>
    </w:r>
    <w:r w:rsidR="00110589">
      <w:rPr>
        <w:sz w:val="36"/>
      </w:rPr>
      <w:fldChar w:fldCharType="separate"/>
    </w:r>
    <w:r>
      <w:rPr>
        <w:sz w:val="36"/>
      </w:rPr>
      <w:t>doc.: IEEE 802.11-</w:t>
    </w:r>
    <w:r w:rsidR="00BA55AD">
      <w:rPr>
        <w:sz w:val="36"/>
      </w:rPr>
      <w:t>17</w:t>
    </w:r>
    <w:r>
      <w:rPr>
        <w:sz w:val="36"/>
      </w:rPr>
      <w:t>/</w:t>
    </w:r>
    <w:r w:rsidR="00BA55AD">
      <w:rPr>
        <w:sz w:val="36"/>
      </w:rPr>
      <w:t>970</w:t>
    </w:r>
    <w:r>
      <w:rPr>
        <w:sz w:val="36"/>
      </w:rPr>
      <w:t>r0</w:t>
    </w:r>
    <w:r w:rsidR="00110589">
      <w:rPr>
        <w:sz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15"/>
    <w:rsid w:val="00030F38"/>
    <w:rsid w:val="00064C15"/>
    <w:rsid w:val="00110589"/>
    <w:rsid w:val="003217C1"/>
    <w:rsid w:val="00341DF0"/>
    <w:rsid w:val="003D6991"/>
    <w:rsid w:val="004C4DC2"/>
    <w:rsid w:val="00576692"/>
    <w:rsid w:val="00653345"/>
    <w:rsid w:val="00774E24"/>
    <w:rsid w:val="00935B03"/>
    <w:rsid w:val="00A13DBF"/>
    <w:rsid w:val="00AC56A8"/>
    <w:rsid w:val="00AF0C7A"/>
    <w:rsid w:val="00B729B5"/>
    <w:rsid w:val="00BA55AD"/>
    <w:rsid w:val="00CB365A"/>
    <w:rsid w:val="00DB1214"/>
    <w:rsid w:val="00E812CE"/>
    <w:rsid w:val="00F1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FC96E-8AD1-4D71-976C-48DD4727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autoSpaceDE w:val="0"/>
      <w:autoSpaceDN w:val="0"/>
      <w:adjustRightInd w:val="0"/>
      <w:spacing w:before="280"/>
      <w:outlineLvl w:val="1"/>
    </w:pPr>
    <w:rPr>
      <w:rFonts w:ascii="Arial" w:hAnsi="Arial"/>
      <w:b/>
      <w:color w:val="00000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240"/>
      <w:outlineLvl w:val="2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sid w:val="00CB365A"/>
    <w:rPr>
      <w:color w:val="0000FF"/>
      <w:u w:val="single"/>
    </w:rPr>
  </w:style>
  <w:style w:type="table" w:styleId="TableGrid">
    <w:name w:val="Table Grid"/>
    <w:basedOn w:val="TableNormal"/>
    <w:rsid w:val="00064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802-11-Submission-Landscape.dot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mediatek</dc:creator>
  <cp:keywords>Month Year</cp:keywords>
  <dc:description>Jane Doe, Some Company</dc:description>
  <cp:lastModifiedBy>Gabor Bajko</cp:lastModifiedBy>
  <cp:revision>2</cp:revision>
  <cp:lastPrinted>2017-06-29T22:49:00Z</cp:lastPrinted>
  <dcterms:created xsi:type="dcterms:W3CDTF">2017-07-04T17:16:00Z</dcterms:created>
  <dcterms:modified xsi:type="dcterms:W3CDTF">2017-07-04T17:16:00Z</dcterms:modified>
</cp:coreProperties>
</file>