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70DA1" w:rsidRDefault="00CA09B2">
      <w:pPr>
        <w:pStyle w:val="T1"/>
        <w:pBdr>
          <w:bottom w:val="single" w:sz="6" w:space="0" w:color="auto"/>
        </w:pBdr>
        <w:spacing w:after="240"/>
      </w:pPr>
      <w:r w:rsidRPr="00570DA1">
        <w:t>IEEE P802.11</w:t>
      </w:r>
      <w:r w:rsidRPr="00570DA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60"/>
        <w:gridCol w:w="2619"/>
        <w:gridCol w:w="981"/>
        <w:gridCol w:w="2381"/>
      </w:tblGrid>
      <w:tr w:rsidR="00570DA1" w:rsidRPr="00570DA1" w:rsidTr="00E16D76">
        <w:trPr>
          <w:trHeight w:val="485"/>
          <w:jc w:val="center"/>
        </w:trPr>
        <w:tc>
          <w:tcPr>
            <w:tcW w:w="9576" w:type="dxa"/>
            <w:gridSpan w:val="5"/>
            <w:vAlign w:val="center"/>
          </w:tcPr>
          <w:p w:rsidR="00CA09B2" w:rsidRPr="00570DA1" w:rsidRDefault="009B0DFA" w:rsidP="004E2A1F">
            <w:pPr>
              <w:pStyle w:val="T2"/>
            </w:pPr>
            <w:r w:rsidRPr="00570DA1">
              <w:t>TRN Subfield Indexing for EDMG PPDUs</w:t>
            </w:r>
          </w:p>
        </w:tc>
      </w:tr>
      <w:tr w:rsidR="00570DA1" w:rsidRPr="00570DA1" w:rsidTr="00E16D76">
        <w:trPr>
          <w:trHeight w:val="359"/>
          <w:jc w:val="center"/>
        </w:trPr>
        <w:tc>
          <w:tcPr>
            <w:tcW w:w="9576" w:type="dxa"/>
            <w:gridSpan w:val="5"/>
            <w:vAlign w:val="center"/>
          </w:tcPr>
          <w:p w:rsidR="00CA09B2" w:rsidRPr="00570DA1" w:rsidRDefault="00CA09B2" w:rsidP="00383B02">
            <w:pPr>
              <w:pStyle w:val="T2"/>
              <w:ind w:left="0"/>
              <w:rPr>
                <w:sz w:val="20"/>
              </w:rPr>
            </w:pPr>
            <w:r w:rsidRPr="00570DA1">
              <w:rPr>
                <w:sz w:val="20"/>
              </w:rPr>
              <w:t>Date:</w:t>
            </w:r>
            <w:r w:rsidRPr="00570DA1">
              <w:rPr>
                <w:b w:val="0"/>
                <w:sz w:val="20"/>
              </w:rPr>
              <w:t xml:space="preserve">  </w:t>
            </w:r>
            <w:r w:rsidR="00383B02">
              <w:rPr>
                <w:b w:val="0"/>
                <w:sz w:val="20"/>
              </w:rPr>
              <w:t>2017</w:t>
            </w:r>
            <w:r w:rsidRPr="00570DA1">
              <w:rPr>
                <w:b w:val="0"/>
                <w:sz w:val="20"/>
              </w:rPr>
              <w:t>-</w:t>
            </w:r>
            <w:r w:rsidR="00383B02">
              <w:rPr>
                <w:b w:val="0"/>
                <w:sz w:val="20"/>
              </w:rPr>
              <w:t>07</w:t>
            </w:r>
            <w:r w:rsidRPr="00570DA1">
              <w:rPr>
                <w:b w:val="0"/>
                <w:sz w:val="20"/>
              </w:rPr>
              <w:t>-</w:t>
            </w:r>
            <w:r w:rsidR="00383B02">
              <w:rPr>
                <w:b w:val="0"/>
                <w:sz w:val="20"/>
              </w:rPr>
              <w:t>10</w:t>
            </w:r>
          </w:p>
        </w:tc>
      </w:tr>
      <w:tr w:rsidR="00570DA1" w:rsidRPr="00570DA1" w:rsidTr="00E16D76">
        <w:trPr>
          <w:cantSplit/>
          <w:jc w:val="center"/>
        </w:trPr>
        <w:tc>
          <w:tcPr>
            <w:tcW w:w="9576" w:type="dxa"/>
            <w:gridSpan w:val="5"/>
            <w:vAlign w:val="center"/>
          </w:tcPr>
          <w:p w:rsidR="00CA09B2" w:rsidRPr="00570DA1" w:rsidRDefault="00CA09B2">
            <w:pPr>
              <w:pStyle w:val="T2"/>
              <w:spacing w:after="0"/>
              <w:ind w:left="0" w:right="0"/>
              <w:jc w:val="left"/>
              <w:rPr>
                <w:sz w:val="20"/>
              </w:rPr>
            </w:pPr>
            <w:r w:rsidRPr="00570DA1">
              <w:rPr>
                <w:sz w:val="20"/>
              </w:rPr>
              <w:t>Author(s):</w:t>
            </w:r>
          </w:p>
        </w:tc>
      </w:tr>
      <w:tr w:rsidR="00570DA1" w:rsidRPr="00570DA1" w:rsidTr="009B0DFA">
        <w:trPr>
          <w:jc w:val="center"/>
        </w:trPr>
        <w:tc>
          <w:tcPr>
            <w:tcW w:w="2335" w:type="dxa"/>
            <w:vAlign w:val="center"/>
          </w:tcPr>
          <w:p w:rsidR="00CA09B2" w:rsidRPr="00570DA1" w:rsidRDefault="00CA09B2">
            <w:pPr>
              <w:pStyle w:val="T2"/>
              <w:spacing w:after="0"/>
              <w:ind w:left="0" w:right="0"/>
              <w:jc w:val="left"/>
              <w:rPr>
                <w:sz w:val="20"/>
              </w:rPr>
            </w:pPr>
            <w:r w:rsidRPr="00570DA1">
              <w:rPr>
                <w:sz w:val="20"/>
              </w:rPr>
              <w:t>Name</w:t>
            </w:r>
          </w:p>
        </w:tc>
        <w:tc>
          <w:tcPr>
            <w:tcW w:w="1260" w:type="dxa"/>
            <w:vAlign w:val="center"/>
          </w:tcPr>
          <w:p w:rsidR="00CA09B2" w:rsidRPr="00570DA1" w:rsidRDefault="0062440B">
            <w:pPr>
              <w:pStyle w:val="T2"/>
              <w:spacing w:after="0"/>
              <w:ind w:left="0" w:right="0"/>
              <w:jc w:val="left"/>
              <w:rPr>
                <w:sz w:val="20"/>
              </w:rPr>
            </w:pPr>
            <w:r w:rsidRPr="00570DA1">
              <w:rPr>
                <w:sz w:val="20"/>
              </w:rPr>
              <w:t>Affiliation</w:t>
            </w:r>
          </w:p>
        </w:tc>
        <w:tc>
          <w:tcPr>
            <w:tcW w:w="2619" w:type="dxa"/>
            <w:vAlign w:val="center"/>
          </w:tcPr>
          <w:p w:rsidR="00CA09B2" w:rsidRPr="00570DA1" w:rsidRDefault="00CA09B2">
            <w:pPr>
              <w:pStyle w:val="T2"/>
              <w:spacing w:after="0"/>
              <w:ind w:left="0" w:right="0"/>
              <w:jc w:val="left"/>
              <w:rPr>
                <w:sz w:val="20"/>
              </w:rPr>
            </w:pPr>
            <w:r w:rsidRPr="00570DA1">
              <w:rPr>
                <w:sz w:val="20"/>
              </w:rPr>
              <w:t>Address</w:t>
            </w:r>
          </w:p>
        </w:tc>
        <w:tc>
          <w:tcPr>
            <w:tcW w:w="981" w:type="dxa"/>
            <w:vAlign w:val="center"/>
          </w:tcPr>
          <w:p w:rsidR="00CA09B2" w:rsidRPr="00570DA1" w:rsidRDefault="00CA09B2">
            <w:pPr>
              <w:pStyle w:val="T2"/>
              <w:spacing w:after="0"/>
              <w:ind w:left="0" w:right="0"/>
              <w:jc w:val="left"/>
              <w:rPr>
                <w:sz w:val="20"/>
              </w:rPr>
            </w:pPr>
            <w:r w:rsidRPr="00570DA1">
              <w:rPr>
                <w:sz w:val="20"/>
              </w:rPr>
              <w:t>Phone</w:t>
            </w:r>
          </w:p>
        </w:tc>
        <w:tc>
          <w:tcPr>
            <w:tcW w:w="2381" w:type="dxa"/>
            <w:vAlign w:val="center"/>
          </w:tcPr>
          <w:p w:rsidR="00CA09B2" w:rsidRPr="00570DA1" w:rsidRDefault="00CA09B2">
            <w:pPr>
              <w:pStyle w:val="T2"/>
              <w:spacing w:after="0"/>
              <w:ind w:left="0" w:right="0"/>
              <w:jc w:val="left"/>
              <w:rPr>
                <w:sz w:val="20"/>
              </w:rPr>
            </w:pPr>
            <w:r w:rsidRPr="00570DA1">
              <w:rPr>
                <w:sz w:val="20"/>
              </w:rPr>
              <w:t>email</w:t>
            </w:r>
          </w:p>
        </w:tc>
      </w:tr>
      <w:tr w:rsidR="00570DA1" w:rsidRPr="00570DA1" w:rsidTr="009B0DFA">
        <w:trPr>
          <w:jc w:val="center"/>
        </w:trPr>
        <w:tc>
          <w:tcPr>
            <w:tcW w:w="2335" w:type="dxa"/>
            <w:vAlign w:val="center"/>
          </w:tcPr>
          <w:p w:rsidR="00CA09B2" w:rsidRPr="00570DA1" w:rsidRDefault="00E16D76">
            <w:pPr>
              <w:pStyle w:val="T2"/>
              <w:spacing w:after="0"/>
              <w:ind w:left="0" w:right="0"/>
              <w:rPr>
                <w:b w:val="0"/>
                <w:sz w:val="20"/>
              </w:rPr>
            </w:pPr>
            <w:r w:rsidRPr="00570DA1">
              <w:rPr>
                <w:b w:val="0"/>
                <w:sz w:val="20"/>
              </w:rPr>
              <w:t>Claudio da Silva</w:t>
            </w:r>
          </w:p>
        </w:tc>
        <w:tc>
          <w:tcPr>
            <w:tcW w:w="1260" w:type="dxa"/>
            <w:vAlign w:val="center"/>
          </w:tcPr>
          <w:p w:rsidR="00CA09B2" w:rsidRPr="00570DA1" w:rsidRDefault="00E16D76">
            <w:pPr>
              <w:pStyle w:val="T2"/>
              <w:spacing w:after="0"/>
              <w:ind w:left="0" w:right="0"/>
              <w:rPr>
                <w:b w:val="0"/>
                <w:sz w:val="20"/>
              </w:rPr>
            </w:pPr>
            <w:r w:rsidRPr="00570DA1">
              <w:rPr>
                <w:b w:val="0"/>
                <w:sz w:val="20"/>
              </w:rPr>
              <w:t>Intel</w:t>
            </w:r>
          </w:p>
        </w:tc>
        <w:tc>
          <w:tcPr>
            <w:tcW w:w="2619" w:type="dxa"/>
            <w:vAlign w:val="center"/>
          </w:tcPr>
          <w:p w:rsidR="00CA09B2" w:rsidRPr="00570DA1" w:rsidRDefault="00CA09B2">
            <w:pPr>
              <w:pStyle w:val="T2"/>
              <w:spacing w:after="0"/>
              <w:ind w:left="0" w:right="0"/>
              <w:rPr>
                <w:b w:val="0"/>
                <w:sz w:val="20"/>
              </w:rPr>
            </w:pPr>
          </w:p>
        </w:tc>
        <w:tc>
          <w:tcPr>
            <w:tcW w:w="981" w:type="dxa"/>
            <w:vAlign w:val="center"/>
          </w:tcPr>
          <w:p w:rsidR="00CA09B2" w:rsidRPr="00570DA1" w:rsidRDefault="00CA09B2">
            <w:pPr>
              <w:pStyle w:val="T2"/>
              <w:spacing w:after="0"/>
              <w:ind w:left="0" w:right="0"/>
              <w:rPr>
                <w:b w:val="0"/>
                <w:sz w:val="20"/>
              </w:rPr>
            </w:pPr>
          </w:p>
        </w:tc>
        <w:tc>
          <w:tcPr>
            <w:tcW w:w="2381" w:type="dxa"/>
            <w:vAlign w:val="center"/>
          </w:tcPr>
          <w:p w:rsidR="00CA09B2" w:rsidRPr="00570DA1" w:rsidRDefault="00E16D76">
            <w:pPr>
              <w:pStyle w:val="T2"/>
              <w:spacing w:after="0"/>
              <w:ind w:left="0" w:right="0"/>
              <w:rPr>
                <w:b w:val="0"/>
                <w:sz w:val="16"/>
              </w:rPr>
            </w:pPr>
            <w:r w:rsidRPr="00570DA1">
              <w:rPr>
                <w:b w:val="0"/>
                <w:sz w:val="16"/>
              </w:rPr>
              <w:t>claudio.da.silva@intel.com</w:t>
            </w:r>
          </w:p>
        </w:tc>
      </w:tr>
      <w:tr w:rsidR="00570DA1" w:rsidRPr="00570DA1" w:rsidTr="009B0DFA">
        <w:trPr>
          <w:jc w:val="center"/>
        </w:trPr>
        <w:tc>
          <w:tcPr>
            <w:tcW w:w="2335" w:type="dxa"/>
            <w:vAlign w:val="center"/>
          </w:tcPr>
          <w:p w:rsidR="00CA09B2" w:rsidRPr="00570DA1" w:rsidRDefault="00E16D76">
            <w:pPr>
              <w:pStyle w:val="T2"/>
              <w:spacing w:after="0"/>
              <w:ind w:left="0" w:right="0"/>
              <w:rPr>
                <w:b w:val="0"/>
                <w:sz w:val="20"/>
              </w:rPr>
            </w:pPr>
            <w:r w:rsidRPr="00570DA1">
              <w:rPr>
                <w:b w:val="0"/>
                <w:sz w:val="20"/>
              </w:rPr>
              <w:t>Carlos Cordeiro</w:t>
            </w:r>
          </w:p>
        </w:tc>
        <w:tc>
          <w:tcPr>
            <w:tcW w:w="1260" w:type="dxa"/>
            <w:vAlign w:val="center"/>
          </w:tcPr>
          <w:p w:rsidR="00CA09B2" w:rsidRPr="00570DA1" w:rsidRDefault="009B0DFA">
            <w:pPr>
              <w:pStyle w:val="T2"/>
              <w:spacing w:after="0"/>
              <w:ind w:left="0" w:right="0"/>
              <w:rPr>
                <w:b w:val="0"/>
                <w:sz w:val="20"/>
              </w:rPr>
            </w:pPr>
            <w:r w:rsidRPr="00570DA1">
              <w:rPr>
                <w:b w:val="0"/>
                <w:sz w:val="20"/>
              </w:rPr>
              <w:t>Intel</w:t>
            </w:r>
          </w:p>
        </w:tc>
        <w:tc>
          <w:tcPr>
            <w:tcW w:w="2619" w:type="dxa"/>
            <w:vAlign w:val="center"/>
          </w:tcPr>
          <w:p w:rsidR="00CA09B2" w:rsidRPr="00570DA1" w:rsidRDefault="00CA09B2">
            <w:pPr>
              <w:pStyle w:val="T2"/>
              <w:spacing w:after="0"/>
              <w:ind w:left="0" w:right="0"/>
              <w:rPr>
                <w:b w:val="0"/>
                <w:sz w:val="20"/>
              </w:rPr>
            </w:pPr>
          </w:p>
        </w:tc>
        <w:tc>
          <w:tcPr>
            <w:tcW w:w="981" w:type="dxa"/>
            <w:vAlign w:val="center"/>
          </w:tcPr>
          <w:p w:rsidR="00CA09B2" w:rsidRPr="00570DA1" w:rsidRDefault="00CA09B2">
            <w:pPr>
              <w:pStyle w:val="T2"/>
              <w:spacing w:after="0"/>
              <w:ind w:left="0" w:right="0"/>
              <w:rPr>
                <w:b w:val="0"/>
                <w:sz w:val="20"/>
              </w:rPr>
            </w:pPr>
          </w:p>
        </w:tc>
        <w:tc>
          <w:tcPr>
            <w:tcW w:w="2381" w:type="dxa"/>
            <w:vAlign w:val="center"/>
          </w:tcPr>
          <w:p w:rsidR="00CA09B2" w:rsidRPr="00570DA1" w:rsidRDefault="00CA09B2">
            <w:pPr>
              <w:pStyle w:val="T2"/>
              <w:spacing w:after="0"/>
              <w:ind w:left="0" w:right="0"/>
              <w:rPr>
                <w:b w:val="0"/>
                <w:sz w:val="16"/>
              </w:rPr>
            </w:pPr>
          </w:p>
        </w:tc>
      </w:tr>
      <w:tr w:rsidR="00570DA1" w:rsidRPr="00570DA1" w:rsidTr="009B0DFA">
        <w:trPr>
          <w:jc w:val="center"/>
        </w:trPr>
        <w:tc>
          <w:tcPr>
            <w:tcW w:w="2335" w:type="dxa"/>
            <w:vAlign w:val="center"/>
          </w:tcPr>
          <w:p w:rsidR="009B0DFA" w:rsidRPr="00570DA1" w:rsidRDefault="009B0DFA">
            <w:pPr>
              <w:pStyle w:val="T2"/>
              <w:spacing w:after="0"/>
              <w:ind w:left="0" w:right="0"/>
              <w:rPr>
                <w:b w:val="0"/>
                <w:sz w:val="20"/>
              </w:rPr>
            </w:pPr>
            <w:r w:rsidRPr="00570DA1">
              <w:rPr>
                <w:b w:val="0"/>
                <w:sz w:val="20"/>
              </w:rPr>
              <w:t>Artyom Lomayev</w:t>
            </w:r>
          </w:p>
        </w:tc>
        <w:tc>
          <w:tcPr>
            <w:tcW w:w="1260" w:type="dxa"/>
            <w:vAlign w:val="center"/>
          </w:tcPr>
          <w:p w:rsidR="009B0DFA" w:rsidRPr="00570DA1" w:rsidRDefault="009B0DFA">
            <w:pPr>
              <w:pStyle w:val="T2"/>
              <w:spacing w:after="0"/>
              <w:ind w:left="0" w:right="0"/>
              <w:rPr>
                <w:b w:val="0"/>
                <w:sz w:val="20"/>
              </w:rPr>
            </w:pPr>
            <w:r w:rsidRPr="00570DA1">
              <w:rPr>
                <w:b w:val="0"/>
                <w:sz w:val="20"/>
              </w:rPr>
              <w:t>Intel</w:t>
            </w:r>
          </w:p>
        </w:tc>
        <w:tc>
          <w:tcPr>
            <w:tcW w:w="2619" w:type="dxa"/>
            <w:vAlign w:val="center"/>
          </w:tcPr>
          <w:p w:rsidR="009B0DFA" w:rsidRPr="00570DA1" w:rsidRDefault="009B0DFA">
            <w:pPr>
              <w:pStyle w:val="T2"/>
              <w:spacing w:after="0"/>
              <w:ind w:left="0" w:right="0"/>
              <w:rPr>
                <w:b w:val="0"/>
                <w:sz w:val="20"/>
              </w:rPr>
            </w:pPr>
          </w:p>
        </w:tc>
        <w:tc>
          <w:tcPr>
            <w:tcW w:w="981" w:type="dxa"/>
            <w:vAlign w:val="center"/>
          </w:tcPr>
          <w:p w:rsidR="009B0DFA" w:rsidRPr="00570DA1" w:rsidRDefault="009B0DFA">
            <w:pPr>
              <w:pStyle w:val="T2"/>
              <w:spacing w:after="0"/>
              <w:ind w:left="0" w:right="0"/>
              <w:rPr>
                <w:b w:val="0"/>
                <w:sz w:val="20"/>
              </w:rPr>
            </w:pPr>
          </w:p>
        </w:tc>
        <w:tc>
          <w:tcPr>
            <w:tcW w:w="2381" w:type="dxa"/>
            <w:vAlign w:val="center"/>
          </w:tcPr>
          <w:p w:rsidR="009B0DFA" w:rsidRPr="00570DA1" w:rsidRDefault="009B0DFA">
            <w:pPr>
              <w:pStyle w:val="T2"/>
              <w:spacing w:after="0"/>
              <w:ind w:left="0" w:right="0"/>
              <w:rPr>
                <w:b w:val="0"/>
                <w:sz w:val="16"/>
              </w:rPr>
            </w:pPr>
          </w:p>
        </w:tc>
      </w:tr>
      <w:tr w:rsidR="00570DA1" w:rsidRPr="00570DA1" w:rsidTr="009B0DFA">
        <w:trPr>
          <w:jc w:val="center"/>
        </w:trPr>
        <w:tc>
          <w:tcPr>
            <w:tcW w:w="2335" w:type="dxa"/>
            <w:vAlign w:val="center"/>
          </w:tcPr>
          <w:p w:rsidR="009B0DFA" w:rsidRPr="00570DA1" w:rsidRDefault="009B0DFA">
            <w:pPr>
              <w:pStyle w:val="T2"/>
              <w:spacing w:after="0"/>
              <w:ind w:left="0" w:right="0"/>
              <w:rPr>
                <w:b w:val="0"/>
                <w:sz w:val="20"/>
              </w:rPr>
            </w:pPr>
            <w:r w:rsidRPr="00570DA1">
              <w:rPr>
                <w:b w:val="0"/>
                <w:sz w:val="20"/>
              </w:rPr>
              <w:t>Miki Genossar</w:t>
            </w:r>
          </w:p>
        </w:tc>
        <w:tc>
          <w:tcPr>
            <w:tcW w:w="1260" w:type="dxa"/>
            <w:vAlign w:val="center"/>
          </w:tcPr>
          <w:p w:rsidR="009B0DFA" w:rsidRPr="00570DA1" w:rsidRDefault="009B0DFA">
            <w:pPr>
              <w:pStyle w:val="T2"/>
              <w:spacing w:after="0"/>
              <w:ind w:left="0" w:right="0"/>
              <w:rPr>
                <w:b w:val="0"/>
                <w:sz w:val="20"/>
              </w:rPr>
            </w:pPr>
            <w:r w:rsidRPr="00570DA1">
              <w:rPr>
                <w:b w:val="0"/>
                <w:sz w:val="20"/>
              </w:rPr>
              <w:t>Intel</w:t>
            </w:r>
          </w:p>
        </w:tc>
        <w:tc>
          <w:tcPr>
            <w:tcW w:w="2619" w:type="dxa"/>
            <w:vAlign w:val="center"/>
          </w:tcPr>
          <w:p w:rsidR="009B0DFA" w:rsidRPr="00570DA1" w:rsidRDefault="009B0DFA">
            <w:pPr>
              <w:pStyle w:val="T2"/>
              <w:spacing w:after="0"/>
              <w:ind w:left="0" w:right="0"/>
              <w:rPr>
                <w:b w:val="0"/>
                <w:sz w:val="20"/>
              </w:rPr>
            </w:pPr>
          </w:p>
        </w:tc>
        <w:tc>
          <w:tcPr>
            <w:tcW w:w="981" w:type="dxa"/>
            <w:vAlign w:val="center"/>
          </w:tcPr>
          <w:p w:rsidR="009B0DFA" w:rsidRPr="00570DA1" w:rsidRDefault="009B0DFA">
            <w:pPr>
              <w:pStyle w:val="T2"/>
              <w:spacing w:after="0"/>
              <w:ind w:left="0" w:right="0"/>
              <w:rPr>
                <w:b w:val="0"/>
                <w:sz w:val="20"/>
              </w:rPr>
            </w:pPr>
          </w:p>
        </w:tc>
        <w:tc>
          <w:tcPr>
            <w:tcW w:w="2381" w:type="dxa"/>
            <w:vAlign w:val="center"/>
          </w:tcPr>
          <w:p w:rsidR="009B0DFA" w:rsidRPr="00570DA1" w:rsidRDefault="009B0DFA">
            <w:pPr>
              <w:pStyle w:val="T2"/>
              <w:spacing w:after="0"/>
              <w:ind w:left="0" w:right="0"/>
              <w:rPr>
                <w:b w:val="0"/>
                <w:sz w:val="16"/>
              </w:rPr>
            </w:pPr>
          </w:p>
        </w:tc>
      </w:tr>
      <w:tr w:rsidR="009B0DFA" w:rsidRPr="00570DA1" w:rsidTr="009B0DFA">
        <w:trPr>
          <w:jc w:val="center"/>
        </w:trPr>
        <w:tc>
          <w:tcPr>
            <w:tcW w:w="2335" w:type="dxa"/>
            <w:vAlign w:val="center"/>
          </w:tcPr>
          <w:p w:rsidR="009B0DFA" w:rsidRPr="00570DA1" w:rsidRDefault="009B0DFA">
            <w:pPr>
              <w:pStyle w:val="T2"/>
              <w:spacing w:after="0"/>
              <w:ind w:left="0" w:right="0"/>
              <w:rPr>
                <w:b w:val="0"/>
                <w:sz w:val="20"/>
              </w:rPr>
            </w:pPr>
            <w:r w:rsidRPr="00570DA1">
              <w:rPr>
                <w:b w:val="0"/>
                <w:sz w:val="20"/>
              </w:rPr>
              <w:t>Jonathan Kosloff</w:t>
            </w:r>
          </w:p>
        </w:tc>
        <w:tc>
          <w:tcPr>
            <w:tcW w:w="1260" w:type="dxa"/>
            <w:vAlign w:val="center"/>
          </w:tcPr>
          <w:p w:rsidR="009B0DFA" w:rsidRPr="00570DA1" w:rsidRDefault="009B0DFA">
            <w:pPr>
              <w:pStyle w:val="T2"/>
              <w:spacing w:after="0"/>
              <w:ind w:left="0" w:right="0"/>
              <w:rPr>
                <w:b w:val="0"/>
                <w:sz w:val="20"/>
              </w:rPr>
            </w:pPr>
            <w:r w:rsidRPr="00570DA1">
              <w:rPr>
                <w:b w:val="0"/>
                <w:sz w:val="20"/>
              </w:rPr>
              <w:t>Intel</w:t>
            </w:r>
          </w:p>
        </w:tc>
        <w:tc>
          <w:tcPr>
            <w:tcW w:w="2619" w:type="dxa"/>
            <w:vAlign w:val="center"/>
          </w:tcPr>
          <w:p w:rsidR="009B0DFA" w:rsidRPr="00570DA1" w:rsidRDefault="009B0DFA">
            <w:pPr>
              <w:pStyle w:val="T2"/>
              <w:spacing w:after="0"/>
              <w:ind w:left="0" w:right="0"/>
              <w:rPr>
                <w:b w:val="0"/>
                <w:sz w:val="20"/>
              </w:rPr>
            </w:pPr>
          </w:p>
        </w:tc>
        <w:tc>
          <w:tcPr>
            <w:tcW w:w="981" w:type="dxa"/>
            <w:vAlign w:val="center"/>
          </w:tcPr>
          <w:p w:rsidR="009B0DFA" w:rsidRPr="00570DA1" w:rsidRDefault="009B0DFA">
            <w:pPr>
              <w:pStyle w:val="T2"/>
              <w:spacing w:after="0"/>
              <w:ind w:left="0" w:right="0"/>
              <w:rPr>
                <w:b w:val="0"/>
                <w:sz w:val="20"/>
              </w:rPr>
            </w:pPr>
          </w:p>
        </w:tc>
        <w:tc>
          <w:tcPr>
            <w:tcW w:w="2381" w:type="dxa"/>
            <w:vAlign w:val="center"/>
          </w:tcPr>
          <w:p w:rsidR="009B0DFA" w:rsidRPr="00570DA1" w:rsidRDefault="009B0DFA">
            <w:pPr>
              <w:pStyle w:val="T2"/>
              <w:spacing w:after="0"/>
              <w:ind w:left="0" w:right="0"/>
              <w:rPr>
                <w:b w:val="0"/>
                <w:sz w:val="16"/>
              </w:rPr>
            </w:pPr>
          </w:p>
        </w:tc>
      </w:tr>
    </w:tbl>
    <w:p w:rsidR="009B0DFA" w:rsidRPr="00570DA1" w:rsidRDefault="009B0DFA">
      <w:pPr>
        <w:pStyle w:val="T1"/>
        <w:spacing w:after="120"/>
        <w:rPr>
          <w:sz w:val="22"/>
        </w:rPr>
      </w:pPr>
    </w:p>
    <w:p w:rsidR="009B0DFA" w:rsidRPr="00570DA1" w:rsidRDefault="009B0DFA">
      <w:pPr>
        <w:pStyle w:val="T1"/>
        <w:spacing w:after="120"/>
        <w:rPr>
          <w:sz w:val="22"/>
        </w:rPr>
      </w:pPr>
    </w:p>
    <w:p w:rsidR="00CA09B2" w:rsidRPr="00570DA1" w:rsidRDefault="006A5A9A">
      <w:pPr>
        <w:pStyle w:val="T1"/>
        <w:spacing w:after="120"/>
        <w:rPr>
          <w:sz w:val="22"/>
        </w:rPr>
      </w:pPr>
      <w:r w:rsidRPr="00570DA1">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t xml:space="preserve">clarifies the structure of the TRN field </w:t>
                            </w:r>
                            <w:r w:rsidR="009F3F2C">
                              <w:t>in EDMG PPDUs</w:t>
                            </w:r>
                            <w:r w:rsidR="004E2A1F">
                              <w:t xml:space="preserve"> and of elemens related to EDMG BRP feedback</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t xml:space="preserve">clarifies the structure of the TRN field </w:t>
                      </w:r>
                      <w:r w:rsidR="009F3F2C">
                        <w:t>in EDMG PPDUs</w:t>
                      </w:r>
                      <w:r w:rsidR="004E2A1F">
                        <w:t xml:space="preserve"> and of </w:t>
                      </w:r>
                      <w:proofErr w:type="spellStart"/>
                      <w:r w:rsidR="004E2A1F">
                        <w:t>elemens</w:t>
                      </w:r>
                      <w:proofErr w:type="spellEnd"/>
                      <w:r w:rsidR="004E2A1F">
                        <w:t xml:space="preserve"> related to EDMG BRP feedback</w:t>
                      </w:r>
                      <w:r>
                        <w:t>.</w:t>
                      </w:r>
                    </w:p>
                  </w:txbxContent>
                </v:textbox>
              </v:shape>
            </w:pict>
          </mc:Fallback>
        </mc:AlternateContent>
      </w:r>
    </w:p>
    <w:p w:rsidR="00465CD3" w:rsidRPr="00570DA1" w:rsidRDefault="00CA09B2" w:rsidP="00465CD3">
      <w:pPr>
        <w:rPr>
          <w:b/>
          <w:u w:val="single"/>
        </w:rPr>
      </w:pPr>
      <w:r w:rsidRPr="00570DA1">
        <w:br w:type="page"/>
      </w:r>
    </w:p>
    <w:p w:rsidR="00CA09B2" w:rsidRPr="00570DA1" w:rsidRDefault="00942741">
      <w:r w:rsidRPr="00570DA1">
        <w:rPr>
          <w:b/>
          <w:u w:val="single"/>
        </w:rPr>
        <w:lastRenderedPageBreak/>
        <w:t>Change to the draft spec:</w:t>
      </w:r>
      <w:r w:rsidRPr="00570DA1">
        <w:t xml:space="preserve">  </w:t>
      </w:r>
      <w:r w:rsidR="009A1657" w:rsidRPr="00570DA1">
        <w:t xml:space="preserve">30.9.2.2.5 </w:t>
      </w:r>
      <w:r w:rsidRPr="00570DA1">
        <w:t>(</w:t>
      </w:r>
      <w:r w:rsidR="009A1657" w:rsidRPr="00570DA1">
        <w:t>TRN field definition</w:t>
      </w:r>
      <w:r w:rsidRPr="00570DA1">
        <w:t>):</w:t>
      </w:r>
    </w:p>
    <w:p w:rsidR="009A1657" w:rsidRPr="00570DA1" w:rsidRDefault="009A1657"/>
    <w:p w:rsidR="00226FB0" w:rsidRPr="00570DA1" w:rsidRDefault="00226FB0">
      <w:pPr>
        <w:rPr>
          <w:i/>
        </w:rPr>
      </w:pPr>
      <w:r w:rsidRPr="00570DA1">
        <w:rPr>
          <w:i/>
        </w:rPr>
        <w:t>Insert the following at the end of the subclause</w:t>
      </w:r>
    </w:p>
    <w:p w:rsidR="00226FB0" w:rsidRPr="00570DA1" w:rsidRDefault="00226FB0"/>
    <w:p w:rsidR="00C452EF" w:rsidRPr="00570DA1" w:rsidRDefault="007D486D">
      <w:pPr>
        <w:rPr>
          <w:rStyle w:val="fontstyle21"/>
          <w:color w:val="auto"/>
          <w:sz w:val="22"/>
          <w:szCs w:val="22"/>
        </w:rPr>
      </w:pPr>
      <w:r w:rsidRPr="00570DA1">
        <w:rPr>
          <w:rStyle w:val="fontstyle21"/>
          <w:color w:val="auto"/>
          <w:sz w:val="22"/>
          <w:szCs w:val="22"/>
        </w:rPr>
        <w:t>In EDMG BRP-TX packet</w:t>
      </w:r>
      <w:r w:rsidR="003553BD" w:rsidRPr="00570DA1">
        <w:rPr>
          <w:rStyle w:val="fontstyle21"/>
          <w:color w:val="auto"/>
          <w:sz w:val="22"/>
          <w:szCs w:val="22"/>
        </w:rPr>
        <w:t>s</w:t>
      </w:r>
      <w:r w:rsidRPr="00570DA1">
        <w:rPr>
          <w:rStyle w:val="fontstyle21"/>
          <w:color w:val="auto"/>
          <w:sz w:val="22"/>
          <w:szCs w:val="22"/>
        </w:rPr>
        <w:t xml:space="preserve">, </w:t>
      </w:r>
      <w:r w:rsidR="00B45BED" w:rsidRPr="00570DA1">
        <w:rPr>
          <w:rStyle w:val="fontstyle21"/>
          <w:color w:val="auto"/>
          <w:sz w:val="22"/>
          <w:szCs w:val="22"/>
        </w:rPr>
        <w:t>consecutive</w:t>
      </w:r>
      <w:r w:rsidRPr="00570DA1">
        <w:rPr>
          <w:rStyle w:val="fontstyle21"/>
          <w:color w:val="auto"/>
          <w:sz w:val="22"/>
          <w:szCs w:val="22"/>
        </w:rPr>
        <w:t xml:space="preserve"> TRN subfields are transmitted using the same AWV if the value of the EDMG TRN-Unit N field </w:t>
      </w:r>
      <w:r w:rsidRPr="00570DA1">
        <w:rPr>
          <w:szCs w:val="22"/>
        </w:rPr>
        <w:t xml:space="preserve">in </w:t>
      </w:r>
      <w:r w:rsidRPr="00570DA1">
        <w:rPr>
          <w:rStyle w:val="fontstyle21"/>
          <w:color w:val="auto"/>
          <w:sz w:val="22"/>
          <w:szCs w:val="22"/>
        </w:rPr>
        <w:t xml:space="preserve">the EDMG-Header-A is greater than 0.  </w:t>
      </w:r>
      <w:r w:rsidR="00826DCF" w:rsidRPr="00570DA1">
        <w:rPr>
          <w:rStyle w:val="fontstyle21"/>
          <w:color w:val="auto"/>
          <w:sz w:val="22"/>
          <w:szCs w:val="22"/>
        </w:rPr>
        <w:t>I</w:t>
      </w:r>
      <w:r w:rsidRPr="00570DA1">
        <w:rPr>
          <w:rStyle w:val="fontstyle21"/>
          <w:color w:val="auto"/>
          <w:sz w:val="22"/>
          <w:szCs w:val="22"/>
        </w:rPr>
        <w:t>n EDMG BRP-RX/TX packet</w:t>
      </w:r>
      <w:r w:rsidR="003553BD" w:rsidRPr="00570DA1">
        <w:rPr>
          <w:rStyle w:val="fontstyle21"/>
          <w:color w:val="auto"/>
          <w:sz w:val="22"/>
          <w:szCs w:val="22"/>
        </w:rPr>
        <w:t>s</w:t>
      </w:r>
      <w:r w:rsidR="00B45BED" w:rsidRPr="00570DA1">
        <w:rPr>
          <w:rStyle w:val="fontstyle21"/>
          <w:color w:val="auto"/>
          <w:sz w:val="22"/>
          <w:szCs w:val="22"/>
        </w:rPr>
        <w:t xml:space="preserve">, consecutive TRN-Units </w:t>
      </w:r>
      <w:r w:rsidRPr="00570DA1">
        <w:rPr>
          <w:rStyle w:val="fontstyle21"/>
          <w:color w:val="auto"/>
          <w:sz w:val="22"/>
          <w:szCs w:val="22"/>
        </w:rPr>
        <w:t xml:space="preserve">are transmitted </w:t>
      </w:r>
      <w:r w:rsidR="00B45BED" w:rsidRPr="00570DA1">
        <w:rPr>
          <w:rStyle w:val="fontstyle21"/>
          <w:color w:val="auto"/>
          <w:sz w:val="22"/>
          <w:szCs w:val="22"/>
        </w:rPr>
        <w:t>with</w:t>
      </w:r>
      <w:r w:rsidRPr="00570DA1">
        <w:rPr>
          <w:rStyle w:val="fontstyle21"/>
          <w:color w:val="auto"/>
          <w:sz w:val="22"/>
          <w:szCs w:val="22"/>
        </w:rPr>
        <w:t xml:space="preserve"> the same AWV.  </w:t>
      </w:r>
      <w:r w:rsidR="00C452EF" w:rsidRPr="00570DA1">
        <w:rPr>
          <w:rStyle w:val="fontstyle21"/>
          <w:color w:val="auto"/>
          <w:sz w:val="22"/>
          <w:szCs w:val="22"/>
        </w:rPr>
        <w:t xml:space="preserve">The concept of </w:t>
      </w:r>
      <w:r w:rsidR="00C452EF" w:rsidRPr="00570DA1">
        <w:rPr>
          <w:rStyle w:val="fontstyle21"/>
          <w:i/>
          <w:color w:val="auto"/>
          <w:sz w:val="22"/>
          <w:szCs w:val="22"/>
        </w:rPr>
        <w:t>AWV feedback ID</w:t>
      </w:r>
      <w:r w:rsidR="00C452EF" w:rsidRPr="00570DA1">
        <w:rPr>
          <w:rStyle w:val="fontstyle21"/>
          <w:color w:val="auto"/>
          <w:sz w:val="22"/>
          <w:szCs w:val="22"/>
        </w:rPr>
        <w:t xml:space="preserve"> is defined to indicate TRN subfields transmitted with the same AWV</w:t>
      </w:r>
      <w:r w:rsidR="0010346A" w:rsidRPr="00570DA1">
        <w:rPr>
          <w:rStyle w:val="fontstyle21"/>
          <w:color w:val="auto"/>
          <w:sz w:val="22"/>
          <w:szCs w:val="22"/>
        </w:rPr>
        <w:t xml:space="preserve"> </w:t>
      </w:r>
      <w:r w:rsidR="006930BB" w:rsidRPr="00570DA1">
        <w:rPr>
          <w:rStyle w:val="fontstyle21"/>
          <w:color w:val="auto"/>
          <w:sz w:val="22"/>
          <w:szCs w:val="22"/>
        </w:rPr>
        <w:t>in</w:t>
      </w:r>
      <w:r w:rsidR="0010346A" w:rsidRPr="00570DA1">
        <w:rPr>
          <w:rStyle w:val="fontstyle21"/>
          <w:color w:val="auto"/>
          <w:sz w:val="22"/>
          <w:szCs w:val="22"/>
        </w:rPr>
        <w:t xml:space="preserve"> the feedback </w:t>
      </w:r>
      <w:r w:rsidR="006930BB" w:rsidRPr="00570DA1">
        <w:rPr>
          <w:rStyle w:val="fontstyle21"/>
          <w:color w:val="auto"/>
          <w:sz w:val="22"/>
          <w:szCs w:val="22"/>
        </w:rPr>
        <w:t xml:space="preserve">of measurements made with </w:t>
      </w:r>
      <w:r w:rsidR="00C452EF" w:rsidRPr="00570DA1">
        <w:rPr>
          <w:rStyle w:val="fontstyle21"/>
          <w:color w:val="auto"/>
          <w:sz w:val="22"/>
          <w:szCs w:val="22"/>
        </w:rPr>
        <w:t>EDMG BRP-TX and EDMG BRP-RX/TX packets</w:t>
      </w:r>
      <w:r w:rsidR="0010346A" w:rsidRPr="00570DA1">
        <w:rPr>
          <w:rStyle w:val="fontstyle21"/>
          <w:color w:val="auto"/>
          <w:sz w:val="22"/>
          <w:szCs w:val="22"/>
        </w:rPr>
        <w:t>.</w:t>
      </w:r>
    </w:p>
    <w:p w:rsidR="007D486D" w:rsidRDefault="007D486D"/>
    <w:p w:rsidR="00187195" w:rsidRPr="00187195" w:rsidRDefault="00187195" w:rsidP="00187195">
      <w:pPr>
        <w:pStyle w:val="NoSpacing"/>
        <w:rPr>
          <w:rFonts w:ascii="Times New Roman" w:hAnsi="Times New Roman"/>
        </w:rPr>
      </w:pPr>
      <w:r w:rsidRPr="00187195">
        <w:rPr>
          <w:rFonts w:ascii="Times New Roman" w:hAnsi="Times New Roman"/>
        </w:rPr>
        <w:t xml:space="preserve">For EDMG BRP-TX and EDMG BRP-RX/TX packets, a TRN subfield with index </w:t>
      </w:r>
      <w:r w:rsidRPr="00187195">
        <w:rPr>
          <w:rFonts w:ascii="Times New Roman" w:hAnsi="Times New Roman"/>
          <w:i/>
          <w:iCs/>
        </w:rPr>
        <w:t>i</w:t>
      </w:r>
      <w:r w:rsidRPr="00187195">
        <w:rPr>
          <w:rFonts w:ascii="Times New Roman" w:hAnsi="Times New Roman"/>
        </w:rPr>
        <w:t xml:space="preserve"> is defined as the (</w:t>
      </w:r>
      <w:r w:rsidRPr="00187195">
        <w:rPr>
          <w:rFonts w:ascii="Times New Roman" w:hAnsi="Times New Roman"/>
          <w:i/>
          <w:iCs/>
        </w:rPr>
        <w:t>i</w:t>
      </w:r>
      <w:r w:rsidRPr="00187195">
        <w:rPr>
          <w:rFonts w:ascii="Times New Roman" w:hAnsi="Times New Roman"/>
        </w:rPr>
        <w:t>+1)</w:t>
      </w:r>
      <w:r w:rsidRPr="00187195">
        <w:rPr>
          <w:rFonts w:ascii="Times New Roman" w:hAnsi="Times New Roman"/>
          <w:vertAlign w:val="superscript"/>
        </w:rPr>
        <w:t>th</w:t>
      </w:r>
      <w:r w:rsidRPr="00187195">
        <w:rPr>
          <w:rFonts w:ascii="Times New Roman" w:hAnsi="Times New Roman"/>
        </w:rPr>
        <w:t xml:space="preserve"> TRN subfield transmitted in the TRN field of the packet, where </w:t>
      </w:r>
      <w:r w:rsidRPr="00187195">
        <w:rPr>
          <w:rFonts w:ascii="Times New Roman" w:hAnsi="Times New Roman"/>
          <w:i/>
          <w:iCs/>
        </w:rPr>
        <w:t>i</w:t>
      </w:r>
      <w:r w:rsidRPr="00187195">
        <w:rPr>
          <w:rFonts w:ascii="Times New Roman" w:hAnsi="Times New Roman"/>
        </w:rPr>
        <w:t>=0,1, …, (</w:t>
      </w:r>
      <w:r w:rsidRPr="00187195">
        <w:rPr>
          <w:rFonts w:ascii="Times New Roman" w:hAnsi="Times New Roman"/>
          <w:i/>
          <w:iCs/>
        </w:rPr>
        <w:t>M</w:t>
      </w:r>
      <w:r w:rsidRPr="00187195">
        <w:rPr>
          <w:rFonts w:ascii="Times New Roman" w:hAnsi="Times New Roman"/>
        </w:rPr>
        <w:t>×</w:t>
      </w:r>
      <w:r w:rsidRPr="00187195">
        <w:rPr>
          <w:rFonts w:ascii="Times New Roman" w:hAnsi="Times New Roman"/>
          <w:i/>
          <w:iCs/>
        </w:rPr>
        <w:t>L</w:t>
      </w:r>
      <w:r w:rsidRPr="00187195">
        <w:rPr>
          <w:rFonts w:ascii="Times New Roman" w:hAnsi="Times New Roman"/>
        </w:rPr>
        <w:t xml:space="preserve">) – 1, </w:t>
      </w:r>
      <w:r w:rsidRPr="00187195">
        <w:rPr>
          <w:rFonts w:ascii="Times New Roman" w:hAnsi="Times New Roman"/>
          <w:i/>
          <w:iCs/>
        </w:rPr>
        <w:t>M</w:t>
      </w:r>
      <w:r w:rsidRPr="00187195">
        <w:rPr>
          <w:rFonts w:ascii="Times New Roman" w:hAnsi="Times New Roman"/>
        </w:rPr>
        <w:t xml:space="preserve"> is the value of the EDMG TRN-Unit M field in the EDMG-Header-A plus one, and </w:t>
      </w:r>
      <w:r w:rsidRPr="00187195">
        <w:rPr>
          <w:rFonts w:ascii="Times New Roman" w:hAnsi="Times New Roman"/>
          <w:i/>
          <w:iCs/>
        </w:rPr>
        <w:t>L</w:t>
      </w:r>
      <w:r w:rsidRPr="00187195">
        <w:rPr>
          <w:rFonts w:ascii="Times New Roman" w:hAnsi="Times New Roman"/>
        </w:rPr>
        <w:t xml:space="preserve"> is the value of the EDMG TRN Length field in the EDMG-Header-A. The </w:t>
      </w:r>
      <w:r w:rsidRPr="00187195">
        <w:rPr>
          <w:rFonts w:ascii="Times New Roman" w:hAnsi="Times New Roman"/>
          <w:i/>
          <w:iCs/>
        </w:rPr>
        <w:t>P</w:t>
      </w:r>
      <w:r w:rsidRPr="00187195">
        <w:rPr>
          <w:rFonts w:ascii="Times New Roman" w:hAnsi="Times New Roman"/>
        </w:rPr>
        <w:t xml:space="preserve"> TRN subfields at the start of each TRN-Unit transmitted with the same AWV are not indexed, where </w:t>
      </w:r>
      <w:r w:rsidRPr="00187195">
        <w:rPr>
          <w:rFonts w:ascii="Times New Roman" w:hAnsi="Times New Roman"/>
          <w:i/>
          <w:iCs/>
        </w:rPr>
        <w:t>P</w:t>
      </w:r>
      <w:r w:rsidRPr="00187195">
        <w:rPr>
          <w:rFonts w:ascii="Times New Roman" w:hAnsi="Times New Roman"/>
        </w:rPr>
        <w:t xml:space="preserve"> is the value indicated by the EDMG TRN-Unit P field in the EDMG-Header-A of the packet. </w:t>
      </w:r>
    </w:p>
    <w:p w:rsidR="00187195" w:rsidRDefault="00187195"/>
    <w:p w:rsidR="00187195" w:rsidRPr="00187195" w:rsidRDefault="00187195" w:rsidP="00187195">
      <w:pPr>
        <w:pStyle w:val="NoSpacing"/>
        <w:rPr>
          <w:rFonts w:ascii="Times New Roman" w:hAnsi="Times New Roman"/>
        </w:rPr>
      </w:pPr>
      <w:r w:rsidRPr="00187195">
        <w:rPr>
          <w:rFonts w:ascii="Times New Roman" w:hAnsi="Times New Roman"/>
        </w:rPr>
        <w:t xml:space="preserve">An AWV feedback ID of value </w:t>
      </w:r>
      <w:r w:rsidRPr="00187195">
        <w:rPr>
          <w:rFonts w:ascii="Times New Roman" w:hAnsi="Times New Roman"/>
          <w:i/>
          <w:iCs/>
        </w:rPr>
        <w:t>a</w:t>
      </w:r>
      <w:r w:rsidRPr="00187195">
        <w:rPr>
          <w:rFonts w:ascii="Times New Roman" w:hAnsi="Times New Roman"/>
        </w:rPr>
        <w:t xml:space="preserve"> indicates the TRN subfields transmitted with the (</w:t>
      </w:r>
      <w:r w:rsidRPr="00187195">
        <w:rPr>
          <w:rFonts w:ascii="Times New Roman" w:hAnsi="Times New Roman"/>
          <w:i/>
          <w:iCs/>
        </w:rPr>
        <w:t>a</w:t>
      </w:r>
      <w:r w:rsidRPr="00187195">
        <w:rPr>
          <w:rFonts w:ascii="Times New Roman" w:hAnsi="Times New Roman"/>
        </w:rPr>
        <w:t>+1)</w:t>
      </w:r>
      <w:r w:rsidRPr="00187195">
        <w:rPr>
          <w:rFonts w:ascii="Times New Roman" w:hAnsi="Times New Roman"/>
          <w:vertAlign w:val="superscript"/>
        </w:rPr>
        <w:t>th</w:t>
      </w:r>
      <w:r w:rsidRPr="00187195">
        <w:rPr>
          <w:rFonts w:ascii="Times New Roman" w:hAnsi="Times New Roman"/>
        </w:rPr>
        <w:t xml:space="preserve"> AWV used in the transmission of the TRN field. For EDMG BRP-TX packets in which the value of the EDMG TRN-Unit N field in the EDMG-Header-A is greater than 0, a TRN subfield with index </w:t>
      </w:r>
      <w:r w:rsidRPr="00187195">
        <w:rPr>
          <w:rFonts w:ascii="Times New Roman" w:hAnsi="Times New Roman"/>
          <w:i/>
          <w:iCs/>
        </w:rPr>
        <w:t>i</w:t>
      </w:r>
      <w:r w:rsidRPr="00187195">
        <w:rPr>
          <w:rFonts w:ascii="Times New Roman" w:hAnsi="Times New Roman"/>
        </w:rPr>
        <w:t xml:space="preserve"> shall have AWV feedback ID equal to:</w:t>
      </w:r>
    </w:p>
    <w:p w:rsidR="00187195" w:rsidRPr="00187195" w:rsidRDefault="00187195" w:rsidP="00187195">
      <w:pPr>
        <w:jc w:val="center"/>
        <w:rPr>
          <w:rStyle w:val="fontstyle21"/>
          <w:color w:val="auto"/>
          <w:sz w:val="22"/>
          <w:szCs w:val="22"/>
        </w:rPr>
      </w:pPr>
      <m:oMathPara>
        <m:oMath>
          <m:r>
            <w:rPr>
              <w:rStyle w:val="fontstyle21"/>
              <w:rFonts w:ascii="Cambria Math" w:hAnsi="Cambria Math"/>
              <w:color w:val="auto"/>
              <w:sz w:val="22"/>
              <w:szCs w:val="22"/>
            </w:rPr>
            <m:t>a=</m:t>
          </m:r>
          <m:d>
            <m:dPr>
              <m:begChr m:val="⌊"/>
              <m:endChr m:val="⌋"/>
              <m:ctrlPr>
                <w:rPr>
                  <w:rStyle w:val="fontstyle21"/>
                  <w:rFonts w:ascii="Cambria Math" w:hAnsi="Cambria Math"/>
                  <w:i/>
                  <w:color w:val="auto"/>
                  <w:sz w:val="22"/>
                  <w:szCs w:val="22"/>
                </w:rPr>
              </m:ctrlPr>
            </m:dPr>
            <m:e>
              <m:f>
                <m:fPr>
                  <m:type m:val="lin"/>
                  <m:ctrlPr>
                    <w:rPr>
                      <w:rStyle w:val="fontstyle21"/>
                      <w:rFonts w:ascii="Cambria Math" w:hAnsi="Cambria Math"/>
                      <w:i/>
                      <w:color w:val="auto"/>
                      <w:sz w:val="22"/>
                      <w:szCs w:val="22"/>
                    </w:rPr>
                  </m:ctrlPr>
                </m:fPr>
                <m:num>
                  <m:r>
                    <w:rPr>
                      <w:rStyle w:val="fontstyle21"/>
                      <w:rFonts w:ascii="Cambria Math" w:hAnsi="Cambria Math"/>
                      <w:color w:val="auto"/>
                      <w:sz w:val="22"/>
                      <w:szCs w:val="22"/>
                    </w:rPr>
                    <m:t>i</m:t>
                  </m:r>
                </m:num>
                <m:den>
                  <m:r>
                    <w:rPr>
                      <w:rStyle w:val="fontstyle21"/>
                      <w:rFonts w:ascii="Cambria Math" w:hAnsi="Cambria Math"/>
                      <w:color w:val="auto"/>
                      <w:sz w:val="22"/>
                      <w:szCs w:val="22"/>
                    </w:rPr>
                    <m:t>N</m:t>
                  </m:r>
                </m:den>
              </m:f>
            </m:e>
          </m:d>
        </m:oMath>
      </m:oMathPara>
    </w:p>
    <w:p w:rsidR="00187195" w:rsidRPr="00187195" w:rsidRDefault="00187195" w:rsidP="00187195">
      <w:pPr>
        <w:pStyle w:val="NoSpacing"/>
        <w:rPr>
          <w:rFonts w:ascii="Times New Roman" w:hAnsi="Times New Roman"/>
        </w:rPr>
      </w:pPr>
      <w:r w:rsidRPr="00187195">
        <w:rPr>
          <w:rFonts w:ascii="Times New Roman" w:hAnsi="Times New Roman"/>
        </w:rPr>
        <w:t>where:</w:t>
      </w:r>
    </w:p>
    <w:p w:rsidR="00187195" w:rsidRPr="00187195" w:rsidRDefault="00187195" w:rsidP="00187195">
      <w:pPr>
        <w:pStyle w:val="NoSpacing"/>
        <w:numPr>
          <w:ilvl w:val="0"/>
          <w:numId w:val="5"/>
        </w:numPr>
        <w:rPr>
          <w:rFonts w:ascii="Times New Roman" w:hAnsi="Times New Roman"/>
        </w:rPr>
      </w:pPr>
      <w:r w:rsidRPr="00187195">
        <w:rPr>
          <w:rFonts w:ascii="Times New Roman" w:hAnsi="Times New Roman"/>
          <w:i/>
          <w:iCs/>
        </w:rPr>
        <w:t>N</w:t>
      </w:r>
      <w:r w:rsidRPr="00187195">
        <w:rPr>
          <w:rFonts w:ascii="Times New Roman" w:hAnsi="Times New Roman"/>
        </w:rPr>
        <w:t xml:space="preserve"> is the number of consecutive TRN subfields within a TRN-Unit that are transmitted with the same AWV configuration, which can be equal to 1, 2, 3, 4, or 8, as indicated by the EDMG TRN-Unit M and EDMG TRN-Unit N fields in the EDMG Header-A</w:t>
      </w:r>
    </w:p>
    <w:p w:rsidR="00187195" w:rsidRDefault="00187195" w:rsidP="00187195">
      <w:pPr>
        <w:pStyle w:val="NoSpacing"/>
      </w:pPr>
      <w:r w:rsidRPr="00187195">
        <w:rPr>
          <w:rFonts w:ascii="Times New Roman" w:hAnsi="Times New Roman"/>
        </w:rPr>
        <w:t xml:space="preserve">In this case, </w:t>
      </w:r>
      <m:oMath>
        <m:r>
          <w:rPr>
            <w:rFonts w:ascii="Cambria Math" w:hAnsi="Cambria Math"/>
          </w:rPr>
          <m:t xml:space="preserve">a=0, 1 ⋯ </m:t>
        </m:r>
        <m:f>
          <m:fPr>
            <m:type m:val="lin"/>
            <m:ctrlPr>
              <w:rPr>
                <w:rFonts w:ascii="Cambria Math" w:hAnsi="Cambria Math"/>
                <w:i/>
              </w:rPr>
            </m:ctrlPr>
          </m:fPr>
          <m:num>
            <m:d>
              <m:dPr>
                <m:ctrlPr>
                  <w:rPr>
                    <w:rFonts w:ascii="Cambria Math" w:hAnsi="Cambria Math"/>
                    <w:i/>
                  </w:rPr>
                </m:ctrlPr>
              </m:dPr>
              <m:e>
                <m:r>
                  <w:rPr>
                    <w:rFonts w:ascii="Cambria Math" w:hAnsi="Cambria Math"/>
                  </w:rPr>
                  <m:t>M×L</m:t>
                </m:r>
              </m:e>
            </m:d>
          </m:num>
          <m:den>
            <m:r>
              <w:rPr>
                <w:rFonts w:ascii="Cambria Math" w:hAnsi="Cambria Math"/>
              </w:rPr>
              <m:t>N</m:t>
            </m:r>
          </m:den>
        </m:f>
        <m:r>
          <w:rPr>
            <w:rFonts w:ascii="Cambria Math" w:hAnsi="Cambria Math"/>
          </w:rPr>
          <m:t>-1</m:t>
        </m:r>
      </m:oMath>
      <w:r>
        <w:rPr>
          <w:rFonts w:ascii="Times New Roman" w:eastAsiaTheme="minorEastAsia" w:hAnsi="Times New Roman"/>
        </w:rPr>
        <w:t>.</w:t>
      </w:r>
    </w:p>
    <w:p w:rsidR="00187195" w:rsidRPr="00570DA1" w:rsidRDefault="00187195"/>
    <w:p w:rsidR="00187195" w:rsidRPr="00DB3CBB" w:rsidRDefault="00187195" w:rsidP="00187195">
      <w:pPr>
        <w:pStyle w:val="NoSpacing"/>
        <w:rPr>
          <w:rFonts w:ascii="Times New Roman" w:hAnsi="Times New Roman"/>
        </w:rPr>
      </w:pPr>
      <w:r w:rsidRPr="00DB3CBB">
        <w:rPr>
          <w:rFonts w:ascii="Times New Roman" w:hAnsi="Times New Roman"/>
        </w:rPr>
        <w:t xml:space="preserve">For EDMG BRP-TX packets in which the value of the EDMG TRN-Unit N field in the EDMG-Header-A is equal to 0, </w:t>
      </w:r>
      <w:r w:rsidRPr="00DB3CBB">
        <w:rPr>
          <w:rFonts w:ascii="Times New Roman" w:hAnsi="Times New Roman"/>
          <w:i/>
          <w:iCs/>
        </w:rPr>
        <w:t>a</w:t>
      </w:r>
      <w:r w:rsidRPr="00DB3CBB">
        <w:rPr>
          <w:rFonts w:ascii="Times New Roman" w:hAnsi="Times New Roman"/>
        </w:rPr>
        <w:t>=</w:t>
      </w:r>
      <w:r w:rsidRPr="00DB3CBB">
        <w:rPr>
          <w:rFonts w:ascii="Times New Roman" w:hAnsi="Times New Roman"/>
          <w:i/>
          <w:iCs/>
        </w:rPr>
        <w:t>i</w:t>
      </w:r>
      <w:r w:rsidRPr="00DB3CBB">
        <w:rPr>
          <w:rFonts w:ascii="Times New Roman" w:hAnsi="Times New Roman"/>
        </w:rPr>
        <w:t xml:space="preserve"> and </w:t>
      </w:r>
      <w:r w:rsidRPr="00DB3CBB">
        <w:rPr>
          <w:rFonts w:ascii="Times New Roman" w:hAnsi="Times New Roman"/>
          <w:i/>
          <w:iCs/>
        </w:rPr>
        <w:t>a</w:t>
      </w:r>
      <w:r w:rsidRPr="00DB3CBB">
        <w:rPr>
          <w:rFonts w:ascii="Times New Roman" w:hAnsi="Times New Roman"/>
        </w:rPr>
        <w:t>=0, 1, …, (</w:t>
      </w:r>
      <w:r w:rsidRPr="00DB3CBB">
        <w:rPr>
          <w:rFonts w:ascii="Times New Roman" w:hAnsi="Times New Roman"/>
          <w:i/>
          <w:iCs/>
        </w:rPr>
        <w:t>M</w:t>
      </w:r>
      <w:r w:rsidRPr="00DB3CBB">
        <w:rPr>
          <w:rFonts w:ascii="Times New Roman" w:hAnsi="Times New Roman"/>
        </w:rPr>
        <w:t>×</w:t>
      </w:r>
      <w:r w:rsidRPr="00DB3CBB">
        <w:rPr>
          <w:rFonts w:ascii="Times New Roman" w:hAnsi="Times New Roman"/>
          <w:i/>
          <w:iCs/>
        </w:rPr>
        <w:t>L</w:t>
      </w:r>
      <w:r w:rsidRPr="00DB3CBB">
        <w:rPr>
          <w:rFonts w:ascii="Times New Roman" w:hAnsi="Times New Roman"/>
        </w:rPr>
        <w:t xml:space="preserve">) – 1.  For EDMG BRP-RX/TX packets, a TRN subfield with index </w:t>
      </w:r>
      <w:r w:rsidRPr="00DB3CBB">
        <w:rPr>
          <w:rFonts w:ascii="Times New Roman" w:hAnsi="Times New Roman"/>
          <w:i/>
          <w:iCs/>
        </w:rPr>
        <w:t>i</w:t>
      </w:r>
      <w:r w:rsidRPr="00DB3CBB">
        <w:rPr>
          <w:rFonts w:ascii="Times New Roman" w:hAnsi="Times New Roman"/>
        </w:rPr>
        <w:t xml:space="preserve"> shall have AWV feedback ID </w:t>
      </w:r>
      <w:r w:rsidRPr="00DB3CBB">
        <w:rPr>
          <w:rFonts w:ascii="Times New Roman" w:hAnsi="Times New Roman"/>
          <w:i/>
          <w:iCs/>
        </w:rPr>
        <w:t>a</w:t>
      </w:r>
      <w:r w:rsidRPr="00DB3CBB">
        <w:rPr>
          <w:rFonts w:ascii="Times New Roman" w:hAnsi="Times New Roman"/>
        </w:rPr>
        <w:t xml:space="preserve"> equal to:</w:t>
      </w:r>
    </w:p>
    <w:p w:rsidR="00187195" w:rsidRPr="00DB3CBB" w:rsidRDefault="00187195" w:rsidP="00187195">
      <w:pPr>
        <w:jc w:val="center"/>
        <w:rPr>
          <w:rStyle w:val="fontstyle21"/>
          <w:color w:val="auto"/>
          <w:sz w:val="22"/>
          <w:szCs w:val="22"/>
        </w:rPr>
      </w:pPr>
      <m:oMathPara>
        <m:oMath>
          <m:r>
            <w:rPr>
              <w:rStyle w:val="fontstyle21"/>
              <w:rFonts w:ascii="Cambria Math" w:hAnsi="Cambria Math"/>
              <w:color w:val="auto"/>
              <w:sz w:val="22"/>
              <w:szCs w:val="22"/>
            </w:rPr>
            <m:t>a=</m:t>
          </m:r>
          <m:d>
            <m:dPr>
              <m:begChr m:val="⌊"/>
              <m:endChr m:val="⌋"/>
              <m:ctrlPr>
                <w:rPr>
                  <w:rStyle w:val="fontstyle21"/>
                  <w:rFonts w:ascii="Cambria Math" w:hAnsi="Cambria Math"/>
                  <w:i/>
                  <w:color w:val="auto"/>
                  <w:sz w:val="22"/>
                  <w:szCs w:val="22"/>
                </w:rPr>
              </m:ctrlPr>
            </m:dPr>
            <m:e>
              <m:f>
                <m:fPr>
                  <m:type m:val="lin"/>
                  <m:ctrlPr>
                    <w:rPr>
                      <w:rStyle w:val="fontstyle21"/>
                      <w:rFonts w:ascii="Cambria Math" w:hAnsi="Cambria Math"/>
                      <w:i/>
                      <w:color w:val="auto"/>
                      <w:sz w:val="22"/>
                      <w:szCs w:val="22"/>
                    </w:rPr>
                  </m:ctrlPr>
                </m:fPr>
                <m:num>
                  <m:r>
                    <w:rPr>
                      <w:rStyle w:val="fontstyle21"/>
                      <w:rFonts w:ascii="Cambria Math" w:hAnsi="Cambria Math"/>
                      <w:color w:val="auto"/>
                      <w:sz w:val="22"/>
                      <w:szCs w:val="22"/>
                    </w:rPr>
                    <m:t>i</m:t>
                  </m:r>
                </m:num>
                <m:den>
                  <m:d>
                    <m:dPr>
                      <m:ctrlPr>
                        <w:rPr>
                          <w:rStyle w:val="fontstyle21"/>
                          <w:rFonts w:ascii="Cambria Math" w:hAnsi="Cambria Math"/>
                          <w:i/>
                          <w:color w:val="auto"/>
                          <w:sz w:val="22"/>
                          <w:szCs w:val="22"/>
                        </w:rPr>
                      </m:ctrlPr>
                    </m:dPr>
                    <m:e>
                      <m:r>
                        <w:rPr>
                          <w:rStyle w:val="fontstyle21"/>
                          <w:rFonts w:ascii="Cambria Math" w:hAnsi="Cambria Math"/>
                          <w:color w:val="auto"/>
                          <w:sz w:val="22"/>
                          <w:szCs w:val="22"/>
                        </w:rPr>
                        <m:t>C×M</m:t>
                      </m:r>
                    </m:e>
                  </m:d>
                </m:den>
              </m:f>
            </m:e>
          </m:d>
        </m:oMath>
      </m:oMathPara>
    </w:p>
    <w:p w:rsidR="00187195" w:rsidRPr="00DB3CBB" w:rsidRDefault="00187195" w:rsidP="00187195">
      <w:pPr>
        <w:pStyle w:val="NoSpacing"/>
        <w:rPr>
          <w:rFonts w:ascii="Times New Roman" w:hAnsi="Times New Roman"/>
        </w:rPr>
      </w:pPr>
      <w:r w:rsidRPr="00DB3CBB">
        <w:rPr>
          <w:rFonts w:ascii="Times New Roman" w:hAnsi="Times New Roman"/>
        </w:rPr>
        <w:t>where:</w:t>
      </w:r>
    </w:p>
    <w:p w:rsidR="00187195" w:rsidRPr="00DB3CBB" w:rsidRDefault="00187195" w:rsidP="00187195">
      <w:pPr>
        <w:pStyle w:val="NoSpacing"/>
        <w:numPr>
          <w:ilvl w:val="0"/>
          <w:numId w:val="6"/>
        </w:numPr>
        <w:rPr>
          <w:rFonts w:ascii="Times New Roman" w:hAnsi="Times New Roman"/>
        </w:rPr>
      </w:pPr>
      <w:r w:rsidRPr="00DB3CBB">
        <w:rPr>
          <w:rFonts w:ascii="Times New Roman" w:hAnsi="Times New Roman"/>
          <w:i/>
          <w:iCs/>
        </w:rPr>
        <w:t xml:space="preserve">M </w:t>
      </w:r>
      <w:r w:rsidRPr="00DB3CBB">
        <w:rPr>
          <w:rFonts w:ascii="Times New Roman" w:hAnsi="Times New Roman"/>
        </w:rPr>
        <w:t>is as defined above</w:t>
      </w:r>
    </w:p>
    <w:p w:rsidR="00187195" w:rsidRPr="00DB3CBB" w:rsidRDefault="00187195" w:rsidP="00187195">
      <w:pPr>
        <w:pStyle w:val="NoSpacing"/>
        <w:numPr>
          <w:ilvl w:val="0"/>
          <w:numId w:val="6"/>
        </w:numPr>
        <w:rPr>
          <w:rFonts w:ascii="Times New Roman" w:hAnsi="Times New Roman"/>
        </w:rPr>
      </w:pPr>
      <w:r w:rsidRPr="00DB3CBB">
        <w:rPr>
          <w:rFonts w:ascii="Times New Roman" w:hAnsi="Times New Roman"/>
          <w:i/>
          <w:iCs/>
        </w:rPr>
        <w:t>N</w:t>
      </w:r>
      <w:r w:rsidRPr="00DB3CBB">
        <w:rPr>
          <w:rFonts w:ascii="Times New Roman" w:hAnsi="Times New Roman"/>
        </w:rPr>
        <w:t xml:space="preserve"> is as defined above</w:t>
      </w:r>
    </w:p>
    <w:p w:rsidR="00187195" w:rsidRPr="00DB3CBB" w:rsidRDefault="00187195" w:rsidP="00187195">
      <w:pPr>
        <w:pStyle w:val="NoSpacing"/>
        <w:numPr>
          <w:ilvl w:val="0"/>
          <w:numId w:val="6"/>
        </w:numPr>
        <w:rPr>
          <w:rFonts w:ascii="Times New Roman" w:hAnsi="Times New Roman"/>
        </w:rPr>
      </w:pPr>
      <w:r w:rsidRPr="00DB3CBB">
        <w:rPr>
          <w:rFonts w:ascii="Times New Roman" w:hAnsi="Times New Roman"/>
          <w:i/>
          <w:iCs/>
        </w:rPr>
        <w:t>C</w:t>
      </w:r>
      <w:r w:rsidRPr="00DB3CBB">
        <w:rPr>
          <w:rFonts w:ascii="Times New Roman" w:hAnsi="Times New Roman"/>
        </w:rPr>
        <w:t xml:space="preserve"> is the value of the RX TRN-Units per Each TX TRN-Unit field in the EDMG-Header-A plus one</w:t>
      </w:r>
    </w:p>
    <w:p w:rsidR="00187195" w:rsidRPr="00DB3CBB" w:rsidRDefault="00187195" w:rsidP="00187195">
      <w:pPr>
        <w:pStyle w:val="NoSpacing"/>
        <w:numPr>
          <w:ilvl w:val="0"/>
          <w:numId w:val="6"/>
        </w:numPr>
        <w:rPr>
          <w:rFonts w:ascii="Times New Roman" w:hAnsi="Times New Roman"/>
        </w:rPr>
      </w:pPr>
      <w:r w:rsidRPr="00DB3CBB">
        <w:rPr>
          <w:rFonts w:ascii="Times New Roman" w:hAnsi="Times New Roman"/>
          <w:i/>
          <w:iCs/>
        </w:rPr>
        <w:t>L</w:t>
      </w:r>
      <w:r w:rsidRPr="00DB3CBB">
        <w:rPr>
          <w:rFonts w:ascii="Times New Roman" w:hAnsi="Times New Roman"/>
        </w:rPr>
        <w:t xml:space="preserve"> is as defined above</w:t>
      </w:r>
    </w:p>
    <w:p w:rsidR="00187195" w:rsidRPr="00DB3CBB" w:rsidRDefault="00187195" w:rsidP="00187195">
      <w:pPr>
        <w:pStyle w:val="NoSpacing"/>
      </w:pPr>
      <w:r w:rsidRPr="00DB3CBB">
        <w:rPr>
          <w:rFonts w:ascii="Times New Roman" w:hAnsi="Times New Roman"/>
        </w:rPr>
        <w:t xml:space="preserve">In this case, </w:t>
      </w:r>
      <m:oMath>
        <m:r>
          <w:rPr>
            <w:rFonts w:ascii="Cambria Math" w:hAnsi="Cambria Math"/>
          </w:rPr>
          <m:t xml:space="preserve">a=0, 1 ⋯ </m:t>
        </m:r>
        <m:f>
          <m:fPr>
            <m:type m:val="lin"/>
            <m:ctrlPr>
              <w:rPr>
                <w:rFonts w:ascii="Cambria Math" w:hAnsi="Cambria Math"/>
                <w:i/>
              </w:rPr>
            </m:ctrlPr>
          </m:fPr>
          <m:num>
            <m:r>
              <w:rPr>
                <w:rFonts w:ascii="Cambria Math" w:hAnsi="Cambria Math"/>
              </w:rPr>
              <m:t>L</m:t>
            </m:r>
          </m:num>
          <m:den>
            <m:r>
              <w:rPr>
                <w:rFonts w:ascii="Cambria Math" w:hAnsi="Cambria Math"/>
              </w:rPr>
              <m:t>C</m:t>
            </m:r>
          </m:den>
        </m:f>
        <m:r>
          <w:rPr>
            <w:rFonts w:ascii="Cambria Math" w:hAnsi="Cambria Math"/>
          </w:rPr>
          <m:t>-1</m:t>
        </m:r>
      </m:oMath>
      <w:r w:rsidRPr="00DB3CBB">
        <w:t xml:space="preserve">.  </w:t>
      </w:r>
    </w:p>
    <w:p w:rsidR="00187195" w:rsidRPr="00DB3CBB" w:rsidRDefault="00187195">
      <w:pPr>
        <w:rPr>
          <w:szCs w:val="22"/>
        </w:rPr>
      </w:pPr>
      <w:r w:rsidRPr="00DB3CBB">
        <w:rPr>
          <w:szCs w:val="22"/>
        </w:rPr>
        <w:br w:type="page"/>
      </w:r>
      <w:bookmarkStart w:id="0" w:name="_GoBack"/>
      <w:bookmarkEnd w:id="0"/>
    </w:p>
    <w:p w:rsidR="00187195" w:rsidRDefault="00187195">
      <w:pPr>
        <w:rPr>
          <w:szCs w:val="22"/>
        </w:rPr>
      </w:pPr>
    </w:p>
    <w:p w:rsidR="009B56D8" w:rsidRPr="00570DA1" w:rsidRDefault="009B56D8" w:rsidP="009B56D8">
      <w:r w:rsidRPr="00570DA1">
        <w:rPr>
          <w:b/>
          <w:u w:val="single"/>
        </w:rPr>
        <w:t>Change to the spec</w:t>
      </w:r>
      <w:r w:rsidR="001B6D50" w:rsidRPr="00570DA1">
        <w:rPr>
          <w:b/>
          <w:u w:val="single"/>
        </w:rPr>
        <w:t xml:space="preserve"> (802.11-2016)</w:t>
      </w:r>
      <w:r w:rsidRPr="00570DA1">
        <w:rPr>
          <w:b/>
          <w:u w:val="single"/>
        </w:rPr>
        <w:t>:</w:t>
      </w:r>
      <w:r w:rsidRPr="00570DA1">
        <w:t xml:space="preserve">  </w:t>
      </w:r>
      <w:r w:rsidR="00226FB0" w:rsidRPr="00570DA1">
        <w:t>9.4.2.130 (DMG Beam Refinement element)</w:t>
      </w:r>
    </w:p>
    <w:p w:rsidR="007A69BF" w:rsidRPr="00570DA1" w:rsidRDefault="007A69BF" w:rsidP="009B56D8">
      <w:pPr>
        <w:rPr>
          <w:i/>
        </w:rPr>
      </w:pPr>
    </w:p>
    <w:p w:rsidR="00AC6D0D" w:rsidRPr="00570DA1" w:rsidRDefault="00AC6D0D" w:rsidP="00AC6D0D">
      <w:pPr>
        <w:rPr>
          <w:i/>
        </w:rPr>
      </w:pPr>
      <w:r w:rsidRPr="00570DA1">
        <w:rPr>
          <w:i/>
        </w:rPr>
        <w:t xml:space="preserve">Change the </w:t>
      </w:r>
      <w:r w:rsidR="001B6D50" w:rsidRPr="00570DA1">
        <w:rPr>
          <w:i/>
        </w:rPr>
        <w:t>8</w:t>
      </w:r>
      <w:r w:rsidRPr="00570DA1">
        <w:rPr>
          <w:i/>
          <w:vertAlign w:val="superscript"/>
        </w:rPr>
        <w:t>th</w:t>
      </w:r>
      <w:r w:rsidRPr="00570DA1">
        <w:rPr>
          <w:i/>
        </w:rPr>
        <w:t xml:space="preserve"> paragraph as follows</w:t>
      </w:r>
    </w:p>
    <w:p w:rsidR="00AC6D0D" w:rsidRPr="00570DA1" w:rsidRDefault="00132AAB" w:rsidP="00AC6D0D">
      <w:r w:rsidRPr="00570DA1">
        <w:rPr>
          <w:u w:val="single"/>
        </w:rPr>
        <w:t>If the EDMG Extension Flag field is set to 0,</w:t>
      </w:r>
      <w:r w:rsidRPr="00570DA1">
        <w:t xml:space="preserve"> </w:t>
      </w:r>
      <w:r w:rsidR="00AC6D0D" w:rsidRPr="00570DA1">
        <w:rPr>
          <w:strike/>
        </w:rPr>
        <w:t>T</w:t>
      </w:r>
      <w:r w:rsidRPr="00570DA1">
        <w:rPr>
          <w:strike/>
        </w:rPr>
        <w:t>t</w:t>
      </w:r>
      <w:r w:rsidR="00AC6D0D" w:rsidRPr="00570DA1">
        <w:t xml:space="preserve">he BS-FBCK field indicates the index of the TRN-T field that was received with the best quality in the last received BRP-TX PPDU, where the first TRN-T field in the PPDU is defined as having an index equal to 1. </w:t>
      </w:r>
      <w:r w:rsidR="00AC6D0D" w:rsidRPr="00570DA1">
        <w:rPr>
          <w:strike/>
        </w:rPr>
        <w:t>If the last received PPDU was not a BRP-TX PPDU, this field is set to 0.</w:t>
      </w:r>
      <w:r w:rsidR="00AC6D0D" w:rsidRPr="00570DA1">
        <w:t xml:space="preserve"> </w:t>
      </w:r>
      <w:r w:rsidRPr="00570DA1">
        <w:rPr>
          <w:u w:val="single"/>
        </w:rPr>
        <w:t xml:space="preserve">If the EDMG Extension Flag field is set to 1, </w:t>
      </w:r>
      <w:r w:rsidR="00F877B2" w:rsidRPr="00570DA1">
        <w:rPr>
          <w:u w:val="single"/>
        </w:rPr>
        <w:t xml:space="preserve">the </w:t>
      </w:r>
      <w:r w:rsidRPr="00570DA1">
        <w:rPr>
          <w:u w:val="single"/>
        </w:rPr>
        <w:t xml:space="preserve">BS-FBCK field </w:t>
      </w:r>
      <w:r w:rsidR="00D55352" w:rsidRPr="00570DA1">
        <w:rPr>
          <w:u w:val="single"/>
        </w:rPr>
        <w:t xml:space="preserve">indicates the </w:t>
      </w:r>
      <w:r w:rsidR="00C452EF" w:rsidRPr="00570DA1">
        <w:rPr>
          <w:u w:val="single"/>
        </w:rPr>
        <w:t xml:space="preserve">AWV feedback </w:t>
      </w:r>
      <w:r w:rsidR="007A6231" w:rsidRPr="00570DA1">
        <w:rPr>
          <w:u w:val="single"/>
        </w:rPr>
        <w:t xml:space="preserve">ID of the </w:t>
      </w:r>
      <w:r w:rsidR="007A6231" w:rsidRPr="00570DA1">
        <w:rPr>
          <w:rStyle w:val="fontstyle21"/>
          <w:color w:val="auto"/>
          <w:sz w:val="22"/>
          <w:szCs w:val="22"/>
          <w:u w:val="single"/>
        </w:rPr>
        <w:t>TRN subfields transmitted with the same AWV</w:t>
      </w:r>
      <w:r w:rsidR="007A6231" w:rsidRPr="00570DA1">
        <w:rPr>
          <w:u w:val="single"/>
        </w:rPr>
        <w:t xml:space="preserve"> </w:t>
      </w:r>
      <w:r w:rsidR="00D55352" w:rsidRPr="00570DA1">
        <w:rPr>
          <w:u w:val="single"/>
        </w:rPr>
        <w:t>that w</w:t>
      </w:r>
      <w:r w:rsidR="007A6231" w:rsidRPr="00570DA1">
        <w:rPr>
          <w:u w:val="single"/>
        </w:rPr>
        <w:t>ere</w:t>
      </w:r>
      <w:r w:rsidR="00D55352" w:rsidRPr="00570DA1">
        <w:rPr>
          <w:u w:val="single"/>
        </w:rPr>
        <w:t xml:space="preserve"> received with the best quality in the last received </w:t>
      </w:r>
      <w:r w:rsidR="00D55352" w:rsidRPr="00570DA1">
        <w:rPr>
          <w:rStyle w:val="fontstyle21"/>
          <w:color w:val="auto"/>
          <w:sz w:val="22"/>
          <w:szCs w:val="22"/>
          <w:u w:val="single"/>
        </w:rPr>
        <w:t xml:space="preserve">EDMG BRP-TX </w:t>
      </w:r>
      <w:r w:rsidR="004C7425" w:rsidRPr="00570DA1">
        <w:rPr>
          <w:rStyle w:val="fontstyle21"/>
          <w:color w:val="auto"/>
          <w:sz w:val="22"/>
          <w:szCs w:val="22"/>
          <w:u w:val="single"/>
        </w:rPr>
        <w:t xml:space="preserve">packet </w:t>
      </w:r>
      <w:r w:rsidR="00D55352" w:rsidRPr="00570DA1">
        <w:rPr>
          <w:rStyle w:val="fontstyle21"/>
          <w:color w:val="auto"/>
          <w:sz w:val="22"/>
          <w:szCs w:val="22"/>
          <w:u w:val="single"/>
        </w:rPr>
        <w:t>or EDMG BRP-RX/TX packet</w:t>
      </w:r>
      <w:r w:rsidR="004C7425" w:rsidRPr="00570DA1">
        <w:rPr>
          <w:rStyle w:val="fontstyle21"/>
          <w:color w:val="auto"/>
          <w:sz w:val="22"/>
          <w:szCs w:val="22"/>
          <w:u w:val="single"/>
        </w:rPr>
        <w:t xml:space="preserve"> as defined in 30.9.2.2.5</w:t>
      </w:r>
      <w:r w:rsidR="00281F7F" w:rsidRPr="00570DA1">
        <w:rPr>
          <w:rStyle w:val="fontstyle21"/>
          <w:color w:val="auto"/>
          <w:sz w:val="22"/>
          <w:szCs w:val="22"/>
          <w:u w:val="single"/>
        </w:rPr>
        <w:t xml:space="preserve"> </w:t>
      </w:r>
      <w:r w:rsidR="00281F7F" w:rsidRPr="00570DA1">
        <w:rPr>
          <w:u w:val="single"/>
        </w:rPr>
        <w:t>(TRN field definition)</w:t>
      </w:r>
      <w:r w:rsidR="00D55352" w:rsidRPr="00570DA1">
        <w:rPr>
          <w:rStyle w:val="fontstyle21"/>
          <w:color w:val="auto"/>
          <w:sz w:val="22"/>
          <w:szCs w:val="22"/>
          <w:u w:val="single"/>
        </w:rPr>
        <w:t xml:space="preserve">.  </w:t>
      </w:r>
      <w:r w:rsidRPr="00570DA1">
        <w:rPr>
          <w:u w:val="single"/>
        </w:rPr>
        <w:t xml:space="preserve">If the last received PPDU was not </w:t>
      </w:r>
      <w:r w:rsidR="004C2741" w:rsidRPr="00570DA1">
        <w:rPr>
          <w:u w:val="single"/>
        </w:rPr>
        <w:t xml:space="preserve">a BRP-TX PPDU, </w:t>
      </w:r>
      <w:r w:rsidR="004E2A1F" w:rsidRPr="00570DA1">
        <w:rPr>
          <w:u w:val="single"/>
        </w:rPr>
        <w:t xml:space="preserve">an </w:t>
      </w:r>
      <w:r w:rsidR="006A512C" w:rsidRPr="00570DA1">
        <w:rPr>
          <w:u w:val="single"/>
        </w:rPr>
        <w:t xml:space="preserve">EDMG BRP-TX </w:t>
      </w:r>
      <w:r w:rsidR="00F11D88" w:rsidRPr="00570DA1">
        <w:rPr>
          <w:u w:val="single"/>
        </w:rPr>
        <w:t>packet</w:t>
      </w:r>
      <w:r w:rsidR="004C2741" w:rsidRPr="00570DA1">
        <w:rPr>
          <w:u w:val="single"/>
        </w:rPr>
        <w:t xml:space="preserve"> </w:t>
      </w:r>
      <w:r w:rsidR="006A512C" w:rsidRPr="00570DA1">
        <w:rPr>
          <w:u w:val="single"/>
        </w:rPr>
        <w:t>or</w:t>
      </w:r>
      <w:r w:rsidR="004C2741" w:rsidRPr="00570DA1">
        <w:rPr>
          <w:u w:val="single"/>
        </w:rPr>
        <w:t xml:space="preserve"> an</w:t>
      </w:r>
      <w:r w:rsidR="006A512C" w:rsidRPr="00570DA1">
        <w:rPr>
          <w:u w:val="single"/>
        </w:rPr>
        <w:t xml:space="preserve"> EDMG BRP-RX/TX </w:t>
      </w:r>
      <w:r w:rsidR="00F11D88" w:rsidRPr="00570DA1">
        <w:rPr>
          <w:u w:val="single"/>
        </w:rPr>
        <w:t>packet,</w:t>
      </w:r>
      <w:r w:rsidRPr="00570DA1">
        <w:rPr>
          <w:u w:val="single"/>
        </w:rPr>
        <w:t xml:space="preserve"> this field is set to 0.</w:t>
      </w:r>
      <w:r w:rsidRPr="00570DA1">
        <w:t xml:space="preserve"> </w:t>
      </w:r>
      <w:r w:rsidR="00AC6D0D" w:rsidRPr="00570DA1">
        <w:t>The determination of best quality is implementation dependent.</w:t>
      </w:r>
    </w:p>
    <w:p w:rsidR="00AC6D0D" w:rsidRPr="00570DA1" w:rsidRDefault="00AC6D0D" w:rsidP="009B56D8">
      <w:pPr>
        <w:rPr>
          <w:i/>
        </w:rPr>
      </w:pPr>
    </w:p>
    <w:p w:rsidR="00226FB0" w:rsidRPr="00570DA1" w:rsidRDefault="00226FB0" w:rsidP="009B56D8">
      <w:pPr>
        <w:rPr>
          <w:i/>
        </w:rPr>
      </w:pPr>
      <w:r w:rsidRPr="00570DA1">
        <w:rPr>
          <w:i/>
        </w:rPr>
        <w:t>Change Table 9-235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903"/>
      </w:tblGrid>
      <w:tr w:rsidR="00570DA1" w:rsidRPr="00570DA1" w:rsidTr="00931507">
        <w:tc>
          <w:tcPr>
            <w:tcW w:w="0" w:type="auto"/>
            <w:shd w:val="clear" w:color="auto" w:fill="auto"/>
          </w:tcPr>
          <w:p w:rsidR="00226FB0" w:rsidRPr="00570DA1" w:rsidRDefault="00226FB0" w:rsidP="00931507">
            <w:pPr>
              <w:pStyle w:val="IEEEStdsTableColumnHead"/>
            </w:pPr>
            <w:r w:rsidRPr="00570DA1">
              <w:t>Subfield</w:t>
            </w:r>
          </w:p>
        </w:tc>
        <w:tc>
          <w:tcPr>
            <w:tcW w:w="0" w:type="auto"/>
            <w:shd w:val="clear" w:color="auto" w:fill="auto"/>
          </w:tcPr>
          <w:p w:rsidR="00226FB0" w:rsidRPr="00570DA1" w:rsidRDefault="00226FB0" w:rsidP="00931507">
            <w:pPr>
              <w:pStyle w:val="IEEEStdsTableColumnHead"/>
            </w:pPr>
            <w:r w:rsidRPr="00570DA1">
              <w:t>Meaning</w:t>
            </w:r>
          </w:p>
        </w:tc>
      </w:tr>
      <w:tr w:rsidR="00570DA1" w:rsidRPr="00570DA1" w:rsidTr="00931507">
        <w:tc>
          <w:tcPr>
            <w:tcW w:w="0" w:type="auto"/>
            <w:shd w:val="clear" w:color="auto" w:fill="auto"/>
          </w:tcPr>
          <w:p w:rsidR="00226FB0" w:rsidRPr="00570DA1" w:rsidRDefault="00226FB0" w:rsidP="00931507">
            <w:pPr>
              <w:pStyle w:val="IEEEStdsTableData-Left"/>
            </w:pPr>
            <w:r w:rsidRPr="00570DA1">
              <w:t>Number of Measurements</w:t>
            </w:r>
          </w:p>
        </w:tc>
        <w:tc>
          <w:tcPr>
            <w:tcW w:w="0" w:type="auto"/>
            <w:shd w:val="clear" w:color="auto" w:fill="auto"/>
          </w:tcPr>
          <w:p w:rsidR="00226FB0" w:rsidRPr="00570DA1" w:rsidRDefault="00226FB0" w:rsidP="00931507">
            <w:pPr>
              <w:pStyle w:val="IEEEStdsTableData-Left"/>
            </w:pPr>
            <w:r w:rsidRPr="00570DA1">
              <w:t>The definition of the Number of Measurements subfield depends on the value of the EDMG Extension Flag field. If the EDMG Extension Flag field is set to 1, the Number of Measurements MSB field is prepended to the Number of Measurements subfield to form a single Number of Measurements field of size 11 bits. Otherwise, the Number of Measurements MSB field is reserved.</w:t>
            </w:r>
          </w:p>
          <w:p w:rsidR="00226FB0" w:rsidRPr="00570DA1" w:rsidRDefault="00226FB0" w:rsidP="00931507">
            <w:pPr>
              <w:pStyle w:val="IEEEStdsTableData-Left"/>
            </w:pPr>
          </w:p>
          <w:p w:rsidR="00226FB0" w:rsidRPr="00570DA1" w:rsidRDefault="00226FB0" w:rsidP="006D3C01">
            <w:pPr>
              <w:pStyle w:val="IEEEStdsTableData-Left"/>
              <w:rPr>
                <w:u w:val="single"/>
              </w:rPr>
            </w:pPr>
            <w:r w:rsidRPr="00570DA1">
              <w:t>The Number of Measurements subfield indicates the</w:t>
            </w:r>
            <w:r w:rsidRPr="00570DA1">
              <w:rPr>
                <w:u w:val="single"/>
              </w:rPr>
              <w:t xml:space="preserve"> </w:t>
            </w:r>
            <w:r w:rsidRPr="00570DA1">
              <w:t xml:space="preserve">number of measurements in the SNR subfield and the Channel Measurement subfield. </w:t>
            </w:r>
            <w:r w:rsidR="00037583" w:rsidRPr="00570DA1">
              <w:rPr>
                <w:u w:val="single"/>
              </w:rPr>
              <w:t>If the EDMG Extension Flag field is set to 0, the number of measurements</w:t>
            </w:r>
            <w:r w:rsidR="00C35DED" w:rsidRPr="00570DA1">
              <w:rPr>
                <w:u w:val="single"/>
              </w:rPr>
              <w:t xml:space="preserve"> </w:t>
            </w:r>
            <w:r w:rsidRPr="00570DA1">
              <w:rPr>
                <w:strike/>
              </w:rPr>
              <w:t>It</w:t>
            </w:r>
            <w:r w:rsidRPr="00570DA1">
              <w:t xml:space="preserve"> is equal to the number of TRN-T subfields in the BRP-TX packet on which the measurement is based, or the number of received sectors if TXSS result is reported by setting the TXSS-FBCK-REQ subfield to 1.</w:t>
            </w:r>
            <w:r w:rsidR="00037583" w:rsidRPr="00570DA1">
              <w:t xml:space="preserve">  </w:t>
            </w:r>
            <w:r w:rsidR="00037583" w:rsidRPr="00570DA1">
              <w:rPr>
                <w:u w:val="single"/>
              </w:rPr>
              <w:t xml:space="preserve">If the EDMG Extension Flag field is set to 1, the number of measurements is equal to the number </w:t>
            </w:r>
            <w:r w:rsidR="00D55352" w:rsidRPr="00570DA1">
              <w:rPr>
                <w:u w:val="single"/>
              </w:rPr>
              <w:t xml:space="preserve">of </w:t>
            </w:r>
            <w:r w:rsidR="00C452EF" w:rsidRPr="00570DA1">
              <w:rPr>
                <w:u w:val="single"/>
              </w:rPr>
              <w:t xml:space="preserve">AWV feedback </w:t>
            </w:r>
            <w:r w:rsidR="00DF755A" w:rsidRPr="00570DA1">
              <w:rPr>
                <w:u w:val="single"/>
              </w:rPr>
              <w:t xml:space="preserve">IDs </w:t>
            </w:r>
            <w:r w:rsidR="009C5E81" w:rsidRPr="00570DA1">
              <w:rPr>
                <w:u w:val="single"/>
              </w:rPr>
              <w:t xml:space="preserve">present </w:t>
            </w:r>
            <w:r w:rsidR="007B2F2C" w:rsidRPr="00570DA1">
              <w:rPr>
                <w:u w:val="single"/>
              </w:rPr>
              <w:t xml:space="preserve">in the EDMG BRP-TX </w:t>
            </w:r>
            <w:r w:rsidR="00F11D88" w:rsidRPr="00570DA1">
              <w:rPr>
                <w:u w:val="single"/>
              </w:rPr>
              <w:t xml:space="preserve">packet </w:t>
            </w:r>
            <w:r w:rsidR="007B2F2C" w:rsidRPr="00570DA1">
              <w:rPr>
                <w:u w:val="single"/>
              </w:rPr>
              <w:t>or EDMG BRP-RX/TX packet on which the measurement is based</w:t>
            </w:r>
            <w:r w:rsidR="00F11D88" w:rsidRPr="00570DA1">
              <w:rPr>
                <w:u w:val="single"/>
              </w:rPr>
              <w:t xml:space="preserve">, </w:t>
            </w:r>
            <w:r w:rsidR="007B2F2C" w:rsidRPr="00570DA1">
              <w:rPr>
                <w:u w:val="single"/>
              </w:rPr>
              <w:t>or the number of received sectors if TXSS result is reported by setting the TXSS-FBCK-REQ subfield to 1</w:t>
            </w:r>
            <w:r w:rsidR="007B2F2C" w:rsidRPr="00570DA1">
              <w:t>.</w:t>
            </w:r>
            <w:r w:rsidR="00037583" w:rsidRPr="00570DA1">
              <w:rPr>
                <w:u w:val="single"/>
              </w:rPr>
              <w:t xml:space="preserve"> </w:t>
            </w:r>
          </w:p>
        </w:tc>
      </w:tr>
    </w:tbl>
    <w:p w:rsidR="00226FB0" w:rsidRPr="00570DA1" w:rsidRDefault="00226FB0" w:rsidP="00132045">
      <w:pPr>
        <w:pStyle w:val="IEEEStdsParagraph"/>
        <w:spacing w:after="0"/>
      </w:pPr>
    </w:p>
    <w:p w:rsidR="007A69BF" w:rsidRPr="00570DA1" w:rsidRDefault="007A69BF" w:rsidP="007A69BF"/>
    <w:p w:rsidR="00CC5F96" w:rsidRPr="00570DA1" w:rsidRDefault="00AB1689" w:rsidP="00CC5F96">
      <w:r w:rsidRPr="00570DA1">
        <w:rPr>
          <w:b/>
          <w:u w:val="single"/>
        </w:rPr>
        <w:t>Change to the draft spec:</w:t>
      </w:r>
      <w:r w:rsidRPr="00570DA1">
        <w:t xml:space="preserve">  10.38.7 (Beam tracking)</w:t>
      </w:r>
    </w:p>
    <w:p w:rsidR="00AB1689" w:rsidRPr="00570DA1" w:rsidRDefault="00AB1689" w:rsidP="00AB1689"/>
    <w:p w:rsidR="00AB1689" w:rsidRPr="00570DA1" w:rsidRDefault="00AB1689" w:rsidP="00AB1689">
      <w:pPr>
        <w:rPr>
          <w:i/>
        </w:rPr>
      </w:pPr>
      <w:r w:rsidRPr="00570DA1">
        <w:rPr>
          <w:i/>
        </w:rPr>
        <w:t>Change the following paragraph</w:t>
      </w:r>
      <w:r w:rsidR="006C4F04" w:rsidRPr="00570DA1">
        <w:rPr>
          <w:i/>
        </w:rPr>
        <w:t xml:space="preserve"> in D0.3</w:t>
      </w:r>
      <w:r w:rsidRPr="00570DA1">
        <w:rPr>
          <w:i/>
        </w:rPr>
        <w:t xml:space="preserve"> as follows</w:t>
      </w:r>
    </w:p>
    <w:p w:rsidR="000F22E4" w:rsidRPr="00570DA1" w:rsidRDefault="00AB1689" w:rsidP="000F22E4">
      <w:r w:rsidRPr="00570DA1">
        <w:t>The beam tracking responder may append the feedback to any packet from the responder to the initiator. The initiator may allocate time for the feedback through a reverse direction grant, provided the reverse direction protocol is supported by both the initiator and responder. The feedback type shall be the same as the feedback type in the last BRP frame that was transmitted from the initiator to the responder with TX-TRN-REQ equal to 1. If the responder has never received a BRP frame from the initiator with TX-TRN-REQ equal to 1, the responder shall respond with all subfields of the FBCK-TYPE field equal to 0 and set the BS-FBCK field to the index of the TRN-T subfield that was received with the best quality</w:t>
      </w:r>
      <w:r w:rsidR="00971378" w:rsidRPr="00570DA1">
        <w:t xml:space="preserve"> </w:t>
      </w:r>
      <w:r w:rsidR="00971378" w:rsidRPr="00570DA1">
        <w:rPr>
          <w:u w:val="single"/>
        </w:rPr>
        <w:t xml:space="preserve">if the measurements were performed with DMG PPDUs or to the </w:t>
      </w:r>
      <w:r w:rsidR="00C452EF" w:rsidRPr="00570DA1">
        <w:rPr>
          <w:u w:val="single"/>
        </w:rPr>
        <w:t xml:space="preserve">AWV feedback </w:t>
      </w:r>
      <w:r w:rsidR="00DF755A" w:rsidRPr="00570DA1">
        <w:rPr>
          <w:u w:val="single"/>
        </w:rPr>
        <w:t xml:space="preserve">ID corresponding to the </w:t>
      </w:r>
      <w:r w:rsidR="00DF755A" w:rsidRPr="00570DA1">
        <w:rPr>
          <w:rStyle w:val="fontstyle21"/>
          <w:color w:val="auto"/>
          <w:sz w:val="22"/>
          <w:szCs w:val="22"/>
          <w:u w:val="single"/>
        </w:rPr>
        <w:t>TRN subfields transmitted with the same AWV that were r</w:t>
      </w:r>
      <w:r w:rsidR="00971378" w:rsidRPr="00570DA1">
        <w:rPr>
          <w:u w:val="single"/>
        </w:rPr>
        <w:t>eceived with the best quality if the measurements were performed with EDMG PPDUs</w:t>
      </w:r>
      <w:r w:rsidRPr="00570DA1">
        <w:t>.</w:t>
      </w:r>
    </w:p>
    <w:p w:rsidR="00E43337" w:rsidRPr="00570DA1" w:rsidRDefault="00E43337" w:rsidP="000F22E4"/>
    <w:p w:rsidR="00F11D88" w:rsidRPr="00570DA1" w:rsidRDefault="00F11D88" w:rsidP="00F11D88"/>
    <w:p w:rsidR="00E43337" w:rsidRPr="00570DA1" w:rsidRDefault="00E43337" w:rsidP="00E43337">
      <w:r w:rsidRPr="00570DA1">
        <w:rPr>
          <w:b/>
          <w:u w:val="single"/>
        </w:rPr>
        <w:t>Change to the draft spec:</w:t>
      </w:r>
      <w:r w:rsidRPr="00570DA1">
        <w:t xml:space="preserve">  10.38.9.5.2 (DMG antenna and TRN-Unit configuration during BRP TXSS)</w:t>
      </w:r>
    </w:p>
    <w:p w:rsidR="00E43337" w:rsidRPr="00570DA1" w:rsidRDefault="00E43337" w:rsidP="00E43337"/>
    <w:p w:rsidR="00E43337" w:rsidRPr="00570DA1" w:rsidRDefault="00E43337" w:rsidP="00E43337">
      <w:pPr>
        <w:rPr>
          <w:i/>
        </w:rPr>
      </w:pPr>
      <w:r w:rsidRPr="00570DA1">
        <w:rPr>
          <w:i/>
        </w:rPr>
        <w:t xml:space="preserve">Change the following paragraph </w:t>
      </w:r>
      <w:r w:rsidR="006C4F04" w:rsidRPr="00570DA1">
        <w:rPr>
          <w:i/>
        </w:rPr>
        <w:t xml:space="preserve">in D0.3 </w:t>
      </w:r>
      <w:r w:rsidRPr="00570DA1">
        <w:rPr>
          <w:i/>
        </w:rPr>
        <w:t>as follows</w:t>
      </w:r>
    </w:p>
    <w:p w:rsidR="00E43337" w:rsidRPr="00570DA1" w:rsidRDefault="00E43337" w:rsidP="00E43337"/>
    <w:p w:rsidR="0096548A" w:rsidRPr="00570DA1" w:rsidRDefault="00E43337">
      <w:r w:rsidRPr="00570DA1">
        <w:t xml:space="preserve">The first TRN-Unit in an EDMG BRP packet used in a BRP TXSS may be used for the initiator and responder to switch DMG antennas and shall not be processed by the responder. Therefore, for EDMG BRP-TX packets transmitted during BRP TXSS, the value of the TXVECTOR parameter EDMG_TRN_LEN shall be set to k + 1, where k is the number of TRN-Units used for sector sweep.  </w:t>
      </w:r>
      <w:r w:rsidRPr="00570DA1">
        <w:rPr>
          <w:u w:val="single"/>
        </w:rPr>
        <w:t xml:space="preserve">The TRN subfields that </w:t>
      </w:r>
      <w:r w:rsidR="003213DB" w:rsidRPr="00570DA1">
        <w:rPr>
          <w:u w:val="single"/>
        </w:rPr>
        <w:t>comprise the first TRN-Unit in EDMG BRP</w:t>
      </w:r>
      <w:r w:rsidR="00F11D88" w:rsidRPr="00570DA1">
        <w:rPr>
          <w:u w:val="single"/>
        </w:rPr>
        <w:t>-TX</w:t>
      </w:r>
      <w:r w:rsidR="003213DB" w:rsidRPr="00570DA1">
        <w:rPr>
          <w:u w:val="single"/>
        </w:rPr>
        <w:t xml:space="preserve"> packet</w:t>
      </w:r>
      <w:r w:rsidR="00F11D88" w:rsidRPr="00570DA1">
        <w:rPr>
          <w:u w:val="single"/>
        </w:rPr>
        <w:t>s</w:t>
      </w:r>
      <w:r w:rsidR="003213DB" w:rsidRPr="00570DA1">
        <w:rPr>
          <w:u w:val="single"/>
        </w:rPr>
        <w:t xml:space="preserve"> used in BRP TXSS shall not </w:t>
      </w:r>
      <w:r w:rsidR="003213DB" w:rsidRPr="00570DA1">
        <w:rPr>
          <w:u w:val="single"/>
        </w:rPr>
        <w:lastRenderedPageBreak/>
        <w:t xml:space="preserve">be </w:t>
      </w:r>
      <w:r w:rsidR="00241BAC" w:rsidRPr="00570DA1">
        <w:rPr>
          <w:u w:val="single"/>
        </w:rPr>
        <w:t xml:space="preserve">included in the TRN subfield and </w:t>
      </w:r>
      <w:r w:rsidR="00C452EF" w:rsidRPr="00570DA1">
        <w:rPr>
          <w:u w:val="single"/>
        </w:rPr>
        <w:t xml:space="preserve">AWV feedback </w:t>
      </w:r>
      <w:r w:rsidR="00DF755A" w:rsidRPr="00570DA1">
        <w:rPr>
          <w:u w:val="single"/>
        </w:rPr>
        <w:t>ID</w:t>
      </w:r>
      <w:r w:rsidR="00241BAC" w:rsidRPr="00570DA1">
        <w:rPr>
          <w:u w:val="single"/>
        </w:rPr>
        <w:t xml:space="preserve"> indexing procedures described in 30.9.2.2.5 (TRN field definition).</w:t>
      </w:r>
      <w:r w:rsidR="0096548A" w:rsidRPr="00570DA1">
        <w:br w:type="page"/>
      </w:r>
    </w:p>
    <w:p w:rsidR="0096548A" w:rsidRPr="00570DA1" w:rsidRDefault="0096548A" w:rsidP="00E43337"/>
    <w:p w:rsidR="00CA09B2" w:rsidRPr="00570DA1" w:rsidRDefault="00CA09B2" w:rsidP="00551862">
      <w:pPr>
        <w:rPr>
          <w:b/>
          <w:sz w:val="24"/>
        </w:rPr>
      </w:pPr>
      <w:r w:rsidRPr="00570DA1">
        <w:rPr>
          <w:b/>
          <w:sz w:val="24"/>
        </w:rPr>
        <w:t>References:</w:t>
      </w:r>
    </w:p>
    <w:p w:rsidR="00CA09B2" w:rsidRPr="00570DA1" w:rsidRDefault="00CA09B2"/>
    <w:sectPr w:rsidR="00CA09B2" w:rsidRPr="00570DA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C82" w:rsidRDefault="00FD5C82">
      <w:r>
        <w:separator/>
      </w:r>
    </w:p>
  </w:endnote>
  <w:endnote w:type="continuationSeparator" w:id="0">
    <w:p w:rsidR="00FD5C82" w:rsidRDefault="00FD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14585">
    <w:pPr>
      <w:pStyle w:val="Footer"/>
      <w:tabs>
        <w:tab w:val="clear" w:pos="6480"/>
        <w:tab w:val="center" w:pos="4680"/>
        <w:tab w:val="right" w:pos="9360"/>
      </w:tabs>
    </w:pPr>
    <w:fldSimple w:instr=" SUBJECT  \* MERGEFORMAT ">
      <w:r w:rsidR="001B6D50">
        <w:t>Submission</w:t>
      </w:r>
    </w:fldSimple>
    <w:r w:rsidR="0029020B">
      <w:tab/>
      <w:t xml:space="preserve">page </w:t>
    </w:r>
    <w:r w:rsidR="0029020B">
      <w:fldChar w:fldCharType="begin"/>
    </w:r>
    <w:r w:rsidR="0029020B">
      <w:instrText xml:space="preserve">page </w:instrText>
    </w:r>
    <w:r w:rsidR="0029020B">
      <w:fldChar w:fldCharType="separate"/>
    </w:r>
    <w:r w:rsidR="007A7035">
      <w:rPr>
        <w:noProof/>
      </w:rPr>
      <w:t>4</w:t>
    </w:r>
    <w:r w:rsidR="0029020B">
      <w:fldChar w:fldCharType="end"/>
    </w:r>
    <w:r w:rsidR="0029020B">
      <w:tab/>
    </w:r>
    <w:r w:rsidR="007A7035">
      <w:t>Claudio da Silva, Intel</w:t>
    </w:r>
    <w:r w:rsidR="00856C2F">
      <w:fldChar w:fldCharType="begin"/>
    </w:r>
    <w:r w:rsidR="00856C2F">
      <w:instrText xml:space="preserve"> COMMENTS  \* MERGEFORMAT </w:instrText>
    </w:r>
    <w:r w:rsidR="00856C2F">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C82" w:rsidRDefault="00FD5C82">
      <w:r>
        <w:separator/>
      </w:r>
    </w:p>
  </w:footnote>
  <w:footnote w:type="continuationSeparator" w:id="0">
    <w:p w:rsidR="00FD5C82" w:rsidRDefault="00FD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14585">
    <w:pPr>
      <w:pStyle w:val="Header"/>
      <w:tabs>
        <w:tab w:val="clear" w:pos="6480"/>
        <w:tab w:val="center" w:pos="4680"/>
        <w:tab w:val="right" w:pos="9360"/>
      </w:tabs>
    </w:pPr>
    <w:fldSimple w:instr=" KEYWORDS  \* MERGEFORMAT ">
      <w:r w:rsidR="00383B02">
        <w:t>July 2017</w:t>
      </w:r>
    </w:fldSimple>
    <w:r w:rsidR="0029020B">
      <w:tab/>
    </w:r>
    <w:r w:rsidR="0029020B">
      <w:tab/>
    </w:r>
    <w:fldSimple w:instr=" TITLE  \* MERGEFORMAT ">
      <w:r w:rsidR="001B6D50">
        <w:t>doc.: IEEE 802.11-</w:t>
      </w:r>
      <w:r w:rsidR="00383B02">
        <w:t>17</w:t>
      </w:r>
      <w:r w:rsidR="001B6D50">
        <w:t>/</w:t>
      </w:r>
      <w:r w:rsidR="00383B02">
        <w:t>0923</w:t>
      </w:r>
      <w:r w:rsidR="001B6D5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E593CAD"/>
    <w:multiLevelType w:val="hybridMultilevel"/>
    <w:tmpl w:val="4EA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13BAF"/>
    <w:multiLevelType w:val="hybridMultilevel"/>
    <w:tmpl w:val="C1E04790"/>
    <w:lvl w:ilvl="0" w:tplc="569AA7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949F6"/>
    <w:multiLevelType w:val="hybridMultilevel"/>
    <w:tmpl w:val="3FC8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F550B"/>
    <w:multiLevelType w:val="hybridMultilevel"/>
    <w:tmpl w:val="79E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F5A57"/>
    <w:multiLevelType w:val="hybridMultilevel"/>
    <w:tmpl w:val="0FC67FE2"/>
    <w:lvl w:ilvl="0" w:tplc="569AA7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454"/>
    <w:rsid w:val="00003B1F"/>
    <w:rsid w:val="00031C66"/>
    <w:rsid w:val="00033B39"/>
    <w:rsid w:val="00037583"/>
    <w:rsid w:val="000503B3"/>
    <w:rsid w:val="00062332"/>
    <w:rsid w:val="00071DBF"/>
    <w:rsid w:val="00094BC6"/>
    <w:rsid w:val="000A26B1"/>
    <w:rsid w:val="000C004C"/>
    <w:rsid w:val="000D77BE"/>
    <w:rsid w:val="000F22E4"/>
    <w:rsid w:val="000F2D70"/>
    <w:rsid w:val="0010346A"/>
    <w:rsid w:val="00114585"/>
    <w:rsid w:val="00116600"/>
    <w:rsid w:val="00121BC3"/>
    <w:rsid w:val="00132045"/>
    <w:rsid w:val="00132AAB"/>
    <w:rsid w:val="00161BC9"/>
    <w:rsid w:val="00180893"/>
    <w:rsid w:val="00187195"/>
    <w:rsid w:val="00191287"/>
    <w:rsid w:val="001A1A77"/>
    <w:rsid w:val="001A54BB"/>
    <w:rsid w:val="001B4808"/>
    <w:rsid w:val="001B6D50"/>
    <w:rsid w:val="001C785F"/>
    <w:rsid w:val="001D723B"/>
    <w:rsid w:val="001E5044"/>
    <w:rsid w:val="00221DE8"/>
    <w:rsid w:val="00226FB0"/>
    <w:rsid w:val="00241BAC"/>
    <w:rsid w:val="00251CAF"/>
    <w:rsid w:val="00263F98"/>
    <w:rsid w:val="00270A04"/>
    <w:rsid w:val="00270C2C"/>
    <w:rsid w:val="00281F7F"/>
    <w:rsid w:val="0029020B"/>
    <w:rsid w:val="002A2735"/>
    <w:rsid w:val="002A6E0D"/>
    <w:rsid w:val="002D2E35"/>
    <w:rsid w:val="002D44BE"/>
    <w:rsid w:val="002F0599"/>
    <w:rsid w:val="002F2069"/>
    <w:rsid w:val="002F4261"/>
    <w:rsid w:val="003202F3"/>
    <w:rsid w:val="003213DB"/>
    <w:rsid w:val="00323A2A"/>
    <w:rsid w:val="0035273E"/>
    <w:rsid w:val="003553BD"/>
    <w:rsid w:val="00364B45"/>
    <w:rsid w:val="00383B02"/>
    <w:rsid w:val="003A612C"/>
    <w:rsid w:val="003C0FB6"/>
    <w:rsid w:val="003C1FD9"/>
    <w:rsid w:val="003D6D22"/>
    <w:rsid w:val="003E6432"/>
    <w:rsid w:val="0040468F"/>
    <w:rsid w:val="00424B9D"/>
    <w:rsid w:val="00442037"/>
    <w:rsid w:val="00446E5A"/>
    <w:rsid w:val="00465CD3"/>
    <w:rsid w:val="004726C7"/>
    <w:rsid w:val="00487574"/>
    <w:rsid w:val="004B064B"/>
    <w:rsid w:val="004C2741"/>
    <w:rsid w:val="004C29E0"/>
    <w:rsid w:val="004C7425"/>
    <w:rsid w:val="004E2A1F"/>
    <w:rsid w:val="004F038B"/>
    <w:rsid w:val="0051060A"/>
    <w:rsid w:val="00520BD5"/>
    <w:rsid w:val="00531EA0"/>
    <w:rsid w:val="00551862"/>
    <w:rsid w:val="00570DA1"/>
    <w:rsid w:val="005861D9"/>
    <w:rsid w:val="00592461"/>
    <w:rsid w:val="005A5D56"/>
    <w:rsid w:val="005A624E"/>
    <w:rsid w:val="005C61DA"/>
    <w:rsid w:val="005D1AB6"/>
    <w:rsid w:val="00606967"/>
    <w:rsid w:val="0062440B"/>
    <w:rsid w:val="00635A56"/>
    <w:rsid w:val="00644752"/>
    <w:rsid w:val="00657EED"/>
    <w:rsid w:val="0066668C"/>
    <w:rsid w:val="0069018F"/>
    <w:rsid w:val="006930BB"/>
    <w:rsid w:val="006A0759"/>
    <w:rsid w:val="006A157D"/>
    <w:rsid w:val="006A512C"/>
    <w:rsid w:val="006A5A9A"/>
    <w:rsid w:val="006B7CA1"/>
    <w:rsid w:val="006C0727"/>
    <w:rsid w:val="006C4F04"/>
    <w:rsid w:val="006D2455"/>
    <w:rsid w:val="006D3C01"/>
    <w:rsid w:val="006E145F"/>
    <w:rsid w:val="006E1C2C"/>
    <w:rsid w:val="00705E22"/>
    <w:rsid w:val="0072549F"/>
    <w:rsid w:val="007342CE"/>
    <w:rsid w:val="007376BC"/>
    <w:rsid w:val="00747A79"/>
    <w:rsid w:val="00770572"/>
    <w:rsid w:val="00777116"/>
    <w:rsid w:val="007841DC"/>
    <w:rsid w:val="007A07DE"/>
    <w:rsid w:val="007A6231"/>
    <w:rsid w:val="007A69BF"/>
    <w:rsid w:val="007A7035"/>
    <w:rsid w:val="007B2F2C"/>
    <w:rsid w:val="007B7AAF"/>
    <w:rsid w:val="007D25D1"/>
    <w:rsid w:val="007D486D"/>
    <w:rsid w:val="007E01D4"/>
    <w:rsid w:val="007E4B3F"/>
    <w:rsid w:val="007E6906"/>
    <w:rsid w:val="008067D4"/>
    <w:rsid w:val="00826DCF"/>
    <w:rsid w:val="008272D4"/>
    <w:rsid w:val="00856C2F"/>
    <w:rsid w:val="00856C5D"/>
    <w:rsid w:val="0086456C"/>
    <w:rsid w:val="00866BF4"/>
    <w:rsid w:val="008744D7"/>
    <w:rsid w:val="00880ED4"/>
    <w:rsid w:val="00882F44"/>
    <w:rsid w:val="0089639D"/>
    <w:rsid w:val="008F652C"/>
    <w:rsid w:val="00916134"/>
    <w:rsid w:val="00917B67"/>
    <w:rsid w:val="0092414E"/>
    <w:rsid w:val="00931507"/>
    <w:rsid w:val="00942741"/>
    <w:rsid w:val="009513FB"/>
    <w:rsid w:val="0096548A"/>
    <w:rsid w:val="00971378"/>
    <w:rsid w:val="0099526B"/>
    <w:rsid w:val="009A1657"/>
    <w:rsid w:val="009B0DFA"/>
    <w:rsid w:val="009B56D8"/>
    <w:rsid w:val="009C2226"/>
    <w:rsid w:val="009C5E81"/>
    <w:rsid w:val="009F2FBC"/>
    <w:rsid w:val="009F3F2C"/>
    <w:rsid w:val="00A04991"/>
    <w:rsid w:val="00A142E8"/>
    <w:rsid w:val="00A365A4"/>
    <w:rsid w:val="00A414EB"/>
    <w:rsid w:val="00A748D6"/>
    <w:rsid w:val="00A9419D"/>
    <w:rsid w:val="00AA427C"/>
    <w:rsid w:val="00AB1689"/>
    <w:rsid w:val="00AB1C00"/>
    <w:rsid w:val="00AC37EE"/>
    <w:rsid w:val="00AC6D0D"/>
    <w:rsid w:val="00AF3B96"/>
    <w:rsid w:val="00B21572"/>
    <w:rsid w:val="00B45BED"/>
    <w:rsid w:val="00B45D81"/>
    <w:rsid w:val="00B47A33"/>
    <w:rsid w:val="00B55C3F"/>
    <w:rsid w:val="00B71583"/>
    <w:rsid w:val="00B81680"/>
    <w:rsid w:val="00BA77CA"/>
    <w:rsid w:val="00BC0DE1"/>
    <w:rsid w:val="00BC3BB7"/>
    <w:rsid w:val="00BE68C2"/>
    <w:rsid w:val="00BF0C52"/>
    <w:rsid w:val="00C03A0B"/>
    <w:rsid w:val="00C06C65"/>
    <w:rsid w:val="00C15DDC"/>
    <w:rsid w:val="00C35DED"/>
    <w:rsid w:val="00C452EF"/>
    <w:rsid w:val="00C47002"/>
    <w:rsid w:val="00C7188B"/>
    <w:rsid w:val="00C9214D"/>
    <w:rsid w:val="00C9636E"/>
    <w:rsid w:val="00C96449"/>
    <w:rsid w:val="00CA09B2"/>
    <w:rsid w:val="00CC5F96"/>
    <w:rsid w:val="00CE0194"/>
    <w:rsid w:val="00D2256B"/>
    <w:rsid w:val="00D24B18"/>
    <w:rsid w:val="00D34055"/>
    <w:rsid w:val="00D53470"/>
    <w:rsid w:val="00D53D30"/>
    <w:rsid w:val="00D55352"/>
    <w:rsid w:val="00D9464C"/>
    <w:rsid w:val="00DA681D"/>
    <w:rsid w:val="00DA7344"/>
    <w:rsid w:val="00DB07F1"/>
    <w:rsid w:val="00DB3CBB"/>
    <w:rsid w:val="00DC5A7B"/>
    <w:rsid w:val="00DC7080"/>
    <w:rsid w:val="00DD030A"/>
    <w:rsid w:val="00DD15A3"/>
    <w:rsid w:val="00DF755A"/>
    <w:rsid w:val="00E01869"/>
    <w:rsid w:val="00E16D76"/>
    <w:rsid w:val="00E3429D"/>
    <w:rsid w:val="00E43337"/>
    <w:rsid w:val="00E43D76"/>
    <w:rsid w:val="00E52162"/>
    <w:rsid w:val="00E60DBD"/>
    <w:rsid w:val="00E626E6"/>
    <w:rsid w:val="00E74501"/>
    <w:rsid w:val="00E8751F"/>
    <w:rsid w:val="00EA295C"/>
    <w:rsid w:val="00EA32AE"/>
    <w:rsid w:val="00EA533F"/>
    <w:rsid w:val="00EB4E9E"/>
    <w:rsid w:val="00EB5AF6"/>
    <w:rsid w:val="00EC3CE0"/>
    <w:rsid w:val="00ED3B53"/>
    <w:rsid w:val="00EE064A"/>
    <w:rsid w:val="00F11D88"/>
    <w:rsid w:val="00F21DB5"/>
    <w:rsid w:val="00F519F2"/>
    <w:rsid w:val="00F83C10"/>
    <w:rsid w:val="00F877B2"/>
    <w:rsid w:val="00FA1091"/>
    <w:rsid w:val="00FA4FC9"/>
    <w:rsid w:val="00FB1771"/>
    <w:rsid w:val="00FD06DD"/>
    <w:rsid w:val="00FD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68AB8-4D5C-4928-AE85-995C11F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003B1F"/>
    <w:rPr>
      <w:color w:val="808080"/>
    </w:rPr>
  </w:style>
  <w:style w:type="character" w:customStyle="1" w:styleId="fontstyle01">
    <w:name w:val="fontstyle01"/>
    <w:basedOn w:val="DefaultParagraphFont"/>
    <w:rsid w:val="00003B1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003B1F"/>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251CAF"/>
    <w:pPr>
      <w:ind w:left="720"/>
      <w:contextualSpacing/>
    </w:pPr>
  </w:style>
  <w:style w:type="paragraph" w:customStyle="1" w:styleId="IEEEStdsParagraph">
    <w:name w:val="IEEEStds Paragraph"/>
    <w:link w:val="IEEEStdsParagraphChar"/>
    <w:rsid w:val="00226FB0"/>
    <w:pPr>
      <w:spacing w:after="240"/>
      <w:jc w:val="both"/>
    </w:pPr>
    <w:rPr>
      <w:lang w:eastAsia="ja-JP"/>
    </w:rPr>
  </w:style>
  <w:style w:type="character" w:customStyle="1" w:styleId="IEEEStdsParagraphChar">
    <w:name w:val="IEEEStds Paragraph Char"/>
    <w:link w:val="IEEEStdsParagraph"/>
    <w:rsid w:val="00226FB0"/>
    <w:rPr>
      <w:lang w:eastAsia="ja-JP"/>
    </w:rPr>
  </w:style>
  <w:style w:type="paragraph" w:customStyle="1" w:styleId="IEEEStdsTableColumnHead">
    <w:name w:val="IEEEStds Table Column Head"/>
    <w:basedOn w:val="IEEEStdsParagraph"/>
    <w:rsid w:val="00226FB0"/>
    <w:pPr>
      <w:keepNext/>
      <w:keepLines/>
      <w:spacing w:after="0"/>
      <w:jc w:val="center"/>
    </w:pPr>
    <w:rPr>
      <w:b/>
      <w:sz w:val="18"/>
    </w:rPr>
  </w:style>
  <w:style w:type="paragraph" w:customStyle="1" w:styleId="IEEEStdsTableData-Left">
    <w:name w:val="IEEEStds Table Data - Left"/>
    <w:basedOn w:val="IEEEStdsParagraph"/>
    <w:rsid w:val="00226FB0"/>
    <w:pPr>
      <w:keepNext/>
      <w:keepLines/>
      <w:spacing w:after="0"/>
      <w:jc w:val="left"/>
    </w:pPr>
    <w:rPr>
      <w:sz w:val="18"/>
    </w:rPr>
  </w:style>
  <w:style w:type="paragraph" w:customStyle="1" w:styleId="IEEEStdsUnorderedList">
    <w:name w:val="IEEEStds Unordered List"/>
    <w:rsid w:val="00226FB0"/>
    <w:pPr>
      <w:numPr>
        <w:numId w:val="2"/>
      </w:numPr>
      <w:tabs>
        <w:tab w:val="left" w:pos="1080"/>
        <w:tab w:val="left" w:pos="1512"/>
        <w:tab w:val="left" w:pos="1958"/>
        <w:tab w:val="left" w:pos="2405"/>
      </w:tabs>
      <w:spacing w:before="60" w:after="60"/>
      <w:jc w:val="both"/>
    </w:pPr>
    <w:rPr>
      <w:noProof/>
      <w:lang w:eastAsia="ja-JP"/>
    </w:rPr>
  </w:style>
  <w:style w:type="paragraph" w:styleId="PlainText">
    <w:name w:val="Plain Text"/>
    <w:basedOn w:val="Normal"/>
    <w:link w:val="PlainTextChar"/>
    <w:uiPriority w:val="99"/>
    <w:unhideWhenUsed/>
    <w:rsid w:val="00644752"/>
    <w:rPr>
      <w:rFonts w:ascii="Calibri" w:eastAsiaTheme="minorHAnsi" w:hAnsi="Calibri"/>
      <w:szCs w:val="22"/>
      <w:lang w:val="en-US"/>
    </w:rPr>
  </w:style>
  <w:style w:type="character" w:customStyle="1" w:styleId="PlainTextChar">
    <w:name w:val="Plain Text Char"/>
    <w:basedOn w:val="DefaultParagraphFont"/>
    <w:link w:val="PlainText"/>
    <w:uiPriority w:val="99"/>
    <w:rsid w:val="00644752"/>
    <w:rPr>
      <w:rFonts w:ascii="Calibri" w:eastAsiaTheme="minorHAnsi" w:hAnsi="Calibri"/>
      <w:sz w:val="22"/>
      <w:szCs w:val="22"/>
    </w:rPr>
  </w:style>
  <w:style w:type="paragraph" w:styleId="BalloonText">
    <w:name w:val="Balloon Text"/>
    <w:basedOn w:val="Normal"/>
    <w:link w:val="BalloonTextChar"/>
    <w:rsid w:val="00826DCF"/>
    <w:rPr>
      <w:rFonts w:ascii="Segoe UI" w:hAnsi="Segoe UI" w:cs="Segoe UI"/>
      <w:sz w:val="18"/>
      <w:szCs w:val="18"/>
    </w:rPr>
  </w:style>
  <w:style w:type="character" w:customStyle="1" w:styleId="BalloonTextChar">
    <w:name w:val="Balloon Text Char"/>
    <w:basedOn w:val="DefaultParagraphFont"/>
    <w:link w:val="BalloonText"/>
    <w:rsid w:val="00826DCF"/>
    <w:rPr>
      <w:rFonts w:ascii="Segoe UI" w:hAnsi="Segoe UI" w:cs="Segoe UI"/>
      <w:sz w:val="18"/>
      <w:szCs w:val="18"/>
      <w:lang w:val="en-GB"/>
    </w:rPr>
  </w:style>
  <w:style w:type="paragraph" w:styleId="NoSpacing">
    <w:name w:val="No Spacing"/>
    <w:uiPriority w:val="1"/>
    <w:qFormat/>
    <w:rsid w:val="0018719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6990">
      <w:bodyDiv w:val="1"/>
      <w:marLeft w:val="0"/>
      <w:marRight w:val="0"/>
      <w:marTop w:val="0"/>
      <w:marBottom w:val="0"/>
      <w:divBdr>
        <w:top w:val="none" w:sz="0" w:space="0" w:color="auto"/>
        <w:left w:val="none" w:sz="0" w:space="0" w:color="auto"/>
        <w:bottom w:val="none" w:sz="0" w:space="0" w:color="auto"/>
        <w:right w:val="none" w:sz="0" w:space="0" w:color="auto"/>
      </w:divBdr>
    </w:div>
    <w:div w:id="1364746489">
      <w:bodyDiv w:val="1"/>
      <w:marLeft w:val="0"/>
      <w:marRight w:val="0"/>
      <w:marTop w:val="0"/>
      <w:marBottom w:val="0"/>
      <w:divBdr>
        <w:top w:val="none" w:sz="0" w:space="0" w:color="auto"/>
        <w:left w:val="none" w:sz="0" w:space="0" w:color="auto"/>
        <w:bottom w:val="none" w:sz="0" w:space="0" w:color="auto"/>
        <w:right w:val="none" w:sz="0" w:space="0" w:color="auto"/>
      </w:divBdr>
    </w:div>
    <w:div w:id="19073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2921-33EB-4475-8954-B043E577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82</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802.11-17/0923r0</dc:title>
  <dc:subject>Submission</dc:subject>
  <dc:creator>Da Silva, Claudio</dc:creator>
  <cp:keywords>July 2017</cp:keywords>
  <dc:description>Claudio da Silva, Intel</dc:description>
  <cp:lastModifiedBy>Da Silva, Claudio</cp:lastModifiedBy>
  <cp:revision>16</cp:revision>
  <cp:lastPrinted>2017-05-15T19:44:00Z</cp:lastPrinted>
  <dcterms:created xsi:type="dcterms:W3CDTF">2017-05-22T20:33:00Z</dcterms:created>
  <dcterms:modified xsi:type="dcterms:W3CDTF">2017-06-21T21:13:00Z</dcterms:modified>
</cp:coreProperties>
</file>