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222"/>
        <w:gridCol w:w="264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67AD" w:rsidP="00BF178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CR</w:t>
            </w:r>
            <w:r w:rsidR="003E61F6">
              <w:rPr>
                <w:lang w:val="en-US" w:eastAsia="zh-CN"/>
              </w:rPr>
              <w:t xml:space="preserve"> for </w:t>
            </w:r>
            <w:r w:rsidR="00BF1787">
              <w:rPr>
                <w:lang w:val="en-US" w:eastAsia="zh-CN"/>
              </w:rPr>
              <w:t xml:space="preserve">HE link adaptation in HT Control Field 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8F51FC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8F51FC">
              <w:rPr>
                <w:b w:val="0"/>
                <w:sz w:val="20"/>
                <w:lang w:eastAsia="zh-CN"/>
              </w:rPr>
              <w:t>5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8F51FC">
              <w:rPr>
                <w:b w:val="0"/>
                <w:sz w:val="20"/>
                <w:lang w:eastAsia="zh-CN"/>
              </w:rPr>
              <w:t>0</w:t>
            </w:r>
            <w:r w:rsidR="00BF1787">
              <w:rPr>
                <w:b w:val="0"/>
                <w:sz w:val="20"/>
                <w:lang w:eastAsia="zh-CN"/>
              </w:rPr>
              <w:t>5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BF1787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22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64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BF1787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22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:rsidR="00AA4D8E" w:rsidRPr="007305B7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Xiaogang.c.chen@intel.com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A567AD" w:rsidRDefault="00A567AD" w:rsidP="00A567AD">
      <w:pPr>
        <w:jc w:val="both"/>
        <w:rPr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</w:t>
      </w:r>
      <w:r>
        <w:rPr>
          <w:lang w:eastAsia="ko-KR"/>
        </w:rPr>
        <w:t>2</w:t>
      </w:r>
      <w:r>
        <w:rPr>
          <w:lang w:eastAsia="ko-KR"/>
        </w:rPr>
        <w:t xml:space="preserve"> with the following CIDs: CID </w:t>
      </w:r>
      <w:r>
        <w:rPr>
          <w:lang w:eastAsia="ko-KR"/>
        </w:rPr>
        <w:t>9619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lastRenderedPageBreak/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666"/>
        <w:gridCol w:w="1359"/>
        <w:gridCol w:w="760"/>
        <w:gridCol w:w="720"/>
        <w:gridCol w:w="2160"/>
        <w:gridCol w:w="2083"/>
        <w:gridCol w:w="2867"/>
      </w:tblGrid>
      <w:tr w:rsidR="00A567AD" w:rsidRPr="00284088" w:rsidTr="003F7F98">
        <w:trPr>
          <w:trHeight w:val="431"/>
        </w:trPr>
        <w:tc>
          <w:tcPr>
            <w:tcW w:w="666" w:type="dxa"/>
          </w:tcPr>
          <w:p w:rsidR="00A567AD" w:rsidRPr="00284088" w:rsidRDefault="00A567AD" w:rsidP="003F7F98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359" w:type="dxa"/>
          </w:tcPr>
          <w:p w:rsidR="00A567AD" w:rsidRPr="00284088" w:rsidRDefault="00A567AD" w:rsidP="003F7F98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760" w:type="dxa"/>
          </w:tcPr>
          <w:p w:rsidR="00A567AD" w:rsidRPr="00284088" w:rsidRDefault="00A567AD" w:rsidP="003F7F98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720" w:type="dxa"/>
          </w:tcPr>
          <w:p w:rsidR="00A567AD" w:rsidRPr="00284088" w:rsidRDefault="00A567AD" w:rsidP="003F7F98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2160" w:type="dxa"/>
          </w:tcPr>
          <w:p w:rsidR="00A567AD" w:rsidRPr="00284088" w:rsidRDefault="00A567AD" w:rsidP="003F7F98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83" w:type="dxa"/>
          </w:tcPr>
          <w:p w:rsidR="00A567AD" w:rsidRPr="00284088" w:rsidRDefault="00A567AD" w:rsidP="003F7F98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867" w:type="dxa"/>
          </w:tcPr>
          <w:p w:rsidR="00A567AD" w:rsidRPr="00284088" w:rsidRDefault="00A567AD" w:rsidP="003F7F9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A567AD" w:rsidRPr="00805C3F" w:rsidTr="003F7F98">
        <w:trPr>
          <w:trHeight w:val="1584"/>
        </w:trPr>
        <w:tc>
          <w:tcPr>
            <w:tcW w:w="666" w:type="dxa"/>
          </w:tcPr>
          <w:p w:rsidR="00A567AD" w:rsidRPr="00805C3F" w:rsidRDefault="00A567AD" w:rsidP="003F7F98">
            <w:r>
              <w:t>9619</w:t>
            </w:r>
          </w:p>
        </w:tc>
        <w:tc>
          <w:tcPr>
            <w:tcW w:w="1359" w:type="dxa"/>
          </w:tcPr>
          <w:p w:rsidR="00A567AD" w:rsidRPr="003D57CD" w:rsidRDefault="00A567AD" w:rsidP="003F7F98">
            <w:pPr>
              <w:rPr>
                <w:rFonts w:ascii="Arial" w:hAnsi="Arial" w:cs="Arial"/>
                <w:sz w:val="16"/>
                <w:lang w:val="en-US" w:eastAsia="zh-CN"/>
              </w:rPr>
            </w:pPr>
            <w:r w:rsidRPr="003D57CD">
              <w:rPr>
                <w:rFonts w:ascii="Arial" w:hAnsi="Arial" w:cs="Arial"/>
                <w:sz w:val="16"/>
              </w:rPr>
              <w:t>Yongho Seok</w:t>
            </w:r>
          </w:p>
          <w:p w:rsidR="00A567AD" w:rsidRPr="00805C3F" w:rsidRDefault="00A567AD" w:rsidP="003F7F98"/>
        </w:tc>
        <w:tc>
          <w:tcPr>
            <w:tcW w:w="760" w:type="dxa"/>
          </w:tcPr>
          <w:p w:rsidR="00A567AD" w:rsidRPr="00805C3F" w:rsidRDefault="00A567AD" w:rsidP="003F7F98">
            <w:r w:rsidRPr="003D57CD">
              <w:t>9.2.4.6.4.4</w:t>
            </w:r>
          </w:p>
        </w:tc>
        <w:tc>
          <w:tcPr>
            <w:tcW w:w="720" w:type="dxa"/>
          </w:tcPr>
          <w:p w:rsidR="00A567AD" w:rsidRPr="00805C3F" w:rsidRDefault="00A567AD" w:rsidP="003F7F98">
            <w:r>
              <w:t>24.20</w:t>
            </w:r>
          </w:p>
        </w:tc>
        <w:tc>
          <w:tcPr>
            <w:tcW w:w="2160" w:type="dxa"/>
          </w:tcPr>
          <w:p w:rsidR="00A567AD" w:rsidRDefault="00A567AD" w:rsidP="003F7F98">
            <w:r>
              <w:t>"</w:t>
            </w:r>
            <w:proofErr w:type="gramStart"/>
            <w:r>
              <w:t>The HE</w:t>
            </w:r>
            <w:proofErr w:type="gramEnd"/>
            <w:r>
              <w:t>-MCS defined in 28.5 varies depending on DCM.</w:t>
            </w:r>
          </w:p>
          <w:p w:rsidR="00A567AD" w:rsidRPr="003D57CD" w:rsidRDefault="00A567AD" w:rsidP="003F7F98">
            <w:pPr>
              <w:rPr>
                <w:lang w:val="en-US"/>
              </w:rPr>
            </w:pPr>
            <w:r>
              <w:t>The HE link adaptation mechanism should also include a recommendation of the DCM."</w:t>
            </w:r>
          </w:p>
        </w:tc>
        <w:tc>
          <w:tcPr>
            <w:tcW w:w="2083" w:type="dxa"/>
          </w:tcPr>
          <w:p w:rsidR="00A567AD" w:rsidRPr="00805C3F" w:rsidRDefault="00A567AD" w:rsidP="003F7F98">
            <w:r w:rsidRPr="003D57CD">
              <w:t>As per comment.</w:t>
            </w:r>
          </w:p>
        </w:tc>
        <w:tc>
          <w:tcPr>
            <w:tcW w:w="2867" w:type="dxa"/>
          </w:tcPr>
          <w:p w:rsidR="00A567AD" w:rsidRDefault="00A567AD" w:rsidP="003F7F98">
            <w:r>
              <w:t xml:space="preserve">Revised – </w:t>
            </w:r>
          </w:p>
          <w:p w:rsidR="00A567AD" w:rsidRDefault="00A567AD" w:rsidP="003F7F98"/>
          <w:p w:rsidR="00A567AD" w:rsidRPr="00A567AD" w:rsidRDefault="00A567AD" w:rsidP="003F7F98">
            <w:pPr>
              <w:rPr>
                <w:sz w:val="20"/>
              </w:rPr>
            </w:pPr>
            <w:r w:rsidRPr="00A567AD">
              <w:rPr>
                <w:sz w:val="20"/>
              </w:rPr>
              <w:t>Add DCM bit in the control info subfield of HLA in HT control field</w:t>
            </w:r>
            <w:r>
              <w:rPr>
                <w:sz w:val="20"/>
              </w:rPr>
              <w:t>.</w:t>
            </w:r>
          </w:p>
          <w:p w:rsidR="00A567AD" w:rsidRPr="00A567AD" w:rsidRDefault="00A567AD" w:rsidP="003F7F98">
            <w:pPr>
              <w:rPr>
                <w:sz w:val="20"/>
              </w:rPr>
            </w:pPr>
          </w:p>
          <w:p w:rsidR="00A567AD" w:rsidRPr="00A567AD" w:rsidRDefault="00A567AD" w:rsidP="003F7F98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A567AD">
              <w:rPr>
                <w:sz w:val="20"/>
              </w:rPr>
              <w:t>TGax</w:t>
            </w:r>
            <w:proofErr w:type="spellEnd"/>
            <w:r w:rsidRPr="00A567AD">
              <w:rPr>
                <w:sz w:val="20"/>
              </w:rPr>
              <w:t xml:space="preserve"> editor to make the changes shown in 11-17/0</w:t>
            </w:r>
            <w:r w:rsidRPr="00A567AD">
              <w:rPr>
                <w:sz w:val="20"/>
              </w:rPr>
              <w:t>736r0</w:t>
            </w:r>
            <w:r w:rsidRPr="00A567AD">
              <w:rPr>
                <w:sz w:val="20"/>
              </w:rPr>
              <w:t xml:space="preserve"> under all headings that include CID </w:t>
            </w:r>
            <w:r w:rsidRPr="00A567AD">
              <w:rPr>
                <w:sz w:val="20"/>
              </w:rPr>
              <w:t>9619</w:t>
            </w:r>
            <w:r w:rsidRPr="00A567AD">
              <w:rPr>
                <w:sz w:val="20"/>
              </w:rPr>
              <w:t>.</w:t>
            </w:r>
          </w:p>
          <w:p w:rsidR="00A567AD" w:rsidRPr="00805C3F" w:rsidRDefault="00A567AD" w:rsidP="003F7F98"/>
        </w:tc>
      </w:tr>
    </w:tbl>
    <w:p w:rsidR="00A567AD" w:rsidRDefault="00A567AD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BF1787" w:rsidRPr="00BF1787">
        <w:rPr>
          <w:b/>
          <w:bCs/>
          <w:color w:val="000000" w:themeColor="text1"/>
          <w:szCs w:val="22"/>
          <w:u w:val="single"/>
        </w:rPr>
        <w:t>9.2.4.6.4.4 HE link adaptation</w:t>
      </w:r>
    </w:p>
    <w:p w:rsidR="0076358E" w:rsidRPr="00B73DCC" w:rsidRDefault="00AA3839" w:rsidP="00BF1787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/>
        </w:rPr>
      </w:pPr>
      <w:r w:rsidRPr="00B73DCC">
        <w:rPr>
          <w:b/>
          <w:sz w:val="22"/>
          <w:szCs w:val="20"/>
          <w:lang w:val="en-GB"/>
        </w:rPr>
        <w:t>Discussion:</w:t>
      </w:r>
      <w:r w:rsidR="00D953EF" w:rsidRPr="00B73DCC">
        <w:rPr>
          <w:sz w:val="22"/>
          <w:szCs w:val="20"/>
          <w:lang w:val="en-GB"/>
        </w:rPr>
        <w:t xml:space="preserve"> </w:t>
      </w:r>
      <w:r w:rsidR="00BF1787" w:rsidRPr="00B73DCC">
        <w:rPr>
          <w:sz w:val="22"/>
          <w:szCs w:val="20"/>
          <w:lang w:val="en-GB"/>
        </w:rPr>
        <w:t xml:space="preserve">The current HE link adaptation doesn’t include the DCM indication. DCM indication would be useful to combat narrow band interference. </w:t>
      </w:r>
      <w:r w:rsidR="00B73DCC">
        <w:rPr>
          <w:sz w:val="22"/>
          <w:szCs w:val="20"/>
          <w:lang w:val="en-GB"/>
        </w:rPr>
        <w:t>Slides</w:t>
      </w:r>
      <w:r w:rsidR="00BF1787" w:rsidRPr="00B73DCC">
        <w:rPr>
          <w:sz w:val="22"/>
          <w:szCs w:val="20"/>
          <w:lang w:val="en-GB"/>
        </w:rPr>
        <w:t xml:space="preserve"> 11-17-0328-06-00ax</w:t>
      </w:r>
      <w:r w:rsidR="00B73DCC">
        <w:rPr>
          <w:sz w:val="22"/>
          <w:szCs w:val="20"/>
          <w:lang w:val="en-GB"/>
        </w:rPr>
        <w:t xml:space="preserve"> includes detailed discussions.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BF1787" w:rsidRDefault="00BF1787" w:rsidP="00BF1787">
      <w:pPr>
        <w:spacing w:after="160" w:line="259" w:lineRule="auto"/>
        <w:rPr>
          <w:rStyle w:val="fontstyle01"/>
        </w:rPr>
      </w:pPr>
      <w:r w:rsidRPr="00C42815">
        <w:rPr>
          <w:i/>
          <w:szCs w:val="22"/>
          <w:highlight w:val="yellow"/>
        </w:rPr>
        <w:t xml:space="preserve">To the </w:t>
      </w:r>
      <w:proofErr w:type="spellStart"/>
      <w:r w:rsidRPr="00C42815">
        <w:rPr>
          <w:i/>
          <w:szCs w:val="22"/>
          <w:highlight w:val="yellow"/>
        </w:rPr>
        <w:t>TGax</w:t>
      </w:r>
      <w:proofErr w:type="spellEnd"/>
      <w:r w:rsidRPr="00C42815">
        <w:rPr>
          <w:i/>
          <w:szCs w:val="22"/>
          <w:highlight w:val="yellow"/>
        </w:rPr>
        <w:t xml:space="preserve"> Editor: </w:t>
      </w:r>
      <w:r w:rsidR="00197693">
        <w:rPr>
          <w:i/>
          <w:szCs w:val="22"/>
          <w:highlight w:val="yellow"/>
        </w:rPr>
        <w:t xml:space="preserve">on page 24 of D1.2, </w:t>
      </w:r>
      <w:r>
        <w:rPr>
          <w:i/>
          <w:szCs w:val="22"/>
          <w:highlight w:val="yellow"/>
        </w:rPr>
        <w:t xml:space="preserve">replace </w:t>
      </w:r>
      <w:r w:rsidRPr="00B73DCC">
        <w:rPr>
          <w:rStyle w:val="fontstyle01"/>
          <w:highlight w:val="yellow"/>
        </w:rPr>
        <w:t>Figure 9-15e—Control Information subfield format when Control ID subfield is 2</w:t>
      </w:r>
      <w:r>
        <w:rPr>
          <w:rStyle w:val="fontstyle01"/>
        </w:rPr>
        <w:t xml:space="preserve"> </w:t>
      </w:r>
      <w:r w:rsidRPr="00B73DCC">
        <w:rPr>
          <w:bCs/>
          <w:i/>
          <w:szCs w:val="22"/>
          <w:highlight w:val="yellow"/>
        </w:rPr>
        <w:t>with the following figure.</w:t>
      </w:r>
    </w:p>
    <w:p w:rsidR="0027794D" w:rsidRDefault="0027794D" w:rsidP="0027794D">
      <w:pPr>
        <w:spacing w:after="160" w:line="259" w:lineRule="auto"/>
        <w:jc w:val="center"/>
      </w:pPr>
      <w:r>
        <w:object w:dxaOrig="9253" w:dyaOrig="1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8pt;height:75pt" o:ole="">
            <v:imagedata r:id="rId8" o:title=""/>
          </v:shape>
          <o:OLEObject Type="Embed" ProgID="Visio.Drawing.15" ShapeID="_x0000_i1025" DrawAspect="Content" ObjectID="_1555529158" r:id="rId9"/>
        </w:object>
      </w:r>
    </w:p>
    <w:p w:rsidR="0027794D" w:rsidRPr="0027794D" w:rsidRDefault="0027794D" w:rsidP="0027794D">
      <w:pPr>
        <w:spacing w:after="160" w:line="259" w:lineRule="auto"/>
        <w:jc w:val="center"/>
        <w:rPr>
          <w:color w:val="FF0000"/>
          <w:szCs w:val="22"/>
        </w:rPr>
      </w:pPr>
      <w:r w:rsidRPr="0027794D">
        <w:rPr>
          <w:rStyle w:val="fontstyle01"/>
          <w:color w:val="FF0000"/>
        </w:rPr>
        <w:t>Figure 9-15e—Control Information subfield format when Control ID subfield is 2</w:t>
      </w:r>
    </w:p>
    <w:p w:rsidR="0027794D" w:rsidRDefault="0027794D" w:rsidP="00BF1787">
      <w:pPr>
        <w:spacing w:after="160" w:line="259" w:lineRule="auto"/>
        <w:rPr>
          <w:i/>
          <w:szCs w:val="22"/>
          <w:highlight w:val="yellow"/>
        </w:rPr>
      </w:pPr>
    </w:p>
    <w:p w:rsidR="00BF1787" w:rsidRDefault="00BF1787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</w:t>
      </w:r>
      <w:r w:rsidR="00B73DCC">
        <w:rPr>
          <w:i/>
          <w:szCs w:val="22"/>
          <w:highlight w:val="yellow"/>
        </w:rPr>
        <w:t xml:space="preserve"> </w:t>
      </w:r>
      <w:r w:rsidRPr="00C42815">
        <w:rPr>
          <w:i/>
          <w:szCs w:val="22"/>
          <w:highlight w:val="yellow"/>
        </w:rPr>
        <w:t xml:space="preserve">modify </w:t>
      </w:r>
      <w:r w:rsidR="00197693">
        <w:rPr>
          <w:i/>
          <w:szCs w:val="22"/>
          <w:highlight w:val="yellow"/>
        </w:rPr>
        <w:t xml:space="preserve">D1.2 </w:t>
      </w:r>
      <w:r w:rsidRPr="00C42815">
        <w:rPr>
          <w:i/>
          <w:szCs w:val="22"/>
          <w:highlight w:val="yellow"/>
        </w:rPr>
        <w:t xml:space="preserve">P.L. </w:t>
      </w:r>
      <w:r>
        <w:rPr>
          <w:i/>
          <w:szCs w:val="22"/>
          <w:highlight w:val="yellow"/>
        </w:rPr>
        <w:t>24</w:t>
      </w:r>
      <w:r w:rsidRPr="00C42815">
        <w:rPr>
          <w:i/>
          <w:szCs w:val="22"/>
          <w:highlight w:val="yellow"/>
        </w:rPr>
        <w:t>.</w:t>
      </w:r>
      <w:r w:rsidR="0027794D">
        <w:rPr>
          <w:i/>
          <w:szCs w:val="22"/>
          <w:highlight w:val="yellow"/>
        </w:rPr>
        <w:t>2</w:t>
      </w:r>
      <w:r>
        <w:rPr>
          <w:i/>
          <w:szCs w:val="22"/>
          <w:highlight w:val="yellow"/>
        </w:rPr>
        <w:t>9~24.3</w:t>
      </w:r>
      <w:r w:rsidR="0027794D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 as following</w:t>
      </w:r>
    </w:p>
    <w:p w:rsidR="0027794D" w:rsidRDefault="0027794D" w:rsidP="00BF1787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27794D">
        <w:rPr>
          <w:rFonts w:ascii="TimesNewRomanPSMT" w:hAnsi="TimesNewRomanPSMT"/>
          <w:color w:val="000000"/>
          <w:sz w:val="20"/>
        </w:rPr>
        <w:t xml:space="preserve">The NSS subfield indicates the recommended number of spatial streams, </w:t>
      </w:r>
      <w:r w:rsidRPr="0027794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7794D">
        <w:rPr>
          <w:rFonts w:ascii="TimesNewRomanPS-ItalicMT" w:hAnsi="TimesNewRomanPS-ItalicMT"/>
          <w:i/>
          <w:iCs/>
          <w:color w:val="000000"/>
          <w:sz w:val="16"/>
          <w:szCs w:val="16"/>
        </w:rPr>
        <w:t>SS</w:t>
      </w:r>
      <w:r w:rsidRPr="0027794D">
        <w:rPr>
          <w:rFonts w:ascii="TimesNewRomanPSMT" w:hAnsi="TimesNewRomanPSMT"/>
          <w:color w:val="000000"/>
          <w:sz w:val="20"/>
        </w:rPr>
        <w:t xml:space="preserve">, and is set to </w:t>
      </w:r>
      <w:r w:rsidRPr="0027794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7794D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SS </w:t>
      </w:r>
      <w:r w:rsidRPr="0027794D">
        <w:rPr>
          <w:rFonts w:ascii="TimesNewRomanPSMT" w:hAnsi="TimesNewRomanPSMT"/>
          <w:color w:val="000000"/>
          <w:sz w:val="20"/>
        </w:rPr>
        <w:t>– 1.</w:t>
      </w:r>
    </w:p>
    <w:p w:rsidR="00BF1787" w:rsidRDefault="0027794D" w:rsidP="00BF1787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27794D">
        <w:rPr>
          <w:rFonts w:ascii="TimesNewRomanPSMT" w:hAnsi="TimesNewRomanPSMT"/>
          <w:color w:val="000000"/>
          <w:sz w:val="20"/>
        </w:rPr>
        <w:t>The HE-MCS subfield indicates the recommended HE-MCS, and is set to the HE-MCS Index value (defined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7794D">
        <w:rPr>
          <w:rFonts w:ascii="TimesNewRomanPSMT" w:hAnsi="TimesNewRomanPSMT"/>
          <w:color w:val="000000"/>
          <w:sz w:val="20"/>
        </w:rPr>
        <w:t>in 28.5 (Parameters for HE-MCSs)).</w:t>
      </w:r>
    </w:p>
    <w:p w:rsidR="0027794D" w:rsidRPr="0027794D" w:rsidRDefault="0027794D" w:rsidP="00BF1787">
      <w:pPr>
        <w:spacing w:after="160" w:line="259" w:lineRule="auto"/>
        <w:rPr>
          <w:i/>
          <w:color w:val="FF0000"/>
          <w:szCs w:val="22"/>
          <w:highlight w:val="yellow"/>
        </w:rPr>
      </w:pPr>
      <w:r w:rsidRPr="0027794D">
        <w:rPr>
          <w:rFonts w:ascii="TimesNewRomanPSMT" w:hAnsi="TimesNewRomanPSMT"/>
          <w:color w:val="FF0000"/>
          <w:sz w:val="20"/>
        </w:rPr>
        <w:t xml:space="preserve">The DCM subfield indicates the recommended usage of DCM, and is set to 1 if DCM is recommended and is set to 0 otherwise. </w:t>
      </w:r>
      <w:bookmarkStart w:id="0" w:name="_GoBack"/>
      <w:bookmarkEnd w:id="0"/>
    </w:p>
    <w:sectPr w:rsidR="0027794D" w:rsidRPr="0027794D" w:rsidSect="00D630E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E6" w:rsidRDefault="00BE69E6">
      <w:r>
        <w:separator/>
      </w:r>
    </w:p>
  </w:endnote>
  <w:endnote w:type="continuationSeparator" w:id="0">
    <w:p w:rsidR="00BE69E6" w:rsidRDefault="00BE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EF" w:rsidRPr="00EF1A28" w:rsidRDefault="00542A7F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D953EF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953EF" w:rsidRPr="00EF1A28">
      <w:rPr>
        <w:lang w:val="fr-FR"/>
      </w:rPr>
      <w:tab/>
      <w:t xml:space="preserve">page </w:t>
    </w:r>
    <w:r w:rsidR="00D953EF">
      <w:fldChar w:fldCharType="begin"/>
    </w:r>
    <w:r w:rsidR="00D953EF" w:rsidRPr="00EF1A28">
      <w:rPr>
        <w:lang w:val="fr-FR"/>
      </w:rPr>
      <w:instrText xml:space="preserve">page </w:instrText>
    </w:r>
    <w:r w:rsidR="00D953EF">
      <w:fldChar w:fldCharType="separate"/>
    </w:r>
    <w:r w:rsidR="00A567AD">
      <w:rPr>
        <w:noProof/>
        <w:lang w:val="fr-FR"/>
      </w:rPr>
      <w:t>1</w:t>
    </w:r>
    <w:r w:rsidR="00D953EF">
      <w:fldChar w:fldCharType="end"/>
    </w:r>
    <w:r w:rsidR="00D953EF">
      <w:rPr>
        <w:lang w:val="fr-FR"/>
      </w:rPr>
      <w:tab/>
    </w:r>
    <w:r w:rsidR="00C02FB7">
      <w:rPr>
        <w:lang w:val="fr-FR" w:eastAsia="zh-CN"/>
      </w:rPr>
      <w:t>Xiaogang Chen (Intel)</w:t>
    </w:r>
  </w:p>
  <w:p w:rsidR="00D953EF" w:rsidRPr="00EF1A28" w:rsidRDefault="00D953E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E6" w:rsidRDefault="00BE69E6">
      <w:r>
        <w:separator/>
      </w:r>
    </w:p>
  </w:footnote>
  <w:footnote w:type="continuationSeparator" w:id="0">
    <w:p w:rsidR="00BE69E6" w:rsidRDefault="00BE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EF" w:rsidRDefault="00C02FB7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May 2017</w:t>
    </w:r>
    <w:r>
      <w:tab/>
    </w:r>
    <w:r>
      <w:tab/>
      <w:t xml:space="preserve"> </w:t>
    </w:r>
    <w:r>
      <w:fldChar w:fldCharType="begin"/>
    </w:r>
    <w:r>
      <w:instrText xml:space="preserve"> TITLE  \* MERGEFORMAT </w:instrText>
    </w:r>
    <w:r>
      <w:fldChar w:fldCharType="end"/>
    </w:r>
    <w:r w:rsidR="00BE69E6">
      <w:fldChar w:fldCharType="begin"/>
    </w:r>
    <w:r w:rsidR="00BE69E6">
      <w:instrText xml:space="preserve"> TITLE  \* MERGEFORMAT </w:instrText>
    </w:r>
    <w:r w:rsidR="00BE69E6">
      <w:fldChar w:fldCharType="separate"/>
    </w:r>
    <w:r>
      <w:t>doc.: IEEE 802.11-17/0736</w:t>
    </w:r>
    <w:r>
      <w:rPr>
        <w:lang w:eastAsia="ko-KR"/>
      </w:rPr>
      <w:t>r</w:t>
    </w:r>
    <w:r w:rsidR="00BE69E6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AA6"/>
    <w:rsid w:val="004A6F5A"/>
    <w:rsid w:val="004B0B7C"/>
    <w:rsid w:val="004B1480"/>
    <w:rsid w:val="004B18D5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39A2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9E6"/>
    <w:rsid w:val="00BE6BC6"/>
    <w:rsid w:val="00BE71AB"/>
    <w:rsid w:val="00BE759C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4AE"/>
    <w:rsid w:val="00DD7A68"/>
    <w:rsid w:val="00DE003D"/>
    <w:rsid w:val="00DE0293"/>
    <w:rsid w:val="00DE044E"/>
    <w:rsid w:val="00DE141C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C33E2AF-3341-4F1C-BE62-5B76ECB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2470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8</cp:revision>
  <cp:lastPrinted>2013-12-02T17:26:00Z</cp:lastPrinted>
  <dcterms:created xsi:type="dcterms:W3CDTF">2017-05-06T00:55:00Z</dcterms:created>
  <dcterms:modified xsi:type="dcterms:W3CDTF">2017-05-06T05:36:00Z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