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52E3401" w:rsidR="00C723BC" w:rsidRPr="00183F4C" w:rsidRDefault="00473F40" w:rsidP="00C16B3B">
            <w:pPr>
              <w:pStyle w:val="T2"/>
            </w:pPr>
            <w:r>
              <w:rPr>
                <w:lang w:eastAsia="ko-KR"/>
              </w:rPr>
              <w:t>11ax D1.</w:t>
            </w:r>
            <w:r w:rsidR="00722AA8">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C16B3B">
              <w:rPr>
                <w:lang w:eastAsia="ko-KR"/>
              </w:rPr>
              <w:t>CID 8555</w:t>
            </w:r>
          </w:p>
        </w:tc>
      </w:tr>
      <w:tr w:rsidR="00C723BC" w:rsidRPr="00183F4C" w14:paraId="609B60F1" w14:textId="77777777" w:rsidTr="00B034CE">
        <w:trPr>
          <w:trHeight w:val="359"/>
          <w:jc w:val="center"/>
        </w:trPr>
        <w:tc>
          <w:tcPr>
            <w:tcW w:w="9576" w:type="dxa"/>
            <w:gridSpan w:val="5"/>
            <w:vAlign w:val="center"/>
          </w:tcPr>
          <w:p w14:paraId="14FD9DCC" w14:textId="2305F688"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E05090">
              <w:rPr>
                <w:b w:val="0"/>
                <w:sz w:val="20"/>
                <w:lang w:eastAsia="ko-KR"/>
              </w:rPr>
              <w:t>05</w:t>
            </w:r>
            <w:r>
              <w:rPr>
                <w:rFonts w:hint="eastAsia"/>
                <w:b w:val="0"/>
                <w:sz w:val="20"/>
                <w:lang w:eastAsia="ko-KR"/>
              </w:rPr>
              <w:t>-</w:t>
            </w:r>
            <w:r w:rsidR="00E05090">
              <w:rPr>
                <w:b w:val="0"/>
                <w:sz w:val="20"/>
                <w:lang w:eastAsia="ko-KR"/>
              </w:rPr>
              <w:t>xx</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3D7507AA"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722AA8">
                              <w:rPr>
                                <w:lang w:eastAsia="ko-KR"/>
                              </w:rPr>
                              <w:t>1.2</w:t>
                            </w:r>
                            <w:r>
                              <w:rPr>
                                <w:lang w:eastAsia="ko-KR"/>
                              </w:rPr>
                              <w:t xml:space="preserve"> with the following CIDs:</w:t>
                            </w:r>
                          </w:p>
                          <w:p w14:paraId="04EE2D61" w14:textId="77777777" w:rsidR="00E56160" w:rsidRDefault="00E56160" w:rsidP="006A40FB">
                            <w:pPr>
                              <w:jc w:val="both"/>
                            </w:pPr>
                          </w:p>
                          <w:p w14:paraId="62E2C2BF" w14:textId="2848DB47" w:rsidR="00E56160" w:rsidRDefault="00722AA8" w:rsidP="006A40FB">
                            <w:pPr>
                              <w:jc w:val="both"/>
                            </w:pPr>
                            <w:r>
                              <w:t>8555</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D9A93B1" w14:textId="0E20D741" w:rsidR="00C16F30" w:rsidRDefault="00C16F30" w:rsidP="006A40FB">
                            <w:pPr>
                              <w:pStyle w:val="ListParagraph"/>
                              <w:numPr>
                                <w:ilvl w:val="0"/>
                                <w:numId w:val="30"/>
                              </w:numPr>
                              <w:ind w:leftChars="0"/>
                              <w:jc w:val="both"/>
                            </w:pPr>
                            <w:r>
                              <w:t>Rev 1: Further revision of the resolution.</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3D7507AA"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722AA8">
                        <w:rPr>
                          <w:lang w:eastAsia="ko-KR"/>
                        </w:rPr>
                        <w:t>1.2</w:t>
                      </w:r>
                      <w:r>
                        <w:rPr>
                          <w:lang w:eastAsia="ko-KR"/>
                        </w:rPr>
                        <w:t xml:space="preserve"> with the following CIDs:</w:t>
                      </w:r>
                    </w:p>
                    <w:p w14:paraId="04EE2D61" w14:textId="77777777" w:rsidR="00E56160" w:rsidRDefault="00E56160" w:rsidP="006A40FB">
                      <w:pPr>
                        <w:jc w:val="both"/>
                      </w:pPr>
                    </w:p>
                    <w:p w14:paraId="62E2C2BF" w14:textId="2848DB47" w:rsidR="00E56160" w:rsidRDefault="00722AA8" w:rsidP="006A40FB">
                      <w:pPr>
                        <w:jc w:val="both"/>
                      </w:pPr>
                      <w:r>
                        <w:t>8555</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D9A93B1" w14:textId="0E20D741" w:rsidR="00C16F30" w:rsidRDefault="00C16F30" w:rsidP="006A40FB">
                      <w:pPr>
                        <w:pStyle w:val="ListParagraph"/>
                        <w:numPr>
                          <w:ilvl w:val="0"/>
                          <w:numId w:val="30"/>
                        </w:numPr>
                        <w:ind w:leftChars="0"/>
                        <w:jc w:val="both"/>
                      </w:pPr>
                      <w:r>
                        <w:t>Rev 1: Further revision of the resolution.</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8E044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E9CFB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7043EB">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6B3B" w:rsidRPr="00F74EB9" w14:paraId="0F809C4B" w14:textId="77777777" w:rsidTr="00F775E8">
        <w:trPr>
          <w:trHeight w:val="1002"/>
        </w:trPr>
        <w:tc>
          <w:tcPr>
            <w:tcW w:w="541" w:type="dxa"/>
          </w:tcPr>
          <w:p w14:paraId="64EA0C2D" w14:textId="7C31BBC0" w:rsidR="00C16B3B" w:rsidRPr="001A67D9" w:rsidRDefault="00C16B3B" w:rsidP="00C16B3B">
            <w:pPr>
              <w:rPr>
                <w:rFonts w:ascii="Calibri" w:hAnsi="Calibri" w:cs="Arial"/>
                <w:sz w:val="16"/>
                <w:szCs w:val="16"/>
              </w:rPr>
            </w:pPr>
            <w:r>
              <w:rPr>
                <w:rFonts w:ascii="Calibri" w:hAnsi="Calibri" w:cs="Arial"/>
                <w:sz w:val="16"/>
                <w:szCs w:val="16"/>
              </w:rPr>
              <w:t>8555</w:t>
            </w:r>
          </w:p>
        </w:tc>
        <w:tc>
          <w:tcPr>
            <w:tcW w:w="1080" w:type="dxa"/>
          </w:tcPr>
          <w:p w14:paraId="01E20546" w14:textId="43290282" w:rsidR="00C16B3B" w:rsidRPr="001A67D9" w:rsidRDefault="00C16B3B" w:rsidP="00C16B3B">
            <w:pPr>
              <w:rPr>
                <w:rFonts w:ascii="Calibri" w:hAnsi="Calibri" w:cs="Arial"/>
                <w:sz w:val="16"/>
                <w:szCs w:val="16"/>
              </w:rPr>
            </w:pPr>
            <w:proofErr w:type="spellStart"/>
            <w:r w:rsidRPr="00C16B3B">
              <w:rPr>
                <w:rFonts w:ascii="Calibri" w:hAnsi="Calibri" w:cs="Arial"/>
                <w:sz w:val="16"/>
                <w:szCs w:val="16"/>
              </w:rPr>
              <w:t>Rojan</w:t>
            </w:r>
            <w:proofErr w:type="spellEnd"/>
            <w:r w:rsidRPr="00C16B3B">
              <w:rPr>
                <w:rFonts w:ascii="Calibri" w:hAnsi="Calibri" w:cs="Arial"/>
                <w:sz w:val="16"/>
                <w:szCs w:val="16"/>
              </w:rPr>
              <w:t xml:space="preserve"> </w:t>
            </w:r>
            <w:proofErr w:type="spellStart"/>
            <w:r w:rsidRPr="00C16B3B">
              <w:rPr>
                <w:rFonts w:ascii="Calibri" w:hAnsi="Calibri" w:cs="Arial"/>
                <w:sz w:val="16"/>
                <w:szCs w:val="16"/>
              </w:rPr>
              <w:t>Chitrakar</w:t>
            </w:r>
            <w:proofErr w:type="spellEnd"/>
          </w:p>
        </w:tc>
        <w:tc>
          <w:tcPr>
            <w:tcW w:w="720" w:type="dxa"/>
          </w:tcPr>
          <w:p w14:paraId="56F1099F" w14:textId="477B5F23" w:rsidR="00C16B3B" w:rsidRPr="001A67D9" w:rsidRDefault="00C16B3B" w:rsidP="00C16B3B">
            <w:pPr>
              <w:rPr>
                <w:rFonts w:ascii="Calibri" w:hAnsi="Calibri" w:cs="Arial"/>
                <w:sz w:val="16"/>
                <w:szCs w:val="16"/>
              </w:rPr>
            </w:pPr>
            <w:r>
              <w:rPr>
                <w:rFonts w:ascii="Calibri" w:hAnsi="Calibri" w:cs="Arial"/>
                <w:sz w:val="16"/>
                <w:szCs w:val="16"/>
              </w:rPr>
              <w:t>170.36</w:t>
            </w:r>
          </w:p>
        </w:tc>
        <w:tc>
          <w:tcPr>
            <w:tcW w:w="900" w:type="dxa"/>
          </w:tcPr>
          <w:p w14:paraId="780B05A2" w14:textId="3779EF3B" w:rsidR="00C16B3B" w:rsidRPr="001A67D9" w:rsidRDefault="00C16B3B" w:rsidP="00C16B3B">
            <w:pPr>
              <w:rPr>
                <w:rFonts w:ascii="Calibri" w:hAnsi="Calibri" w:cs="Arial"/>
                <w:sz w:val="16"/>
                <w:szCs w:val="16"/>
              </w:rPr>
            </w:pPr>
            <w:r w:rsidRPr="001A67D9">
              <w:rPr>
                <w:rFonts w:ascii="Calibri" w:hAnsi="Calibri" w:cs="Arial"/>
                <w:sz w:val="16"/>
                <w:szCs w:val="16"/>
              </w:rPr>
              <w:t>27.5.2.4</w:t>
            </w:r>
          </w:p>
        </w:tc>
        <w:tc>
          <w:tcPr>
            <w:tcW w:w="2875" w:type="dxa"/>
          </w:tcPr>
          <w:p w14:paraId="59E405C5" w14:textId="32F5E68E" w:rsidR="00C16B3B" w:rsidRPr="001A67D9" w:rsidRDefault="00C16B3B" w:rsidP="00C16B3B">
            <w:pPr>
              <w:rPr>
                <w:rFonts w:ascii="Calibri" w:hAnsi="Calibri" w:cs="Arial"/>
                <w:sz w:val="16"/>
                <w:szCs w:val="16"/>
              </w:rPr>
            </w:pPr>
            <w:r w:rsidRPr="00C16B3B">
              <w:rPr>
                <w:rFonts w:ascii="Calibri" w:hAnsi="Calibri" w:cs="Arial"/>
                <w:sz w:val="16"/>
                <w:szCs w:val="16"/>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As such, it will be beneficial to record, in addition to the duration of the Inter-BSS NAV, the busy/idle state of the 20 MHz channels other than the primary 20 </w:t>
            </w:r>
            <w:proofErr w:type="spellStart"/>
            <w:r w:rsidRPr="00C16B3B">
              <w:rPr>
                <w:rFonts w:ascii="Calibri" w:hAnsi="Calibri" w:cs="Arial"/>
                <w:sz w:val="16"/>
                <w:szCs w:val="16"/>
              </w:rPr>
              <w:t>MHz.</w:t>
            </w:r>
            <w:proofErr w:type="spellEnd"/>
            <w:r w:rsidRPr="00C16B3B">
              <w:rPr>
                <w:rFonts w:ascii="Calibri" w:hAnsi="Calibri" w:cs="Arial"/>
                <w:sz w:val="16"/>
                <w:szCs w:val="16"/>
              </w:rPr>
              <w:t xml:space="preserve">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1613" w:type="dxa"/>
          </w:tcPr>
          <w:p w14:paraId="1BBE4264" w14:textId="2F76B834" w:rsidR="00C16B3B" w:rsidRPr="001A67D9" w:rsidRDefault="00C16B3B" w:rsidP="00C16B3B">
            <w:pPr>
              <w:rPr>
                <w:rFonts w:ascii="Calibri" w:hAnsi="Calibri" w:cs="Arial"/>
                <w:sz w:val="16"/>
                <w:szCs w:val="16"/>
              </w:rPr>
            </w:pPr>
            <w:r w:rsidRPr="00C16B3B">
              <w:rPr>
                <w:rFonts w:ascii="Calibri" w:hAnsi="Calibri" w:cs="Arial"/>
                <w:sz w:val="16"/>
                <w:szCs w:val="16"/>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3219" w:type="dxa"/>
          </w:tcPr>
          <w:p w14:paraId="593AD3E0" w14:textId="4A2949E0" w:rsidR="00C16B3B" w:rsidRDefault="00C16B3B" w:rsidP="00C16B3B">
            <w:pPr>
              <w:rPr>
                <w:rFonts w:ascii="Calibri" w:hAnsi="Calibri" w:cs="Arial"/>
                <w:sz w:val="16"/>
                <w:szCs w:val="16"/>
              </w:rPr>
            </w:pPr>
            <w:r>
              <w:rPr>
                <w:rFonts w:ascii="Calibri" w:hAnsi="Calibri" w:cs="Arial" w:hint="eastAsia"/>
                <w:sz w:val="16"/>
                <w:szCs w:val="16"/>
              </w:rPr>
              <w:t>Re</w:t>
            </w:r>
            <w:r>
              <w:rPr>
                <w:rFonts w:ascii="Calibri" w:hAnsi="Calibri" w:cs="Arial"/>
                <w:sz w:val="16"/>
                <w:szCs w:val="16"/>
              </w:rPr>
              <w:t>jecte</w:t>
            </w:r>
            <w:r>
              <w:rPr>
                <w:rFonts w:ascii="Calibri" w:hAnsi="Calibri" w:cs="Arial" w:hint="eastAsia"/>
                <w:sz w:val="16"/>
                <w:szCs w:val="16"/>
              </w:rPr>
              <w:t>d -</w:t>
            </w:r>
          </w:p>
          <w:p w14:paraId="40DF1B5B" w14:textId="77777777" w:rsidR="00C16B3B" w:rsidRDefault="00C16B3B" w:rsidP="00C16B3B">
            <w:pPr>
              <w:autoSpaceDE w:val="0"/>
              <w:autoSpaceDN w:val="0"/>
              <w:adjustRightInd w:val="0"/>
              <w:rPr>
                <w:rFonts w:ascii="Calibri" w:hAnsi="Calibri" w:cs="Arial"/>
                <w:sz w:val="16"/>
                <w:szCs w:val="16"/>
              </w:rPr>
            </w:pPr>
          </w:p>
          <w:p w14:paraId="71525D5B" w14:textId="12C2FE18" w:rsidR="00C16F30" w:rsidRDefault="00C16B3B" w:rsidP="00C16B3B">
            <w:pPr>
              <w:autoSpaceDE w:val="0"/>
              <w:autoSpaceDN w:val="0"/>
              <w:adjustRightInd w:val="0"/>
              <w:rPr>
                <w:rFonts w:ascii="Calibri" w:hAnsi="Calibri" w:cs="Arial"/>
                <w:sz w:val="16"/>
                <w:szCs w:val="16"/>
              </w:rPr>
            </w:pPr>
            <w:r>
              <w:rPr>
                <w:rFonts w:ascii="Calibri" w:hAnsi="Calibri" w:cs="Arial"/>
                <w:sz w:val="16"/>
                <w:szCs w:val="16"/>
              </w:rPr>
              <w:t xml:space="preserve">The commenter proposes to record busy/idle status of each 20 MHz channel for each recorded NAV. However, we note that most of the legacy packets with non-HT PHY format does not have bandwidth information associated with the PPDU. </w:t>
            </w:r>
            <w:r w:rsidR="00106A7F">
              <w:rPr>
                <w:rFonts w:ascii="Calibri" w:hAnsi="Calibri" w:cs="Arial"/>
                <w:sz w:val="16"/>
                <w:szCs w:val="16"/>
              </w:rPr>
              <w:t>C</w:t>
            </w:r>
            <w:r w:rsidR="00323827">
              <w:rPr>
                <w:rFonts w:ascii="Calibri" w:hAnsi="Calibri" w:cs="Arial"/>
                <w:sz w:val="16"/>
                <w:szCs w:val="16"/>
              </w:rPr>
              <w:t>ommon example</w:t>
            </w:r>
            <w:r w:rsidR="00106A7F">
              <w:rPr>
                <w:rFonts w:ascii="Calibri" w:hAnsi="Calibri" w:cs="Arial"/>
                <w:sz w:val="16"/>
                <w:szCs w:val="16"/>
              </w:rPr>
              <w:t>s include</w:t>
            </w:r>
            <w:r w:rsidR="00323827">
              <w:rPr>
                <w:rFonts w:ascii="Calibri" w:hAnsi="Calibri" w:cs="Arial"/>
                <w:sz w:val="16"/>
                <w:szCs w:val="16"/>
              </w:rPr>
              <w:t xml:space="preserve"> the CTS frame </w:t>
            </w:r>
            <w:r w:rsidR="00106A7F">
              <w:rPr>
                <w:rFonts w:ascii="Calibri" w:hAnsi="Calibri" w:cs="Arial"/>
                <w:sz w:val="16"/>
                <w:szCs w:val="16"/>
              </w:rPr>
              <w:t xml:space="preserve">and ACK/BA frame </w:t>
            </w:r>
            <w:r w:rsidR="00323827">
              <w:rPr>
                <w:rFonts w:ascii="Calibri" w:hAnsi="Calibri" w:cs="Arial"/>
                <w:sz w:val="16"/>
                <w:szCs w:val="16"/>
              </w:rPr>
              <w:t xml:space="preserve">carried in non-HT PPDU. </w:t>
            </w:r>
            <w:r>
              <w:rPr>
                <w:rFonts w:ascii="Calibri" w:hAnsi="Calibri" w:cs="Arial"/>
                <w:sz w:val="16"/>
                <w:szCs w:val="16"/>
              </w:rPr>
              <w:t xml:space="preserve">In this case, we think that the spec design will be that a STA needs to </w:t>
            </w:r>
            <w:r w:rsidR="00E05090">
              <w:rPr>
                <w:rFonts w:ascii="Calibri" w:hAnsi="Calibri" w:cs="Arial"/>
                <w:sz w:val="16"/>
                <w:szCs w:val="16"/>
              </w:rPr>
              <w:t>have virtual CS indicates medium busy for all 20 MHz, which is then the same as the current operation for virtual CS. As a result, the proposal will not have significant impact on performance gains when non-HT packets are used or in an environment where there are legacy devices.</w:t>
            </w:r>
            <w:r w:rsidR="00C16F30">
              <w:rPr>
                <w:rFonts w:ascii="Calibri" w:hAnsi="Calibri" w:cs="Arial"/>
                <w:sz w:val="16"/>
                <w:szCs w:val="16"/>
              </w:rPr>
              <w:t xml:space="preserve"> </w:t>
            </w:r>
          </w:p>
          <w:p w14:paraId="5607180A" w14:textId="77777777" w:rsidR="00E05090" w:rsidRDefault="00E05090" w:rsidP="00C16B3B">
            <w:pPr>
              <w:autoSpaceDE w:val="0"/>
              <w:autoSpaceDN w:val="0"/>
              <w:adjustRightInd w:val="0"/>
              <w:rPr>
                <w:rFonts w:ascii="Calibri" w:hAnsi="Calibri" w:cs="Arial"/>
                <w:sz w:val="16"/>
                <w:szCs w:val="16"/>
              </w:rPr>
            </w:pPr>
          </w:p>
          <w:p w14:paraId="1CEE85F3" w14:textId="7A2D315F" w:rsidR="00C16F30" w:rsidRDefault="00C16F30" w:rsidP="00C16B3B">
            <w:pPr>
              <w:autoSpaceDE w:val="0"/>
              <w:autoSpaceDN w:val="0"/>
              <w:adjustRightInd w:val="0"/>
              <w:rPr>
                <w:rFonts w:ascii="Calibri" w:hAnsi="Calibri" w:cs="Arial"/>
                <w:sz w:val="16"/>
                <w:szCs w:val="16"/>
              </w:rPr>
            </w:pPr>
            <w:r>
              <w:rPr>
                <w:rFonts w:ascii="Calibri" w:hAnsi="Calibri" w:cs="Arial"/>
                <w:sz w:val="16"/>
                <w:szCs w:val="16"/>
              </w:rPr>
              <w:t xml:space="preserve">Another way to address the above issue is to have additional rule for matching responding PPDU with the soliciting PPDU. However, we think these kinds of operations should be implementation specific rather than being spelled out as </w:t>
            </w:r>
            <w:proofErr w:type="spellStart"/>
            <w:r>
              <w:rPr>
                <w:rFonts w:ascii="Calibri" w:hAnsi="Calibri" w:cs="Arial"/>
                <w:sz w:val="16"/>
                <w:szCs w:val="16"/>
              </w:rPr>
              <w:t>varioius</w:t>
            </w:r>
            <w:proofErr w:type="spellEnd"/>
            <w:r>
              <w:rPr>
                <w:rFonts w:ascii="Calibri" w:hAnsi="Calibri" w:cs="Arial"/>
                <w:sz w:val="16"/>
                <w:szCs w:val="16"/>
              </w:rPr>
              <w:t xml:space="preserve"> options for matching the responding frame with the soliciting PPDU.</w:t>
            </w:r>
          </w:p>
          <w:p w14:paraId="05956AA3" w14:textId="77777777" w:rsidR="00C16F30" w:rsidRDefault="00C16F30" w:rsidP="00C16B3B">
            <w:pPr>
              <w:autoSpaceDE w:val="0"/>
              <w:autoSpaceDN w:val="0"/>
              <w:adjustRightInd w:val="0"/>
              <w:rPr>
                <w:rFonts w:ascii="Calibri" w:hAnsi="Calibri" w:cs="Arial"/>
                <w:sz w:val="16"/>
                <w:szCs w:val="16"/>
              </w:rPr>
            </w:pPr>
          </w:p>
          <w:p w14:paraId="69320CAD" w14:textId="4F33D975"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Recording busy/idle status of each 20 MHz channels for a NAV recording also requires STA to record separate NAV counter for each 20 MHz channel to optimize the performance or record the end time of previous NAV setting and associated bandwidth that is replaced by a longer NAV value.  Note that in a 160 MHz operation scenario, the complexity may then increase by 8 times for additional optimization. The gain is not justified</w:t>
            </w:r>
            <w:r w:rsidR="00C16F30">
              <w:rPr>
                <w:rFonts w:ascii="Calibri" w:hAnsi="Calibri" w:cs="Arial"/>
                <w:sz w:val="16"/>
                <w:szCs w:val="16"/>
              </w:rPr>
              <w:t xml:space="preserve"> for this additional complexity, and the implementation of multiple NAVs for each 20 MHz channel should be implementation specific as well.</w:t>
            </w:r>
          </w:p>
          <w:p w14:paraId="6163B0DE" w14:textId="77777777" w:rsidR="00E05090" w:rsidRDefault="00E05090" w:rsidP="00C16B3B">
            <w:pPr>
              <w:autoSpaceDE w:val="0"/>
              <w:autoSpaceDN w:val="0"/>
              <w:adjustRightInd w:val="0"/>
              <w:rPr>
                <w:rFonts w:ascii="Calibri" w:hAnsi="Calibri" w:cs="Arial"/>
                <w:sz w:val="16"/>
                <w:szCs w:val="16"/>
              </w:rPr>
            </w:pPr>
          </w:p>
          <w:p w14:paraId="34139CE0" w14:textId="6F7610C5"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Due to these reasons, we reject this comment.</w:t>
            </w:r>
          </w:p>
          <w:p w14:paraId="23D5C7E2" w14:textId="77777777" w:rsidR="00E05090" w:rsidRDefault="00E05090" w:rsidP="00C16B3B">
            <w:pPr>
              <w:autoSpaceDE w:val="0"/>
              <w:autoSpaceDN w:val="0"/>
              <w:adjustRightInd w:val="0"/>
              <w:rPr>
                <w:rFonts w:ascii="Calibri" w:hAnsi="Calibri" w:cs="Arial"/>
                <w:sz w:val="16"/>
                <w:szCs w:val="16"/>
              </w:rPr>
            </w:pPr>
          </w:p>
          <w:p w14:paraId="6D05B86A" w14:textId="7EA32AD6" w:rsidR="00E05090" w:rsidRPr="00C16B3B" w:rsidRDefault="00E05090" w:rsidP="00C16B3B">
            <w:pPr>
              <w:autoSpaceDE w:val="0"/>
              <w:autoSpaceDN w:val="0"/>
              <w:adjustRightInd w:val="0"/>
              <w:rPr>
                <w:rFonts w:ascii="Calibri" w:hAnsi="Calibri" w:cs="Arial"/>
                <w:sz w:val="16"/>
                <w:szCs w:val="16"/>
              </w:rPr>
            </w:pPr>
          </w:p>
        </w:tc>
      </w:tr>
    </w:tbl>
    <w:p w14:paraId="23DC161F" w14:textId="4885121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406D09E4" w14:textId="5DAE7E83" w:rsidR="00773360" w:rsidRDefault="00773360" w:rsidP="00773360">
      <w:pPr>
        <w:rPr>
          <w:u w:val="single"/>
          <w:lang w:eastAsia="ko-KR"/>
        </w:rPr>
      </w:pPr>
      <w:r>
        <w:rPr>
          <w:b/>
          <w:u w:val="single"/>
        </w:rPr>
        <w:t>Propose</w:t>
      </w:r>
      <w:r w:rsidR="00C16B3B">
        <w:rPr>
          <w:b/>
          <w:u w:val="single"/>
          <w:lang w:eastAsia="ko-KR"/>
        </w:rPr>
        <w:t xml:space="preserve">: </w:t>
      </w:r>
      <w:r w:rsidR="00C16B3B" w:rsidRPr="00C16B3B">
        <w:rPr>
          <w:i/>
          <w:u w:val="single"/>
          <w:lang w:eastAsia="ko-KR"/>
        </w:rPr>
        <w:t>None</w:t>
      </w:r>
      <w:r w:rsidR="00C16B3B">
        <w:rPr>
          <w:i/>
          <w:u w:val="single"/>
          <w:lang w:eastAsia="ko-KR"/>
        </w:rPr>
        <w:t>.</w:t>
      </w:r>
    </w:p>
    <w:p w14:paraId="1502B546" w14:textId="788DC5EE" w:rsidR="009D6A1F" w:rsidRPr="00BD0BB1" w:rsidRDefault="009D6A1F" w:rsidP="00C47480">
      <w:pPr>
        <w:rPr>
          <w:rFonts w:ascii="TimesNewRomanPSMT" w:hAnsi="TimesNewRomanPSMT"/>
          <w:strike/>
          <w:color w:val="000000"/>
          <w:sz w:val="20"/>
        </w:rPr>
      </w:pPr>
    </w:p>
    <w:sectPr w:rsidR="009D6A1F"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B546" w14:textId="77777777" w:rsidR="00EE7898" w:rsidRDefault="00EE7898">
      <w:r>
        <w:separator/>
      </w:r>
    </w:p>
  </w:endnote>
  <w:endnote w:type="continuationSeparator" w:id="0">
    <w:p w14:paraId="3051DE8F" w14:textId="77777777" w:rsidR="00EE7898" w:rsidRDefault="00EE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EE7898">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EF5DC4">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5BF2D" w14:textId="77777777" w:rsidR="00EE7898" w:rsidRDefault="00EE7898">
      <w:r>
        <w:separator/>
      </w:r>
    </w:p>
  </w:footnote>
  <w:footnote w:type="continuationSeparator" w:id="0">
    <w:p w14:paraId="23D2A408" w14:textId="77777777" w:rsidR="00EE7898" w:rsidRDefault="00EE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8ED0DB4" w:rsidR="00E56160" w:rsidRDefault="00722AA8">
    <w:pPr>
      <w:pStyle w:val="Header"/>
      <w:tabs>
        <w:tab w:val="clear" w:pos="6480"/>
        <w:tab w:val="center" w:pos="4680"/>
        <w:tab w:val="right" w:pos="9360"/>
      </w:tabs>
      <w:rPr>
        <w:lang w:eastAsia="ko-KR"/>
      </w:rPr>
    </w:pPr>
    <w:r>
      <w:rPr>
        <w:lang w:eastAsia="ko-KR"/>
      </w:rPr>
      <w:t>May</w:t>
    </w:r>
    <w:r w:rsidR="00E56160">
      <w:rPr>
        <w:lang w:eastAsia="ko-KR"/>
      </w:rPr>
      <w:t xml:space="preserve"> </w:t>
    </w:r>
    <w:r w:rsidR="00E56160">
      <w:t>201</w:t>
    </w:r>
    <w:r w:rsidR="00E56160">
      <w:rPr>
        <w:lang w:eastAsia="ko-KR"/>
      </w:rPr>
      <w:t>7</w:t>
    </w:r>
    <w:r w:rsidR="00E56160">
      <w:tab/>
    </w:r>
    <w:r w:rsidR="00E56160">
      <w:tab/>
    </w:r>
    <w:r w:rsidR="00EE7898">
      <w:fldChar w:fldCharType="begin"/>
    </w:r>
    <w:r w:rsidR="00EE7898">
      <w:instrText xml:space="preserve"> TITLE  \* MERGEFORMAT </w:instrText>
    </w:r>
    <w:r w:rsidR="00EE7898">
      <w:fldChar w:fldCharType="separate"/>
    </w:r>
    <w:r w:rsidR="00E56160">
      <w:t xml:space="preserve">doc.: IEEE </w:t>
    </w:r>
    <w:r w:rsidR="007043EB">
      <w:t>802.11-17/0707</w:t>
    </w:r>
    <w:r w:rsidR="00E56160">
      <w:t>r</w:t>
    </w:r>
    <w:r w:rsidR="00EE7898">
      <w:fldChar w:fldCharType="end"/>
    </w:r>
    <w:r w:rsidR="00EF5DC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1BFB-5D3F-4FD2-9135-540D4FBE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695</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4650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14</cp:revision>
  <cp:lastPrinted>2010-05-04T03:47:00Z</cp:lastPrinted>
  <dcterms:created xsi:type="dcterms:W3CDTF">2017-03-10T15:55:00Z</dcterms:created>
  <dcterms:modified xsi:type="dcterms:W3CDTF">2017-05-08T05:45:00Z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