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414100" w:rsidRDefault="00CA09B2">
      <w:pPr>
        <w:pStyle w:val="T1"/>
        <w:pBdr>
          <w:bottom w:val="single" w:sz="6" w:space="0" w:color="auto"/>
        </w:pBdr>
        <w:spacing w:after="240"/>
      </w:pPr>
      <w:r w:rsidRPr="00414100">
        <w:t>IEEE P802.11</w:t>
      </w:r>
      <w:bookmarkStart w:id="0" w:name="_GoBack"/>
      <w:bookmarkEnd w:id="0"/>
      <w:r w:rsidRPr="00414100">
        <w:br/>
        <w:t>Wirel</w:t>
      </w:r>
      <w:r w:rsidR="006224C2">
        <w:t>ess</w:t>
      </w:r>
      <w:r w:rsidRPr="00414100">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50ED50FC" w:rsidR="00B6527E" w:rsidRDefault="00B6527E" w:rsidP="00581C39">
            <w:pPr>
              <w:pStyle w:val="T2"/>
            </w:pPr>
            <w:r>
              <w:t xml:space="preserve">Proposed Text Changes for </w:t>
            </w:r>
            <w:r w:rsidR="00581C39">
              <w:t>BSR</w:t>
            </w:r>
          </w:p>
        </w:tc>
      </w:tr>
      <w:tr w:rsidR="00B6527E" w14:paraId="25960C30" w14:textId="77777777" w:rsidTr="007E52CB">
        <w:trPr>
          <w:trHeight w:val="359"/>
          <w:jc w:val="center"/>
        </w:trPr>
        <w:tc>
          <w:tcPr>
            <w:tcW w:w="9576" w:type="dxa"/>
            <w:gridSpan w:val="5"/>
            <w:vAlign w:val="center"/>
          </w:tcPr>
          <w:p w14:paraId="5C4A3311" w14:textId="1096F311" w:rsidR="00B6527E" w:rsidRDefault="00B6527E" w:rsidP="002A7B63">
            <w:pPr>
              <w:pStyle w:val="T2"/>
              <w:ind w:left="0"/>
              <w:rPr>
                <w:sz w:val="20"/>
              </w:rPr>
            </w:pPr>
            <w:r>
              <w:rPr>
                <w:sz w:val="20"/>
              </w:rPr>
              <w:t>Date:</w:t>
            </w:r>
            <w:r w:rsidR="00215CE5">
              <w:rPr>
                <w:b w:val="0"/>
                <w:sz w:val="20"/>
              </w:rPr>
              <w:t xml:space="preserve">  201</w:t>
            </w:r>
            <w:r w:rsidR="00581C39">
              <w:rPr>
                <w:b w:val="0"/>
                <w:sz w:val="20"/>
              </w:rPr>
              <w:t>7-</w:t>
            </w:r>
            <w:r w:rsidR="002A7B63">
              <w:rPr>
                <w:b w:val="0"/>
                <w:sz w:val="20"/>
              </w:rPr>
              <w:t>04</w:t>
            </w:r>
            <w:r>
              <w:rPr>
                <w:b w:val="0"/>
                <w:sz w:val="20"/>
              </w:rPr>
              <w:t>-</w:t>
            </w:r>
            <w:r w:rsidR="002A7B63">
              <w:rPr>
                <w:b w:val="0"/>
                <w:sz w:val="20"/>
              </w:rPr>
              <w:t>25</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26721EDF" w:rsidR="00B6527E" w:rsidRDefault="00AE1931"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6F40D806" w:rsidR="00B6527E" w:rsidRDefault="006E0FE2" w:rsidP="00B6527E">
            <w:pPr>
              <w:pStyle w:val="T2"/>
              <w:spacing w:after="0"/>
              <w:ind w:left="0" w:right="0"/>
              <w:jc w:val="left"/>
              <w:rPr>
                <w:sz w:val="20"/>
              </w:rPr>
            </w:pPr>
            <w:r>
              <w:rPr>
                <w:b w:val="0"/>
                <w:kern w:val="24"/>
                <w:sz w:val="18"/>
                <w:szCs w:val="18"/>
              </w:rPr>
              <w:t>Eldad Perahia</w:t>
            </w:r>
          </w:p>
        </w:tc>
        <w:tc>
          <w:tcPr>
            <w:tcW w:w="1530" w:type="dxa"/>
            <w:vAlign w:val="center"/>
          </w:tcPr>
          <w:p w14:paraId="60ECF008" w14:textId="7EECF247" w:rsidR="00B6527E" w:rsidRDefault="00E41A52" w:rsidP="00B6527E">
            <w:pPr>
              <w:pStyle w:val="T2"/>
              <w:spacing w:after="0"/>
              <w:ind w:left="0" w:right="0"/>
              <w:jc w:val="left"/>
              <w:rPr>
                <w:sz w:val="20"/>
              </w:rPr>
            </w:pPr>
            <w:r w:rsidRPr="00E41A52">
              <w:rPr>
                <w:b w:val="0"/>
                <w:kern w:val="24"/>
                <w:sz w:val="18"/>
                <w:szCs w:val="18"/>
              </w:rPr>
              <w:t>HPE-Aruba</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68B76C5F" w:rsidR="00B6527E" w:rsidRDefault="006E0FE2" w:rsidP="00B6527E">
            <w:pPr>
              <w:pStyle w:val="T2"/>
              <w:spacing w:after="0"/>
              <w:ind w:left="0" w:right="0"/>
              <w:jc w:val="left"/>
              <w:rPr>
                <w:sz w:val="20"/>
              </w:rPr>
            </w:pPr>
            <w:r>
              <w:rPr>
                <w:b w:val="0"/>
                <w:kern w:val="24"/>
                <w:sz w:val="18"/>
                <w:szCs w:val="18"/>
              </w:rPr>
              <w:t>eldad.perahia@hpe.com</w:t>
            </w:r>
          </w:p>
        </w:tc>
      </w:tr>
      <w:tr w:rsidR="00E41A52" w14:paraId="687BE963" w14:textId="77777777" w:rsidTr="007E52CB">
        <w:trPr>
          <w:jc w:val="center"/>
        </w:trPr>
        <w:tc>
          <w:tcPr>
            <w:tcW w:w="1615" w:type="dxa"/>
            <w:vAlign w:val="center"/>
          </w:tcPr>
          <w:p w14:paraId="298D201E" w14:textId="14E70D11" w:rsidR="00E41A52" w:rsidRDefault="00E41A52" w:rsidP="00B6527E">
            <w:pPr>
              <w:pStyle w:val="T2"/>
              <w:spacing w:after="0"/>
              <w:ind w:left="0" w:right="0"/>
              <w:jc w:val="left"/>
              <w:rPr>
                <w:b w:val="0"/>
                <w:kern w:val="24"/>
                <w:sz w:val="18"/>
                <w:szCs w:val="18"/>
              </w:rPr>
            </w:pPr>
            <w:r>
              <w:rPr>
                <w:b w:val="0"/>
                <w:kern w:val="24"/>
                <w:sz w:val="18"/>
                <w:szCs w:val="18"/>
              </w:rPr>
              <w:t>Sachin Ganu</w:t>
            </w:r>
          </w:p>
        </w:tc>
        <w:tc>
          <w:tcPr>
            <w:tcW w:w="1530" w:type="dxa"/>
            <w:vAlign w:val="center"/>
          </w:tcPr>
          <w:p w14:paraId="2615EDA6" w14:textId="19F8AEBC" w:rsidR="00E41A52" w:rsidRDefault="00E41A52" w:rsidP="00B6527E">
            <w:pPr>
              <w:pStyle w:val="T2"/>
              <w:spacing w:after="0"/>
              <w:ind w:left="0" w:right="0"/>
              <w:jc w:val="left"/>
              <w:rPr>
                <w:sz w:val="20"/>
              </w:rPr>
            </w:pPr>
            <w:r w:rsidRPr="00E41A52">
              <w:rPr>
                <w:b w:val="0"/>
                <w:kern w:val="24"/>
                <w:sz w:val="18"/>
                <w:szCs w:val="18"/>
              </w:rPr>
              <w:t>HPE-Aruba</w:t>
            </w:r>
          </w:p>
        </w:tc>
        <w:tc>
          <w:tcPr>
            <w:tcW w:w="2070" w:type="dxa"/>
            <w:vAlign w:val="center"/>
          </w:tcPr>
          <w:p w14:paraId="324ACF79" w14:textId="77777777" w:rsidR="00E41A52" w:rsidRDefault="00E41A52" w:rsidP="00B6527E">
            <w:pPr>
              <w:pStyle w:val="T2"/>
              <w:spacing w:after="0"/>
              <w:ind w:left="0" w:right="0"/>
              <w:jc w:val="left"/>
              <w:rPr>
                <w:sz w:val="20"/>
              </w:rPr>
            </w:pPr>
          </w:p>
        </w:tc>
        <w:tc>
          <w:tcPr>
            <w:tcW w:w="1440" w:type="dxa"/>
            <w:vAlign w:val="center"/>
          </w:tcPr>
          <w:p w14:paraId="7B062A72" w14:textId="77777777" w:rsidR="00E41A52" w:rsidRDefault="00E41A52" w:rsidP="00B6527E">
            <w:pPr>
              <w:pStyle w:val="T2"/>
              <w:spacing w:after="0"/>
              <w:ind w:left="0" w:right="0"/>
              <w:jc w:val="left"/>
              <w:rPr>
                <w:sz w:val="20"/>
              </w:rPr>
            </w:pPr>
          </w:p>
        </w:tc>
        <w:tc>
          <w:tcPr>
            <w:tcW w:w="2921" w:type="dxa"/>
            <w:vAlign w:val="center"/>
          </w:tcPr>
          <w:p w14:paraId="36976148" w14:textId="77777777" w:rsidR="00E41A52" w:rsidRDefault="00E41A52" w:rsidP="00B6527E">
            <w:pPr>
              <w:pStyle w:val="T2"/>
              <w:spacing w:after="0"/>
              <w:ind w:left="0" w:right="0"/>
              <w:jc w:val="left"/>
              <w:rPr>
                <w:b w:val="0"/>
                <w:kern w:val="24"/>
                <w:sz w:val="18"/>
                <w:szCs w:val="18"/>
              </w:rPr>
            </w:pPr>
          </w:p>
        </w:tc>
      </w:tr>
      <w:tr w:rsidR="00E41A52" w14:paraId="17C43B9E" w14:textId="77777777" w:rsidTr="007E52CB">
        <w:trPr>
          <w:jc w:val="center"/>
        </w:trPr>
        <w:tc>
          <w:tcPr>
            <w:tcW w:w="1615" w:type="dxa"/>
            <w:vAlign w:val="center"/>
          </w:tcPr>
          <w:p w14:paraId="69DFDC69" w14:textId="2061CD80" w:rsidR="00E41A52" w:rsidRDefault="00E41A52" w:rsidP="00B6527E">
            <w:pPr>
              <w:pStyle w:val="T2"/>
              <w:spacing w:after="0"/>
              <w:ind w:left="0" w:right="0"/>
              <w:jc w:val="left"/>
              <w:rPr>
                <w:b w:val="0"/>
                <w:kern w:val="24"/>
                <w:sz w:val="18"/>
                <w:szCs w:val="18"/>
              </w:rPr>
            </w:pPr>
            <w:r>
              <w:rPr>
                <w:b w:val="0"/>
                <w:kern w:val="24"/>
                <w:sz w:val="18"/>
                <w:szCs w:val="18"/>
              </w:rPr>
              <w:t>Shahnawaz Siraj</w:t>
            </w:r>
          </w:p>
        </w:tc>
        <w:tc>
          <w:tcPr>
            <w:tcW w:w="1530" w:type="dxa"/>
            <w:vAlign w:val="center"/>
          </w:tcPr>
          <w:p w14:paraId="4C178C2C" w14:textId="7454249B" w:rsidR="00E41A52" w:rsidRDefault="00E41A52" w:rsidP="00B6527E">
            <w:pPr>
              <w:pStyle w:val="T2"/>
              <w:spacing w:after="0"/>
              <w:ind w:left="0" w:right="0"/>
              <w:jc w:val="left"/>
              <w:rPr>
                <w:sz w:val="20"/>
              </w:rPr>
            </w:pPr>
            <w:r w:rsidRPr="00E41A52">
              <w:rPr>
                <w:b w:val="0"/>
                <w:kern w:val="24"/>
                <w:sz w:val="18"/>
                <w:szCs w:val="18"/>
              </w:rPr>
              <w:t>HPE-Aruba</w:t>
            </w:r>
          </w:p>
        </w:tc>
        <w:tc>
          <w:tcPr>
            <w:tcW w:w="2070" w:type="dxa"/>
            <w:vAlign w:val="center"/>
          </w:tcPr>
          <w:p w14:paraId="3E6960A1" w14:textId="77777777" w:rsidR="00E41A52" w:rsidRDefault="00E41A52" w:rsidP="00B6527E">
            <w:pPr>
              <w:pStyle w:val="T2"/>
              <w:spacing w:after="0"/>
              <w:ind w:left="0" w:right="0"/>
              <w:jc w:val="left"/>
              <w:rPr>
                <w:sz w:val="20"/>
              </w:rPr>
            </w:pPr>
          </w:p>
        </w:tc>
        <w:tc>
          <w:tcPr>
            <w:tcW w:w="1440" w:type="dxa"/>
            <w:vAlign w:val="center"/>
          </w:tcPr>
          <w:p w14:paraId="6BACE8DC" w14:textId="77777777" w:rsidR="00E41A52" w:rsidRDefault="00E41A52" w:rsidP="00B6527E">
            <w:pPr>
              <w:pStyle w:val="T2"/>
              <w:spacing w:after="0"/>
              <w:ind w:left="0" w:right="0"/>
              <w:jc w:val="left"/>
              <w:rPr>
                <w:sz w:val="20"/>
              </w:rPr>
            </w:pPr>
          </w:p>
        </w:tc>
        <w:tc>
          <w:tcPr>
            <w:tcW w:w="2921" w:type="dxa"/>
            <w:vAlign w:val="center"/>
          </w:tcPr>
          <w:p w14:paraId="636E4119" w14:textId="77777777" w:rsidR="00E41A52" w:rsidRDefault="00E41A52" w:rsidP="00B6527E">
            <w:pPr>
              <w:pStyle w:val="T2"/>
              <w:spacing w:after="0"/>
              <w:ind w:left="0" w:right="0"/>
              <w:jc w:val="left"/>
              <w:rPr>
                <w:b w:val="0"/>
                <w:kern w:val="24"/>
                <w:sz w:val="18"/>
                <w:szCs w:val="18"/>
              </w:rPr>
            </w:pPr>
          </w:p>
        </w:tc>
      </w:tr>
      <w:tr w:rsidR="00E41A52" w14:paraId="07911809" w14:textId="77777777" w:rsidTr="007E52CB">
        <w:trPr>
          <w:jc w:val="center"/>
        </w:trPr>
        <w:tc>
          <w:tcPr>
            <w:tcW w:w="1615" w:type="dxa"/>
            <w:vAlign w:val="center"/>
          </w:tcPr>
          <w:p w14:paraId="5E2FE693" w14:textId="63156790" w:rsidR="00E41A52" w:rsidRDefault="00E41A52" w:rsidP="00B6527E">
            <w:pPr>
              <w:pStyle w:val="T2"/>
              <w:spacing w:after="0"/>
              <w:ind w:left="0" w:right="0"/>
              <w:jc w:val="left"/>
              <w:rPr>
                <w:b w:val="0"/>
                <w:kern w:val="24"/>
                <w:sz w:val="18"/>
                <w:szCs w:val="18"/>
              </w:rPr>
            </w:pPr>
            <w:r>
              <w:rPr>
                <w:b w:val="0"/>
                <w:kern w:val="24"/>
                <w:sz w:val="18"/>
                <w:szCs w:val="18"/>
              </w:rPr>
              <w:t>Bernd Bandemer</w:t>
            </w:r>
          </w:p>
        </w:tc>
        <w:tc>
          <w:tcPr>
            <w:tcW w:w="1530" w:type="dxa"/>
            <w:vAlign w:val="center"/>
          </w:tcPr>
          <w:p w14:paraId="6EAD8EDC" w14:textId="5B0D44FE" w:rsidR="00E41A52" w:rsidRPr="00E41A52" w:rsidRDefault="00E41A52" w:rsidP="00B6527E">
            <w:pPr>
              <w:pStyle w:val="T2"/>
              <w:spacing w:after="0"/>
              <w:ind w:left="0" w:right="0"/>
              <w:jc w:val="left"/>
              <w:rPr>
                <w:b w:val="0"/>
                <w:kern w:val="24"/>
                <w:sz w:val="18"/>
                <w:szCs w:val="18"/>
              </w:rPr>
            </w:pPr>
            <w:r w:rsidRPr="00E41A52">
              <w:rPr>
                <w:b w:val="0"/>
                <w:kern w:val="24"/>
                <w:sz w:val="18"/>
                <w:szCs w:val="18"/>
              </w:rPr>
              <w:t>HPE</w:t>
            </w:r>
          </w:p>
        </w:tc>
        <w:tc>
          <w:tcPr>
            <w:tcW w:w="2070" w:type="dxa"/>
            <w:vAlign w:val="center"/>
          </w:tcPr>
          <w:p w14:paraId="134E789F" w14:textId="77777777" w:rsidR="00E41A52" w:rsidRDefault="00E41A52" w:rsidP="00B6527E">
            <w:pPr>
              <w:pStyle w:val="T2"/>
              <w:spacing w:after="0"/>
              <w:ind w:left="0" w:right="0"/>
              <w:jc w:val="left"/>
              <w:rPr>
                <w:sz w:val="20"/>
              </w:rPr>
            </w:pPr>
          </w:p>
        </w:tc>
        <w:tc>
          <w:tcPr>
            <w:tcW w:w="1440" w:type="dxa"/>
            <w:vAlign w:val="center"/>
          </w:tcPr>
          <w:p w14:paraId="4476386A" w14:textId="77777777" w:rsidR="00E41A52" w:rsidRDefault="00E41A52" w:rsidP="00B6527E">
            <w:pPr>
              <w:pStyle w:val="T2"/>
              <w:spacing w:after="0"/>
              <w:ind w:left="0" w:right="0"/>
              <w:jc w:val="left"/>
              <w:rPr>
                <w:sz w:val="20"/>
              </w:rPr>
            </w:pPr>
          </w:p>
        </w:tc>
        <w:tc>
          <w:tcPr>
            <w:tcW w:w="2921" w:type="dxa"/>
            <w:vAlign w:val="center"/>
          </w:tcPr>
          <w:p w14:paraId="065F0D62" w14:textId="77777777" w:rsidR="00E41A52" w:rsidRDefault="00E41A52" w:rsidP="00B6527E">
            <w:pPr>
              <w:pStyle w:val="T2"/>
              <w:spacing w:after="0"/>
              <w:ind w:left="0" w:right="0"/>
              <w:jc w:val="left"/>
              <w:rPr>
                <w:b w:val="0"/>
                <w:kern w:val="24"/>
                <w:sz w:val="18"/>
                <w:szCs w:val="18"/>
              </w:rPr>
            </w:pPr>
          </w:p>
        </w:tc>
      </w:tr>
      <w:tr w:rsidR="00E41A52" w14:paraId="4812D0F4" w14:textId="77777777" w:rsidTr="007E52CB">
        <w:trPr>
          <w:jc w:val="center"/>
        </w:trPr>
        <w:tc>
          <w:tcPr>
            <w:tcW w:w="1615" w:type="dxa"/>
            <w:vAlign w:val="center"/>
          </w:tcPr>
          <w:p w14:paraId="3C5F51A4" w14:textId="4732E4C4" w:rsidR="00E41A52" w:rsidRDefault="00E41A52" w:rsidP="00B6527E">
            <w:pPr>
              <w:pStyle w:val="T2"/>
              <w:spacing w:after="0"/>
              <w:ind w:left="0" w:right="0"/>
              <w:jc w:val="left"/>
              <w:rPr>
                <w:b w:val="0"/>
                <w:kern w:val="24"/>
                <w:sz w:val="18"/>
                <w:szCs w:val="18"/>
              </w:rPr>
            </w:pPr>
            <w:r>
              <w:rPr>
                <w:b w:val="0"/>
                <w:kern w:val="24"/>
                <w:sz w:val="18"/>
                <w:szCs w:val="18"/>
              </w:rPr>
              <w:t>Jose Tellado</w:t>
            </w:r>
          </w:p>
        </w:tc>
        <w:tc>
          <w:tcPr>
            <w:tcW w:w="1530" w:type="dxa"/>
            <w:vAlign w:val="center"/>
          </w:tcPr>
          <w:p w14:paraId="2FCBCD9B" w14:textId="271CB9B0" w:rsidR="00E41A52" w:rsidRPr="00E41A52" w:rsidRDefault="00E41A52" w:rsidP="00B6527E">
            <w:pPr>
              <w:pStyle w:val="T2"/>
              <w:spacing w:after="0"/>
              <w:ind w:left="0" w:right="0"/>
              <w:jc w:val="left"/>
              <w:rPr>
                <w:b w:val="0"/>
                <w:kern w:val="24"/>
                <w:sz w:val="18"/>
                <w:szCs w:val="18"/>
              </w:rPr>
            </w:pPr>
            <w:r w:rsidRPr="00E41A52">
              <w:rPr>
                <w:b w:val="0"/>
                <w:kern w:val="24"/>
                <w:sz w:val="18"/>
                <w:szCs w:val="18"/>
              </w:rPr>
              <w:t>HPE</w:t>
            </w:r>
          </w:p>
        </w:tc>
        <w:tc>
          <w:tcPr>
            <w:tcW w:w="2070" w:type="dxa"/>
            <w:vAlign w:val="center"/>
          </w:tcPr>
          <w:p w14:paraId="389B82A9" w14:textId="77777777" w:rsidR="00E41A52" w:rsidRDefault="00E41A52" w:rsidP="00B6527E">
            <w:pPr>
              <w:pStyle w:val="T2"/>
              <w:spacing w:after="0"/>
              <w:ind w:left="0" w:right="0"/>
              <w:jc w:val="left"/>
              <w:rPr>
                <w:sz w:val="20"/>
              </w:rPr>
            </w:pPr>
          </w:p>
        </w:tc>
        <w:tc>
          <w:tcPr>
            <w:tcW w:w="1440" w:type="dxa"/>
            <w:vAlign w:val="center"/>
          </w:tcPr>
          <w:p w14:paraId="40F04E95" w14:textId="77777777" w:rsidR="00E41A52" w:rsidRDefault="00E41A52" w:rsidP="00B6527E">
            <w:pPr>
              <w:pStyle w:val="T2"/>
              <w:spacing w:after="0"/>
              <w:ind w:left="0" w:right="0"/>
              <w:jc w:val="left"/>
              <w:rPr>
                <w:sz w:val="20"/>
              </w:rPr>
            </w:pPr>
          </w:p>
        </w:tc>
        <w:tc>
          <w:tcPr>
            <w:tcW w:w="2921" w:type="dxa"/>
            <w:vAlign w:val="center"/>
          </w:tcPr>
          <w:p w14:paraId="5E038504" w14:textId="77777777" w:rsidR="00E41A52" w:rsidRDefault="00E41A52" w:rsidP="00B6527E">
            <w:pPr>
              <w:pStyle w:val="T2"/>
              <w:spacing w:after="0"/>
              <w:ind w:left="0" w:right="0"/>
              <w:jc w:val="left"/>
              <w:rPr>
                <w:b w:val="0"/>
                <w:kern w:val="24"/>
                <w:sz w:val="18"/>
                <w:szCs w:val="18"/>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4E70CC" w:rsidRDefault="004E70CC">
                            <w:pPr>
                              <w:pStyle w:val="T1"/>
                              <w:spacing w:after="120"/>
                            </w:pPr>
                            <w:r>
                              <w:t>Abstract</w:t>
                            </w:r>
                          </w:p>
                          <w:p w14:paraId="3662775C" w14:textId="7FF822DB" w:rsidR="004E70CC" w:rsidRDefault="006E0FE2" w:rsidP="006E0FE2">
                            <w:r w:rsidRPr="006E0FE2">
                              <w:t xml:space="preserve">This submission proposes resolutions for </w:t>
                            </w:r>
                            <w:r>
                              <w:t>BSR</w:t>
                            </w:r>
                            <w:r w:rsidRPr="006E0FE2">
                              <w:t xml:space="preserve"> comment related to </w:t>
                            </w:r>
                            <w:proofErr w:type="spellStart"/>
                            <w:r w:rsidRPr="006E0FE2">
                              <w:t>TG</w:t>
                            </w:r>
                            <w:r>
                              <w:t>ax</w:t>
                            </w:r>
                            <w:proofErr w:type="spellEnd"/>
                            <w:r>
                              <w:t xml:space="preserve"> D1.0 with the following CID: 5126.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4E70CC" w:rsidRDefault="004E70CC">
                      <w:pPr>
                        <w:pStyle w:val="T1"/>
                        <w:spacing w:after="120"/>
                      </w:pPr>
                      <w:r>
                        <w:t>Abstract</w:t>
                      </w:r>
                    </w:p>
                    <w:p w14:paraId="3662775C" w14:textId="7FF822DB" w:rsidR="004E70CC" w:rsidRDefault="006E0FE2" w:rsidP="006E0FE2">
                      <w:r w:rsidRPr="006E0FE2">
                        <w:t xml:space="preserve">This submission proposes resolutions for </w:t>
                      </w:r>
                      <w:r>
                        <w:t>BSR</w:t>
                      </w:r>
                      <w:r w:rsidRPr="006E0FE2">
                        <w:t xml:space="preserve"> comment related to </w:t>
                      </w:r>
                      <w:proofErr w:type="spellStart"/>
                      <w:r w:rsidRPr="006E0FE2">
                        <w:t>TG</w:t>
                      </w:r>
                      <w:r>
                        <w:t>ax</w:t>
                      </w:r>
                      <w:proofErr w:type="spellEnd"/>
                      <w:r>
                        <w:t xml:space="preserve"> D1.0 with the following CID: 5126.</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7CF82C54" w14:textId="77777777" w:rsidR="004F56A0" w:rsidRDefault="004F56A0" w:rsidP="004E70CC">
      <w:pPr>
        <w:rPr>
          <w:lang w:val="en-US"/>
        </w:rPr>
      </w:pPr>
    </w:p>
    <w:p w14:paraId="2F58B132" w14:textId="77777777" w:rsidR="00F16FE1" w:rsidRDefault="00F16FE1" w:rsidP="002B1A82"/>
    <w:p w14:paraId="2899AF4C" w14:textId="77777777" w:rsidR="00FD709D" w:rsidRDefault="00FD709D" w:rsidP="002B1A82"/>
    <w:p w14:paraId="1139E681" w14:textId="77777777" w:rsidR="002B1A82" w:rsidRPr="004F3AF6" w:rsidRDefault="002B1A82" w:rsidP="002B1A82"/>
    <w:p w14:paraId="337A22B3" w14:textId="77777777" w:rsidR="0038384E" w:rsidRPr="00CE1ADE" w:rsidRDefault="0038384E" w:rsidP="0038384E">
      <w:pPr>
        <w:rPr>
          <w:rFonts w:eastAsia="Malgun Gothic"/>
          <w:sz w:val="18"/>
        </w:rPr>
      </w:pPr>
      <w:r w:rsidRPr="00CE1ADE">
        <w:rPr>
          <w:rFonts w:eastAsia="Malgun Gothic"/>
          <w:sz w:val="18"/>
        </w:rPr>
        <w:t>Interpretation of a Motion to Adopt</w:t>
      </w:r>
    </w:p>
    <w:p w14:paraId="6F91EB4B" w14:textId="77777777" w:rsidR="0038384E" w:rsidRPr="00CE1ADE" w:rsidRDefault="0038384E" w:rsidP="0038384E">
      <w:pPr>
        <w:rPr>
          <w:rFonts w:eastAsia="Malgun Gothic"/>
          <w:sz w:val="18"/>
          <w:lang w:eastAsia="ko-KR"/>
        </w:rPr>
      </w:pPr>
    </w:p>
    <w:p w14:paraId="4BFC8AEA" w14:textId="77777777" w:rsidR="0038384E" w:rsidRPr="00CE1ADE" w:rsidRDefault="0038384E" w:rsidP="0038384E">
      <w:pPr>
        <w:rPr>
          <w:rFonts w:eastAsia="Malgun Gothic"/>
          <w:sz w:val="18"/>
          <w:lang w:eastAsia="ko-KR"/>
        </w:rPr>
      </w:pPr>
      <w:r w:rsidRPr="00CE1ADE">
        <w:rPr>
          <w:rFonts w:eastAsia="Malgun Gothic"/>
          <w:sz w:val="18"/>
          <w:lang w:eastAsia="ko-KR"/>
        </w:rPr>
        <w:t xml:space="preserve">A motion to approve this submission means that the editing instructions and any changed or added material are actioned in the </w:t>
      </w:r>
      <w:proofErr w:type="spellStart"/>
      <w:r w:rsidRPr="00CE1ADE">
        <w:rPr>
          <w:rFonts w:eastAsia="Malgun Gothic"/>
          <w:sz w:val="18"/>
          <w:lang w:eastAsia="ko-KR"/>
        </w:rPr>
        <w:t>TGax</w:t>
      </w:r>
      <w:proofErr w:type="spellEnd"/>
      <w:r w:rsidRPr="00CE1ADE">
        <w:rPr>
          <w:rFonts w:eastAsia="Malgun Gothic"/>
          <w:sz w:val="18"/>
          <w:lang w:eastAsia="ko-KR"/>
        </w:rPr>
        <w:t xml:space="preserve"> Draft.  This introduction is not part of the adopted material.</w:t>
      </w:r>
    </w:p>
    <w:p w14:paraId="326A17CA" w14:textId="77777777" w:rsidR="0038384E" w:rsidRPr="00CE1ADE" w:rsidRDefault="0038384E" w:rsidP="0038384E">
      <w:pPr>
        <w:rPr>
          <w:rFonts w:eastAsia="Malgun Gothic"/>
          <w:sz w:val="18"/>
          <w:lang w:eastAsia="ko-KR"/>
        </w:rPr>
      </w:pPr>
    </w:p>
    <w:p w14:paraId="2B1F5FA0" w14:textId="77777777" w:rsidR="0038384E" w:rsidRPr="00CE1ADE" w:rsidRDefault="0038384E" w:rsidP="0038384E">
      <w:pPr>
        <w:rPr>
          <w:rFonts w:eastAsia="Malgun Gothic"/>
          <w:b/>
          <w:bCs/>
          <w:i/>
          <w:iCs/>
          <w:sz w:val="18"/>
          <w:lang w:eastAsia="ko-KR"/>
        </w:rPr>
      </w:pPr>
      <w:r w:rsidRPr="00CE1ADE">
        <w:rPr>
          <w:rFonts w:eastAsia="Malgun Gothic"/>
          <w:b/>
          <w:bCs/>
          <w:i/>
          <w:iCs/>
          <w:sz w:val="18"/>
          <w:lang w:eastAsia="ko-KR"/>
        </w:rPr>
        <w:t xml:space="preserve">Editing instructions formatted like this are intended to be copied into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(i.e. they are instructions to the 802.11 editor on how to merge the text with the baseline documents).</w:t>
      </w:r>
    </w:p>
    <w:p w14:paraId="6DA43C49" w14:textId="77777777" w:rsidR="0038384E" w:rsidRPr="00CE1ADE" w:rsidRDefault="0038384E" w:rsidP="0038384E">
      <w:pPr>
        <w:rPr>
          <w:rFonts w:eastAsia="Malgun Gothic"/>
          <w:sz w:val="18"/>
          <w:lang w:eastAsia="ko-KR"/>
        </w:rPr>
      </w:pPr>
    </w:p>
    <w:p w14:paraId="50A9C171" w14:textId="77777777" w:rsidR="0038384E" w:rsidRPr="00CE1ADE" w:rsidRDefault="0038384E" w:rsidP="0038384E">
      <w:pPr>
        <w:rPr>
          <w:rFonts w:eastAsia="Malgun Gothic"/>
          <w:b/>
          <w:bCs/>
          <w:i/>
          <w:iCs/>
          <w:sz w:val="18"/>
          <w:lang w:eastAsia="ko-KR"/>
        </w:rPr>
      </w:pP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Editing instructions preceded by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are instructions to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to modify existing material in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draft.  As a result of adopting the changes, the </w:t>
      </w:r>
      <w:proofErr w:type="spellStart"/>
      <w:r w:rsidRPr="00CE1ADE">
        <w:rPr>
          <w:rFonts w:eastAsia="Malgun Gothic"/>
          <w:b/>
          <w:bCs/>
          <w:i/>
          <w:iCs/>
          <w:sz w:val="18"/>
          <w:lang w:eastAsia="ko-KR"/>
        </w:rPr>
        <w:t>TGax</w:t>
      </w:r>
      <w:proofErr w:type="spellEnd"/>
      <w:r w:rsidRPr="00CE1ADE">
        <w:rPr>
          <w:rFonts w:eastAsia="Malgun Gothic"/>
          <w:b/>
          <w:bCs/>
          <w:i/>
          <w:iCs/>
          <w:sz w:val="18"/>
          <w:lang w:eastAsia="ko-KR"/>
        </w:rPr>
        <w:t xml:space="preserve"> editor will execute the instructions rather than copy them to the </w:t>
      </w:r>
      <w:proofErr w:type="spellStart"/>
      <w:r w:rsidRPr="00CE1ADE">
        <w:rPr>
          <w:rFonts w:eastAsia="Malgun Gothic"/>
          <w:b/>
          <w:bCs/>
          <w:i/>
          <w:iCs/>
          <w:sz w:val="18"/>
          <w:lang w:eastAsia="ko-KR"/>
        </w:rPr>
        <w:t>TGa</w:t>
      </w:r>
      <w:r w:rsidRPr="00CE1ADE">
        <w:rPr>
          <w:rFonts w:eastAsia="Malgun Gothic" w:hint="eastAsia"/>
          <w:b/>
          <w:bCs/>
          <w:i/>
          <w:iCs/>
          <w:sz w:val="18"/>
          <w:lang w:eastAsia="ko-KR"/>
        </w:rPr>
        <w:t>x</w:t>
      </w:r>
      <w:proofErr w:type="spellEnd"/>
      <w:r w:rsidRPr="00CE1ADE">
        <w:rPr>
          <w:rFonts w:eastAsia="Malgun Gothic"/>
          <w:b/>
          <w:bCs/>
          <w:i/>
          <w:iCs/>
          <w:sz w:val="18"/>
          <w:lang w:eastAsia="ko-KR"/>
        </w:rPr>
        <w:t xml:space="preserve"> Draft.</w:t>
      </w:r>
    </w:p>
    <w:p w14:paraId="1B6EEEE2" w14:textId="77777777" w:rsidR="0038384E" w:rsidRDefault="0038384E" w:rsidP="0038384E">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38384E" w:rsidRPr="00782217" w14:paraId="6A81B9B1" w14:textId="77777777" w:rsidTr="00F01C17">
        <w:trPr>
          <w:trHeight w:val="220"/>
        </w:trPr>
        <w:tc>
          <w:tcPr>
            <w:tcW w:w="540" w:type="dxa"/>
            <w:shd w:val="clear" w:color="auto" w:fill="auto"/>
            <w:noWrap/>
            <w:vAlign w:val="center"/>
            <w:hideMark/>
          </w:tcPr>
          <w:p w14:paraId="16A66146" w14:textId="77777777" w:rsidR="0038384E" w:rsidRPr="00782217" w:rsidRDefault="0038384E" w:rsidP="00F01C17">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07EE879C" w14:textId="77777777" w:rsidR="0038384E" w:rsidRPr="00782217" w:rsidRDefault="0038384E" w:rsidP="00F01C17">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64D52298" w14:textId="77777777" w:rsidR="0038384E" w:rsidRPr="00782217" w:rsidRDefault="0038384E" w:rsidP="00F01C17">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5F9D0087" w14:textId="77777777" w:rsidR="0038384E" w:rsidRPr="00782217" w:rsidRDefault="0038384E" w:rsidP="00F01C17">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252A16AF" w14:textId="77777777" w:rsidR="0038384E" w:rsidRPr="00782217" w:rsidRDefault="0038384E" w:rsidP="00F01C17">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5AB4F0AB" w14:textId="77777777" w:rsidR="0038384E" w:rsidRPr="00782217" w:rsidRDefault="0038384E" w:rsidP="00F01C17">
            <w:pPr>
              <w:suppressAutoHyphens/>
              <w:rPr>
                <w:rFonts w:eastAsia="Times New Roman"/>
                <w:b/>
                <w:bCs/>
                <w:color w:val="000000"/>
                <w:sz w:val="16"/>
              </w:rPr>
            </w:pPr>
            <w:r w:rsidRPr="00782217">
              <w:rPr>
                <w:rFonts w:eastAsia="Times New Roman"/>
                <w:b/>
                <w:bCs/>
                <w:color w:val="000000"/>
                <w:sz w:val="16"/>
              </w:rPr>
              <w:t>Resolution</w:t>
            </w:r>
          </w:p>
        </w:tc>
      </w:tr>
      <w:tr w:rsidR="0038384E" w14:paraId="22B81DA2" w14:textId="77777777" w:rsidTr="00F01C17">
        <w:trPr>
          <w:trHeight w:val="220"/>
        </w:trPr>
        <w:tc>
          <w:tcPr>
            <w:tcW w:w="540" w:type="dxa"/>
            <w:shd w:val="clear" w:color="auto" w:fill="auto"/>
            <w:noWrap/>
          </w:tcPr>
          <w:p w14:paraId="0DBDB8E2" w14:textId="16AF3170" w:rsidR="0038384E" w:rsidRDefault="0038384E" w:rsidP="00F01C17">
            <w:pPr>
              <w:rPr>
                <w:sz w:val="16"/>
                <w:szCs w:val="16"/>
              </w:rPr>
            </w:pPr>
            <w:r w:rsidRPr="0038384E">
              <w:rPr>
                <w:sz w:val="16"/>
                <w:szCs w:val="16"/>
              </w:rPr>
              <w:t>5126</w:t>
            </w:r>
          </w:p>
        </w:tc>
        <w:tc>
          <w:tcPr>
            <w:tcW w:w="900" w:type="dxa"/>
            <w:shd w:val="clear" w:color="auto" w:fill="auto"/>
            <w:noWrap/>
          </w:tcPr>
          <w:p w14:paraId="426A7A10" w14:textId="732D58C4" w:rsidR="0038384E" w:rsidRPr="00E1518A" w:rsidRDefault="0038384E" w:rsidP="00F01C17">
            <w:pPr>
              <w:rPr>
                <w:sz w:val="16"/>
                <w:szCs w:val="16"/>
              </w:rPr>
            </w:pPr>
            <w:r w:rsidRPr="0038384E">
              <w:rPr>
                <w:sz w:val="16"/>
                <w:szCs w:val="16"/>
              </w:rPr>
              <w:t>9.2.4.6.4.5</w:t>
            </w:r>
          </w:p>
        </w:tc>
        <w:tc>
          <w:tcPr>
            <w:tcW w:w="810" w:type="dxa"/>
            <w:shd w:val="clear" w:color="auto" w:fill="auto"/>
            <w:noWrap/>
          </w:tcPr>
          <w:p w14:paraId="09D987FD" w14:textId="29573337" w:rsidR="0038384E" w:rsidRDefault="0038384E" w:rsidP="0038384E">
            <w:pPr>
              <w:rPr>
                <w:sz w:val="16"/>
                <w:szCs w:val="16"/>
              </w:rPr>
            </w:pPr>
            <w:r>
              <w:rPr>
                <w:sz w:val="16"/>
                <w:szCs w:val="16"/>
              </w:rPr>
              <w:t>P25L32</w:t>
            </w:r>
          </w:p>
        </w:tc>
        <w:tc>
          <w:tcPr>
            <w:tcW w:w="2739" w:type="dxa"/>
            <w:shd w:val="clear" w:color="auto" w:fill="auto"/>
            <w:noWrap/>
          </w:tcPr>
          <w:p w14:paraId="7942B605" w14:textId="52242B61" w:rsidR="0038384E" w:rsidRPr="009E1216" w:rsidRDefault="0038384E" w:rsidP="00F01C17">
            <w:pPr>
              <w:suppressAutoHyphens/>
              <w:rPr>
                <w:sz w:val="16"/>
                <w:szCs w:val="16"/>
              </w:rPr>
            </w:pPr>
            <w:r w:rsidRPr="0038384E">
              <w:rPr>
                <w:sz w:val="16"/>
                <w:szCs w:val="16"/>
              </w:rPr>
              <w:t>While queue size is definitely important to the AP in order to schedule UL MU, there are other metrics that are important as well.  For example, knowing that the client is experiencing excessive jitter and latency on the uplink or has low battery life will be useful.</w:t>
            </w:r>
          </w:p>
        </w:tc>
        <w:tc>
          <w:tcPr>
            <w:tcW w:w="2739" w:type="dxa"/>
            <w:shd w:val="clear" w:color="auto" w:fill="auto"/>
            <w:noWrap/>
          </w:tcPr>
          <w:p w14:paraId="0F4DD81A" w14:textId="062EA05B" w:rsidR="0038384E" w:rsidRPr="009E1216" w:rsidRDefault="0038384E" w:rsidP="00F01C17">
            <w:pPr>
              <w:suppressAutoHyphens/>
              <w:rPr>
                <w:sz w:val="16"/>
                <w:szCs w:val="16"/>
              </w:rPr>
            </w:pPr>
            <w:r w:rsidRPr="0038384E">
              <w:rPr>
                <w:sz w:val="16"/>
                <w:szCs w:val="16"/>
              </w:rPr>
              <w:t>Modify BSR accordingly</w:t>
            </w:r>
          </w:p>
        </w:tc>
        <w:tc>
          <w:tcPr>
            <w:tcW w:w="2739" w:type="dxa"/>
            <w:shd w:val="clear" w:color="auto" w:fill="auto"/>
          </w:tcPr>
          <w:p w14:paraId="386821B5" w14:textId="77777777" w:rsidR="0038384E" w:rsidRDefault="0038384E" w:rsidP="00F01C17">
            <w:pPr>
              <w:suppressAutoHyphens/>
              <w:rPr>
                <w:sz w:val="16"/>
              </w:rPr>
            </w:pPr>
            <w:r>
              <w:rPr>
                <w:sz w:val="16"/>
              </w:rPr>
              <w:t>Accepted</w:t>
            </w:r>
          </w:p>
          <w:p w14:paraId="45CA6B25" w14:textId="77777777" w:rsidR="0038384E" w:rsidRDefault="0038384E" w:rsidP="00F01C17">
            <w:pPr>
              <w:suppressAutoHyphens/>
              <w:rPr>
                <w:sz w:val="16"/>
              </w:rPr>
            </w:pPr>
          </w:p>
          <w:p w14:paraId="2DB8B9AE" w14:textId="0E705EED" w:rsidR="0038384E" w:rsidRDefault="0038384E" w:rsidP="00F01C17">
            <w:pPr>
              <w:suppressAutoHyphens/>
              <w:rPr>
                <w:sz w:val="16"/>
              </w:rPr>
            </w:pPr>
            <w:r>
              <w:rPr>
                <w:sz w:val="16"/>
              </w:rPr>
              <w:t>Please see document 11-17/YYYYr0</w:t>
            </w:r>
          </w:p>
        </w:tc>
      </w:tr>
    </w:tbl>
    <w:p w14:paraId="51F2346F" w14:textId="77777777" w:rsidR="00021324" w:rsidRDefault="00021324" w:rsidP="0038384E">
      <w:pPr>
        <w:rPr>
          <w:rFonts w:ascii="TimesNewRomanPSMT" w:hAnsi="TimesNewRomanPSMT" w:hint="eastAsia"/>
          <w:color w:val="000000"/>
          <w:sz w:val="20"/>
        </w:rPr>
      </w:pPr>
    </w:p>
    <w:p w14:paraId="1AE1DBF8" w14:textId="23E679A2" w:rsidR="0008545F" w:rsidRPr="00581C39" w:rsidRDefault="0008545F" w:rsidP="0038384E">
      <w:pPr>
        <w:rPr>
          <w:rFonts w:ascii="TimesNewRomanPSMT" w:hAnsi="TimesNewRomanPSMT" w:hint="eastAsia"/>
          <w:b/>
          <w:color w:val="000000"/>
          <w:sz w:val="20"/>
        </w:rPr>
      </w:pPr>
      <w:r w:rsidRPr="00581C39">
        <w:rPr>
          <w:rFonts w:ascii="TimesNewRomanPSMT" w:hAnsi="TimesNewRomanPSMT"/>
          <w:b/>
          <w:color w:val="000000"/>
          <w:sz w:val="20"/>
        </w:rPr>
        <w:t>Discussion:</w:t>
      </w:r>
    </w:p>
    <w:p w14:paraId="2F6C38F7" w14:textId="77777777" w:rsidR="00CE5B6B" w:rsidRDefault="0008545F" w:rsidP="0038384E">
      <w:pPr>
        <w:rPr>
          <w:rFonts w:ascii="TimesNewRomanPSMT" w:hAnsi="TimesNewRomanPSMT" w:hint="eastAsia"/>
          <w:color w:val="000000"/>
          <w:sz w:val="20"/>
        </w:rPr>
      </w:pPr>
      <w:r>
        <w:rPr>
          <w:rFonts w:ascii="TimesNewRomanPSMT" w:hAnsi="TimesNewRomanPSMT"/>
          <w:color w:val="000000"/>
          <w:sz w:val="20"/>
        </w:rPr>
        <w:t xml:space="preserve">Obviously queue size is important in scheduling.  However, numerous other metrics are necessary in order for the AP to schedule UL MU.  </w:t>
      </w:r>
    </w:p>
    <w:p w14:paraId="4D2CEA66" w14:textId="77777777" w:rsidR="00CE5B6B" w:rsidRDefault="00CE5B6B" w:rsidP="0038384E">
      <w:pPr>
        <w:rPr>
          <w:rFonts w:ascii="TimesNewRomanPSMT" w:hAnsi="TimesNewRomanPSMT" w:hint="eastAsia"/>
          <w:color w:val="000000"/>
          <w:sz w:val="20"/>
        </w:rPr>
      </w:pPr>
    </w:p>
    <w:p w14:paraId="65C078C8" w14:textId="5165BC8C" w:rsidR="0008545F" w:rsidRDefault="0008545F" w:rsidP="0038384E">
      <w:pPr>
        <w:rPr>
          <w:rFonts w:ascii="TimesNewRomanPSMT" w:hAnsi="TimesNewRomanPSMT" w:hint="eastAsia"/>
          <w:color w:val="000000"/>
          <w:sz w:val="20"/>
        </w:rPr>
      </w:pPr>
      <w:r>
        <w:rPr>
          <w:rFonts w:ascii="TimesNewRomanPSMT" w:hAnsi="TimesNewRomanPSMT"/>
          <w:color w:val="000000"/>
          <w:sz w:val="20"/>
        </w:rPr>
        <w:t xml:space="preserve">Field experience tells us that </w:t>
      </w:r>
      <w:r w:rsidR="00CE5B6B">
        <w:rPr>
          <w:rFonts w:ascii="TimesNewRomanPSMT" w:hAnsi="TimesNewRomanPSMT"/>
          <w:color w:val="000000"/>
          <w:sz w:val="20"/>
        </w:rPr>
        <w:t xml:space="preserve">the proper access category is not always selected for an application at higher layers in the protocol stack.  Therefore it is necessary to allow the station to indicate whether it is experiencing excessive latency or jitter even with BE or BK </w:t>
      </w:r>
      <w:r w:rsidR="00CA2907">
        <w:rPr>
          <w:rFonts w:ascii="TimesNewRomanPSMT" w:hAnsi="TimesNewRomanPSMT"/>
          <w:color w:val="000000"/>
          <w:sz w:val="20"/>
        </w:rPr>
        <w:t>traffic.  This information could be used by the AP to give priority to a STA for UL scheduling even for lower priority queues.</w:t>
      </w:r>
    </w:p>
    <w:p w14:paraId="01323147" w14:textId="77777777" w:rsidR="00CE5B6B" w:rsidRDefault="00CE5B6B" w:rsidP="0038384E">
      <w:pPr>
        <w:rPr>
          <w:rFonts w:ascii="TimesNewRomanPSMT" w:hAnsi="TimesNewRomanPSMT" w:hint="eastAsia"/>
          <w:color w:val="000000"/>
          <w:sz w:val="20"/>
        </w:rPr>
      </w:pPr>
    </w:p>
    <w:p w14:paraId="777B97F4" w14:textId="361446AD" w:rsidR="00CE5B6B" w:rsidRDefault="00CE5B6B" w:rsidP="0038384E">
      <w:pPr>
        <w:rPr>
          <w:rFonts w:ascii="TimesNewRomanPSMT" w:hAnsi="TimesNewRomanPSMT" w:hint="eastAsia"/>
          <w:color w:val="000000"/>
          <w:sz w:val="20"/>
        </w:rPr>
      </w:pPr>
      <w:r>
        <w:rPr>
          <w:rFonts w:ascii="TimesNewRomanPSMT" w:hAnsi="TimesNewRomanPSMT"/>
          <w:color w:val="000000"/>
          <w:sz w:val="20"/>
        </w:rPr>
        <w:t>Furthermore, with the emphasis on power sensitive hand held devices, an important queuing metric will be whether the device is experiencing a low battery condition.  This information could be used by the AP to give priority to devices with low battery condition</w:t>
      </w:r>
      <w:r w:rsidR="00CA2907">
        <w:rPr>
          <w:rFonts w:ascii="TimesNewRomanPSMT" w:hAnsi="TimesNewRomanPSMT"/>
          <w:color w:val="000000"/>
          <w:sz w:val="20"/>
        </w:rPr>
        <w:t>.</w:t>
      </w:r>
    </w:p>
    <w:p w14:paraId="0769B38B" w14:textId="77777777" w:rsidR="0038384E" w:rsidRDefault="0038384E" w:rsidP="0038384E">
      <w:pPr>
        <w:rPr>
          <w:rFonts w:ascii="TimesNewRomanPSMT" w:hAnsi="TimesNewRomanPSMT" w:hint="eastAsia"/>
          <w:color w:val="000000"/>
          <w:sz w:val="20"/>
        </w:rPr>
      </w:pPr>
    </w:p>
    <w:p w14:paraId="7D199B8E" w14:textId="77777777" w:rsidR="0038384E" w:rsidRDefault="0038384E" w:rsidP="0038384E">
      <w:pPr>
        <w:rPr>
          <w:rFonts w:ascii="TimesNewRomanPSMT" w:hAnsi="TimesNewRomanPSMT" w:hint="eastAsia"/>
          <w:color w:val="000000"/>
          <w:sz w:val="20"/>
        </w:rPr>
      </w:pPr>
    </w:p>
    <w:p w14:paraId="54702128" w14:textId="77777777" w:rsidR="0038384E" w:rsidRDefault="0038384E" w:rsidP="0038384E">
      <w:pPr>
        <w:rPr>
          <w:rFonts w:eastAsia="Times New Roman"/>
          <w:color w:val="000000"/>
          <w:sz w:val="20"/>
        </w:rPr>
      </w:pPr>
      <w:proofErr w:type="spellStart"/>
      <w:r w:rsidRPr="00E8734F">
        <w:rPr>
          <w:rFonts w:eastAsia="Times New Roman"/>
          <w:color w:val="000000"/>
          <w:sz w:val="20"/>
          <w:highlight w:val="yellow"/>
        </w:rPr>
        <w:t>TGax</w:t>
      </w:r>
      <w:proofErr w:type="spellEnd"/>
      <w:r w:rsidRPr="00E8734F">
        <w:rPr>
          <w:rFonts w:eastAsia="Times New Roman"/>
          <w:color w:val="000000"/>
          <w:sz w:val="20"/>
          <w:highlight w:val="yellow"/>
        </w:rPr>
        <w:t xml:space="preserve"> Editor: Please modify </w:t>
      </w:r>
      <w:r>
        <w:rPr>
          <w:rFonts w:eastAsia="Times New Roman"/>
          <w:color w:val="000000"/>
          <w:sz w:val="20"/>
          <w:highlight w:val="yellow"/>
        </w:rPr>
        <w:t xml:space="preserve">this </w:t>
      </w:r>
      <w:r w:rsidRPr="00E8734F">
        <w:rPr>
          <w:rFonts w:eastAsia="Times New Roman"/>
          <w:color w:val="000000"/>
          <w:sz w:val="20"/>
          <w:highlight w:val="yellow"/>
        </w:rPr>
        <w:t>section as follows</w:t>
      </w:r>
      <w:r w:rsidRPr="00E8734F">
        <w:rPr>
          <w:rFonts w:eastAsia="Times New Roman"/>
          <w:color w:val="000000"/>
          <w:sz w:val="20"/>
        </w:rPr>
        <w:t>:</w:t>
      </w:r>
    </w:p>
    <w:p w14:paraId="73648437" w14:textId="77777777" w:rsidR="00CE5B6B" w:rsidRDefault="00CE5B6B" w:rsidP="0038384E">
      <w:pPr>
        <w:rPr>
          <w:b/>
          <w:bCs/>
          <w:sz w:val="20"/>
        </w:rPr>
      </w:pPr>
      <w:r>
        <w:rPr>
          <w:b/>
          <w:bCs/>
          <w:sz w:val="20"/>
        </w:rPr>
        <w:t xml:space="preserve">9.2.4.6.4.5 Buffer Status Report (BSR) </w:t>
      </w:r>
    </w:p>
    <w:p w14:paraId="754A2C5C" w14:textId="77777777" w:rsidR="00581C39" w:rsidRDefault="00CE5B6B" w:rsidP="0038384E">
      <w:pPr>
        <w:rPr>
          <w:sz w:val="20"/>
        </w:rPr>
      </w:pPr>
      <w:r>
        <w:rPr>
          <w:sz w:val="20"/>
        </w:rPr>
        <w:t>The Control Information subfield, when the Control ID subfield is 3, contains</w:t>
      </w:r>
      <w:r w:rsidR="00581C39" w:rsidRPr="00581C39">
        <w:rPr>
          <w:sz w:val="20"/>
        </w:rPr>
        <w:t xml:space="preserve"> </w:t>
      </w:r>
      <w:r w:rsidR="00581C39">
        <w:rPr>
          <w:sz w:val="20"/>
        </w:rPr>
        <w:t xml:space="preserve">buffer status information used for UL MU operation (see 27.5.2.5 (HE buffer status feedback operation for UL MU)). </w:t>
      </w:r>
    </w:p>
    <w:p w14:paraId="1A408A87" w14:textId="77777777" w:rsidR="00581C39" w:rsidRDefault="00581C39" w:rsidP="0038384E">
      <w:pPr>
        <w:rPr>
          <w:sz w:val="20"/>
        </w:rPr>
      </w:pPr>
    </w:p>
    <w:p w14:paraId="5305CF66" w14:textId="3994BDC2" w:rsidR="00CE5B6B" w:rsidRDefault="00581C39" w:rsidP="0038384E">
      <w:pPr>
        <w:rPr>
          <w:sz w:val="20"/>
        </w:rPr>
      </w:pPr>
      <w:r>
        <w:rPr>
          <w:sz w:val="20"/>
        </w:rPr>
        <w:t>The format of the Control Information subfield is defined in Figure 9-15f (Control Information subfield format when Control ID subfield is 3).</w:t>
      </w:r>
    </w:p>
    <w:p w14:paraId="794B5C19" w14:textId="77777777" w:rsidR="00CE5B6B" w:rsidRDefault="00CE5B6B" w:rsidP="0038384E">
      <w:pPr>
        <w:rPr>
          <w:sz w:val="20"/>
        </w:rPr>
      </w:pPr>
    </w:p>
    <w:tbl>
      <w:tblPr>
        <w:tblW w:w="8900" w:type="dxa"/>
        <w:jc w:val="center"/>
        <w:tblLayout w:type="fixed"/>
        <w:tblCellMar>
          <w:top w:w="120" w:type="dxa"/>
          <w:left w:w="120" w:type="dxa"/>
          <w:bottom w:w="60" w:type="dxa"/>
          <w:right w:w="120" w:type="dxa"/>
        </w:tblCellMar>
        <w:tblLook w:val="0000" w:firstRow="0" w:lastRow="0" w:firstColumn="0" w:lastColumn="0" w:noHBand="0" w:noVBand="0"/>
      </w:tblPr>
      <w:tblGrid>
        <w:gridCol w:w="660"/>
        <w:gridCol w:w="780"/>
        <w:gridCol w:w="720"/>
        <w:gridCol w:w="720"/>
        <w:gridCol w:w="810"/>
        <w:gridCol w:w="900"/>
        <w:gridCol w:w="260"/>
        <w:gridCol w:w="730"/>
        <w:gridCol w:w="80"/>
        <w:gridCol w:w="730"/>
        <w:gridCol w:w="80"/>
        <w:gridCol w:w="550"/>
        <w:gridCol w:w="260"/>
        <w:gridCol w:w="550"/>
        <w:gridCol w:w="260"/>
        <w:gridCol w:w="810"/>
      </w:tblGrid>
      <w:tr w:rsidR="000D2F1E" w14:paraId="030B9922" w14:textId="77777777" w:rsidTr="00AF71B3">
        <w:trPr>
          <w:gridAfter w:val="1"/>
          <w:wAfter w:w="810" w:type="dxa"/>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6C628682" w14:textId="77777777" w:rsidR="000D2F1E" w:rsidRDefault="000D2F1E" w:rsidP="00F01C17">
            <w:pPr>
              <w:pStyle w:val="figuretext"/>
            </w:pPr>
          </w:p>
        </w:tc>
        <w:tc>
          <w:tcPr>
            <w:tcW w:w="780" w:type="dxa"/>
            <w:tcBorders>
              <w:top w:val="nil"/>
              <w:left w:val="nil"/>
              <w:bottom w:val="nil"/>
              <w:right w:val="nil"/>
            </w:tcBorders>
            <w:tcMar>
              <w:top w:w="160" w:type="dxa"/>
              <w:left w:w="120" w:type="dxa"/>
              <w:bottom w:w="100" w:type="dxa"/>
              <w:right w:w="120" w:type="dxa"/>
            </w:tcMar>
            <w:vAlign w:val="center"/>
          </w:tcPr>
          <w:p w14:paraId="1ACF2D8D" w14:textId="777524B0" w:rsidR="000D2F1E" w:rsidRPr="00CE5B6B" w:rsidRDefault="000D2F1E" w:rsidP="002612B5">
            <w:pPr>
              <w:pStyle w:val="figuretext"/>
              <w:jc w:val="both"/>
              <w:rPr>
                <w:color w:val="auto"/>
              </w:rPr>
            </w:pPr>
            <w:r w:rsidRPr="00CE5B6B">
              <w:rPr>
                <w:color w:val="auto"/>
                <w:w w:val="100"/>
              </w:rPr>
              <w:t>B</w:t>
            </w:r>
            <w:r>
              <w:rPr>
                <w:color w:val="auto"/>
                <w:w w:val="100"/>
              </w:rPr>
              <w:t xml:space="preserve">0   B3      </w:t>
            </w:r>
          </w:p>
        </w:tc>
        <w:tc>
          <w:tcPr>
            <w:tcW w:w="720" w:type="dxa"/>
            <w:tcBorders>
              <w:top w:val="nil"/>
              <w:left w:val="nil"/>
              <w:bottom w:val="nil"/>
              <w:right w:val="nil"/>
            </w:tcBorders>
            <w:tcMar>
              <w:top w:w="160" w:type="dxa"/>
              <w:left w:w="120" w:type="dxa"/>
              <w:bottom w:w="100" w:type="dxa"/>
              <w:right w:w="120" w:type="dxa"/>
            </w:tcMar>
            <w:vAlign w:val="center"/>
          </w:tcPr>
          <w:p w14:paraId="19134BAC" w14:textId="7DDF9705" w:rsidR="000D2F1E" w:rsidRDefault="000D2F1E" w:rsidP="002612B5">
            <w:pPr>
              <w:pStyle w:val="figuretext"/>
              <w:jc w:val="both"/>
            </w:pPr>
            <w:r>
              <w:rPr>
                <w:w w:val="100"/>
              </w:rPr>
              <w:t xml:space="preserve">B4  B5    </w:t>
            </w:r>
          </w:p>
        </w:tc>
        <w:tc>
          <w:tcPr>
            <w:tcW w:w="720" w:type="dxa"/>
            <w:tcBorders>
              <w:top w:val="nil"/>
              <w:left w:val="nil"/>
              <w:bottom w:val="nil"/>
              <w:right w:val="nil"/>
            </w:tcBorders>
            <w:tcMar>
              <w:top w:w="160" w:type="dxa"/>
              <w:left w:w="120" w:type="dxa"/>
              <w:bottom w:w="100" w:type="dxa"/>
              <w:right w:w="120" w:type="dxa"/>
            </w:tcMar>
            <w:vAlign w:val="center"/>
          </w:tcPr>
          <w:p w14:paraId="144AC9F9" w14:textId="25868961" w:rsidR="000D2F1E" w:rsidRDefault="000D2F1E" w:rsidP="00F01C17">
            <w:pPr>
              <w:pStyle w:val="figuretext"/>
              <w:tabs>
                <w:tab w:val="right" w:pos="500"/>
              </w:tabs>
              <w:jc w:val="left"/>
            </w:pPr>
            <w:r>
              <w:rPr>
                <w:w w:val="100"/>
              </w:rPr>
              <w:t>B6</w:t>
            </w:r>
            <w:r>
              <w:rPr>
                <w:w w:val="100"/>
              </w:rPr>
              <w:tab/>
              <w:t>B7</w:t>
            </w:r>
          </w:p>
        </w:tc>
        <w:tc>
          <w:tcPr>
            <w:tcW w:w="810" w:type="dxa"/>
            <w:tcBorders>
              <w:top w:val="nil"/>
              <w:left w:val="nil"/>
              <w:bottom w:val="nil"/>
              <w:right w:val="nil"/>
            </w:tcBorders>
            <w:tcMar>
              <w:top w:w="160" w:type="dxa"/>
              <w:left w:w="120" w:type="dxa"/>
              <w:bottom w:w="100" w:type="dxa"/>
              <w:right w:w="120" w:type="dxa"/>
            </w:tcMar>
            <w:vAlign w:val="center"/>
          </w:tcPr>
          <w:p w14:paraId="143309AF" w14:textId="6B558609" w:rsidR="000D2F1E" w:rsidRDefault="000D2F1E" w:rsidP="002612B5">
            <w:pPr>
              <w:pStyle w:val="figuretext"/>
              <w:tabs>
                <w:tab w:val="right" w:pos="500"/>
              </w:tabs>
              <w:jc w:val="left"/>
            </w:pPr>
            <w:r>
              <w:rPr>
                <w:w w:val="100"/>
              </w:rPr>
              <w:t>B8   B9</w:t>
            </w:r>
          </w:p>
        </w:tc>
        <w:tc>
          <w:tcPr>
            <w:tcW w:w="900" w:type="dxa"/>
            <w:tcBorders>
              <w:top w:val="nil"/>
              <w:left w:val="nil"/>
              <w:bottom w:val="nil"/>
              <w:right w:val="nil"/>
            </w:tcBorders>
            <w:tcMar>
              <w:top w:w="160" w:type="dxa"/>
              <w:left w:w="120" w:type="dxa"/>
              <w:bottom w:w="100" w:type="dxa"/>
              <w:right w:w="120" w:type="dxa"/>
            </w:tcMar>
            <w:vAlign w:val="center"/>
          </w:tcPr>
          <w:p w14:paraId="05074935" w14:textId="57F7A930" w:rsidR="000D2F1E" w:rsidRDefault="000D2F1E" w:rsidP="002612B5">
            <w:pPr>
              <w:pStyle w:val="figuretext"/>
              <w:tabs>
                <w:tab w:val="right" w:pos="600"/>
              </w:tabs>
              <w:jc w:val="left"/>
            </w:pPr>
            <w:r>
              <w:rPr>
                <w:w w:val="100"/>
              </w:rPr>
              <w:t>B10  B17</w:t>
            </w:r>
          </w:p>
        </w:tc>
        <w:tc>
          <w:tcPr>
            <w:tcW w:w="990" w:type="dxa"/>
            <w:gridSpan w:val="2"/>
            <w:tcBorders>
              <w:top w:val="nil"/>
              <w:left w:val="nil"/>
              <w:bottom w:val="nil"/>
              <w:right w:val="nil"/>
            </w:tcBorders>
          </w:tcPr>
          <w:p w14:paraId="78CC5EC0" w14:textId="08DD3686" w:rsidR="000D2F1E" w:rsidRDefault="000D2F1E" w:rsidP="00D053A2">
            <w:pPr>
              <w:pStyle w:val="figuretext"/>
              <w:jc w:val="both"/>
              <w:rPr>
                <w:w w:val="100"/>
              </w:rPr>
            </w:pPr>
            <w:r>
              <w:rPr>
                <w:w w:val="100"/>
              </w:rPr>
              <w:t>B18  B25</w:t>
            </w:r>
          </w:p>
        </w:tc>
        <w:tc>
          <w:tcPr>
            <w:tcW w:w="810" w:type="dxa"/>
            <w:gridSpan w:val="2"/>
            <w:tcBorders>
              <w:top w:val="nil"/>
              <w:left w:val="nil"/>
              <w:bottom w:val="nil"/>
              <w:right w:val="nil"/>
            </w:tcBorders>
          </w:tcPr>
          <w:p w14:paraId="535BD82C" w14:textId="28E8A32C" w:rsidR="000D2F1E" w:rsidRPr="004D5B52" w:rsidRDefault="000D2F1E" w:rsidP="002612B5">
            <w:pPr>
              <w:pStyle w:val="figuretext"/>
              <w:jc w:val="both"/>
              <w:rPr>
                <w:w w:val="100"/>
                <w:u w:val="single"/>
              </w:rPr>
            </w:pPr>
            <w:r w:rsidRPr="004D5B52">
              <w:rPr>
                <w:w w:val="100"/>
                <w:u w:val="single"/>
              </w:rPr>
              <w:t>B26</w:t>
            </w:r>
          </w:p>
        </w:tc>
        <w:tc>
          <w:tcPr>
            <w:tcW w:w="630" w:type="dxa"/>
            <w:gridSpan w:val="2"/>
            <w:tcBorders>
              <w:top w:val="nil"/>
              <w:left w:val="nil"/>
              <w:bottom w:val="nil"/>
              <w:right w:val="nil"/>
            </w:tcBorders>
          </w:tcPr>
          <w:p w14:paraId="0580E389" w14:textId="7FC89BDB" w:rsidR="000D2F1E" w:rsidRPr="004D5B52" w:rsidRDefault="000D2F1E" w:rsidP="002612B5">
            <w:pPr>
              <w:pStyle w:val="figuretext"/>
              <w:jc w:val="both"/>
              <w:rPr>
                <w:w w:val="100"/>
                <w:u w:val="single"/>
              </w:rPr>
            </w:pPr>
            <w:r w:rsidRPr="004D5B52">
              <w:rPr>
                <w:w w:val="100"/>
                <w:u w:val="single"/>
              </w:rPr>
              <w:t>B27</w:t>
            </w:r>
          </w:p>
        </w:tc>
        <w:tc>
          <w:tcPr>
            <w:tcW w:w="1070" w:type="dxa"/>
            <w:gridSpan w:val="3"/>
            <w:tcBorders>
              <w:top w:val="nil"/>
              <w:left w:val="nil"/>
              <w:bottom w:val="nil"/>
              <w:right w:val="nil"/>
            </w:tcBorders>
          </w:tcPr>
          <w:p w14:paraId="38FF2BBA" w14:textId="15C5D21A" w:rsidR="000D2F1E" w:rsidRDefault="000D2F1E" w:rsidP="002612B5">
            <w:pPr>
              <w:pStyle w:val="figuretext"/>
              <w:jc w:val="both"/>
              <w:rPr>
                <w:w w:val="100"/>
              </w:rPr>
            </w:pPr>
            <w:r w:rsidRPr="004D5B52">
              <w:rPr>
                <w:w w:val="100"/>
                <w:u w:val="single"/>
              </w:rPr>
              <w:t>B28</w:t>
            </w:r>
          </w:p>
        </w:tc>
      </w:tr>
      <w:tr w:rsidR="000D2F1E" w14:paraId="630B2593" w14:textId="37904AEA" w:rsidTr="000D2F1E">
        <w:trPr>
          <w:gridAfter w:val="2"/>
          <w:wAfter w:w="1070" w:type="dxa"/>
          <w:trHeight w:val="560"/>
          <w:jc w:val="center"/>
        </w:trPr>
        <w:tc>
          <w:tcPr>
            <w:tcW w:w="660" w:type="dxa"/>
            <w:tcBorders>
              <w:top w:val="nil"/>
              <w:left w:val="nil"/>
              <w:bottom w:val="nil"/>
              <w:right w:val="nil"/>
            </w:tcBorders>
            <w:tcMar>
              <w:top w:w="160" w:type="dxa"/>
              <w:left w:w="120" w:type="dxa"/>
              <w:bottom w:w="100" w:type="dxa"/>
              <w:right w:w="120" w:type="dxa"/>
            </w:tcMar>
            <w:vAlign w:val="center"/>
          </w:tcPr>
          <w:p w14:paraId="6EFE6B3D" w14:textId="77777777" w:rsidR="000D2F1E" w:rsidRDefault="000D2F1E" w:rsidP="000D2F1E">
            <w:pPr>
              <w:pStyle w:val="figuretext"/>
            </w:pPr>
          </w:p>
        </w:tc>
        <w:tc>
          <w:tcPr>
            <w:tcW w:w="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6504B7" w14:textId="3A822B32" w:rsidR="000D2F1E" w:rsidRPr="00CE5B6B" w:rsidRDefault="000D2F1E" w:rsidP="000D2F1E">
            <w:pPr>
              <w:pStyle w:val="figuretext"/>
              <w:rPr>
                <w:color w:val="auto"/>
                <w:w w:val="100"/>
              </w:rPr>
            </w:pPr>
            <w:r>
              <w:t>ACI Bitmap</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72AD23" w14:textId="199ED3C0" w:rsidR="000D2F1E" w:rsidRDefault="000D2F1E" w:rsidP="000D2F1E">
            <w:pPr>
              <w:pStyle w:val="figuretext"/>
            </w:pPr>
            <w:r>
              <w:t>Delta TID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68C439" w14:textId="31CC8549" w:rsidR="000D2F1E" w:rsidRDefault="000D2F1E" w:rsidP="000D2F1E">
            <w:pPr>
              <w:pStyle w:val="figuretext"/>
            </w:pPr>
            <w:r>
              <w:t>ACI High</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3C9480" w14:textId="4783688B" w:rsidR="000D2F1E" w:rsidRDefault="000D2F1E" w:rsidP="000D2F1E">
            <w:pPr>
              <w:pStyle w:val="figuretext"/>
            </w:pPr>
            <w:r>
              <w:t>Scaling Factor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619CB84" w14:textId="4723E0CD" w:rsidR="000D2F1E" w:rsidRDefault="000D2F1E" w:rsidP="000D2F1E">
            <w:pPr>
              <w:pStyle w:val="figuretext"/>
            </w:pPr>
            <w:r>
              <w:t>Queue Size High</w:t>
            </w:r>
          </w:p>
        </w:tc>
        <w:tc>
          <w:tcPr>
            <w:tcW w:w="99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BFBF13" w14:textId="3D297B51" w:rsidR="000D2F1E" w:rsidRDefault="000D2F1E" w:rsidP="000D2F1E">
            <w:pPr>
              <w:pStyle w:val="figuretext"/>
            </w:pPr>
            <w:r>
              <w:t>Queue Size All</w:t>
            </w:r>
          </w:p>
        </w:tc>
        <w:tc>
          <w:tcPr>
            <w:tcW w:w="81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11E1AA" w14:textId="4FF1D4DD" w:rsidR="000D2F1E" w:rsidRPr="00D053A2" w:rsidRDefault="000D2F1E" w:rsidP="000D2F1E">
            <w:pPr>
              <w:pStyle w:val="figuretext"/>
              <w:rPr>
                <w:u w:val="single"/>
              </w:rPr>
            </w:pPr>
            <w:r w:rsidRPr="00D053A2">
              <w:rPr>
                <w:u w:val="single"/>
              </w:rPr>
              <w:t>Latency</w:t>
            </w:r>
          </w:p>
        </w:tc>
        <w:tc>
          <w:tcPr>
            <w:tcW w:w="630" w:type="dxa"/>
            <w:gridSpan w:val="2"/>
            <w:tcBorders>
              <w:top w:val="single" w:sz="10" w:space="0" w:color="000000"/>
              <w:left w:val="single" w:sz="10" w:space="0" w:color="000000"/>
              <w:bottom w:val="single" w:sz="10" w:space="0" w:color="000000"/>
              <w:right w:val="single" w:sz="10" w:space="0" w:color="000000"/>
            </w:tcBorders>
          </w:tcPr>
          <w:p w14:paraId="0247731C" w14:textId="5A64DB94" w:rsidR="000D2F1E" w:rsidRPr="00D053A2" w:rsidRDefault="000D2F1E" w:rsidP="000D2F1E">
            <w:pPr>
              <w:pStyle w:val="figuretext"/>
              <w:rPr>
                <w:u w:val="single"/>
              </w:rPr>
            </w:pPr>
            <w:r>
              <w:rPr>
                <w:u w:val="single"/>
              </w:rPr>
              <w:t>J</w:t>
            </w:r>
            <w:r w:rsidRPr="00D053A2">
              <w:rPr>
                <w:u w:val="single"/>
              </w:rPr>
              <w:t>itter</w:t>
            </w:r>
          </w:p>
        </w:tc>
        <w:tc>
          <w:tcPr>
            <w:tcW w:w="810" w:type="dxa"/>
            <w:gridSpan w:val="2"/>
            <w:tcBorders>
              <w:top w:val="single" w:sz="10" w:space="0" w:color="000000"/>
              <w:left w:val="single" w:sz="10" w:space="0" w:color="000000"/>
              <w:bottom w:val="single" w:sz="10" w:space="0" w:color="000000"/>
              <w:right w:val="single" w:sz="10" w:space="0" w:color="000000"/>
            </w:tcBorders>
          </w:tcPr>
          <w:p w14:paraId="7353F19B" w14:textId="77777777" w:rsidR="000D2F1E" w:rsidRPr="00D053A2" w:rsidRDefault="000D2F1E" w:rsidP="000D2F1E">
            <w:pPr>
              <w:pStyle w:val="figuretext"/>
              <w:rPr>
                <w:u w:val="single"/>
              </w:rPr>
            </w:pPr>
            <w:r w:rsidRPr="00D053A2">
              <w:rPr>
                <w:u w:val="single"/>
              </w:rPr>
              <w:t>Low</w:t>
            </w:r>
          </w:p>
          <w:p w14:paraId="49E546DE" w14:textId="7668C496" w:rsidR="000D2F1E" w:rsidRPr="00D053A2" w:rsidRDefault="000D2F1E" w:rsidP="000D2F1E">
            <w:pPr>
              <w:pStyle w:val="figuretext"/>
              <w:rPr>
                <w:u w:val="single"/>
              </w:rPr>
            </w:pPr>
            <w:r w:rsidRPr="00D053A2">
              <w:rPr>
                <w:u w:val="single"/>
              </w:rPr>
              <w:t>Battery</w:t>
            </w:r>
          </w:p>
        </w:tc>
      </w:tr>
      <w:tr w:rsidR="000D2F1E" w14:paraId="0DEC1CF3" w14:textId="6A320E18" w:rsidTr="00223E37">
        <w:trPr>
          <w:trHeight w:val="400"/>
          <w:jc w:val="center"/>
        </w:trPr>
        <w:tc>
          <w:tcPr>
            <w:tcW w:w="660" w:type="dxa"/>
            <w:tcBorders>
              <w:top w:val="nil"/>
              <w:left w:val="nil"/>
              <w:bottom w:val="nil"/>
              <w:right w:val="nil"/>
            </w:tcBorders>
            <w:tcMar>
              <w:top w:w="160" w:type="dxa"/>
              <w:left w:w="120" w:type="dxa"/>
              <w:bottom w:w="100" w:type="dxa"/>
              <w:right w:w="120" w:type="dxa"/>
            </w:tcMar>
            <w:vAlign w:val="center"/>
          </w:tcPr>
          <w:p w14:paraId="3DAD6B0B" w14:textId="449068F2" w:rsidR="000D2F1E" w:rsidRDefault="000D2F1E" w:rsidP="000D2F1E">
            <w:pPr>
              <w:pStyle w:val="figuretext"/>
            </w:pPr>
            <w:r>
              <w:rPr>
                <w:w w:val="100"/>
              </w:rPr>
              <w:t>Bits:</w:t>
            </w:r>
          </w:p>
        </w:tc>
        <w:tc>
          <w:tcPr>
            <w:tcW w:w="780" w:type="dxa"/>
            <w:tcBorders>
              <w:top w:val="nil"/>
              <w:left w:val="nil"/>
              <w:bottom w:val="nil"/>
              <w:right w:val="nil"/>
            </w:tcBorders>
            <w:tcMar>
              <w:top w:w="160" w:type="dxa"/>
              <w:left w:w="120" w:type="dxa"/>
              <w:bottom w:w="100" w:type="dxa"/>
              <w:right w:w="120" w:type="dxa"/>
            </w:tcMar>
            <w:vAlign w:val="center"/>
          </w:tcPr>
          <w:p w14:paraId="40F05B64" w14:textId="7C433124" w:rsidR="000D2F1E" w:rsidRPr="00CE5B6B" w:rsidRDefault="000D2F1E" w:rsidP="000D2F1E">
            <w:pPr>
              <w:pStyle w:val="figuretext"/>
              <w:rPr>
                <w:color w:val="auto"/>
              </w:rPr>
            </w:pPr>
            <w:r>
              <w:rPr>
                <w:color w:val="auto"/>
                <w:w w:val="100"/>
              </w:rPr>
              <w:t>4</w:t>
            </w:r>
          </w:p>
        </w:tc>
        <w:tc>
          <w:tcPr>
            <w:tcW w:w="720" w:type="dxa"/>
            <w:tcBorders>
              <w:top w:val="nil"/>
              <w:left w:val="nil"/>
              <w:bottom w:val="nil"/>
              <w:right w:val="nil"/>
            </w:tcBorders>
            <w:tcMar>
              <w:top w:w="160" w:type="dxa"/>
              <w:left w:w="120" w:type="dxa"/>
              <w:bottom w:w="100" w:type="dxa"/>
              <w:right w:w="120" w:type="dxa"/>
            </w:tcMar>
            <w:vAlign w:val="center"/>
          </w:tcPr>
          <w:p w14:paraId="5FEECF5D" w14:textId="15274870" w:rsidR="000D2F1E" w:rsidRDefault="000D2F1E" w:rsidP="000D2F1E">
            <w:pPr>
              <w:pStyle w:val="figuretext"/>
            </w:pPr>
            <w:r>
              <w:t>2</w:t>
            </w:r>
          </w:p>
        </w:tc>
        <w:tc>
          <w:tcPr>
            <w:tcW w:w="720" w:type="dxa"/>
            <w:tcBorders>
              <w:top w:val="nil"/>
              <w:left w:val="nil"/>
              <w:bottom w:val="nil"/>
              <w:right w:val="nil"/>
            </w:tcBorders>
            <w:tcMar>
              <w:top w:w="160" w:type="dxa"/>
              <w:left w:w="120" w:type="dxa"/>
              <w:bottom w:w="100" w:type="dxa"/>
              <w:right w:w="120" w:type="dxa"/>
            </w:tcMar>
            <w:vAlign w:val="center"/>
          </w:tcPr>
          <w:p w14:paraId="6795F9ED" w14:textId="5DEDA244" w:rsidR="000D2F1E" w:rsidRDefault="000D2F1E" w:rsidP="000D2F1E">
            <w:pPr>
              <w:pStyle w:val="figuretext"/>
            </w:pPr>
            <w:r>
              <w:t>2</w:t>
            </w:r>
          </w:p>
        </w:tc>
        <w:tc>
          <w:tcPr>
            <w:tcW w:w="810" w:type="dxa"/>
            <w:tcBorders>
              <w:top w:val="nil"/>
              <w:left w:val="nil"/>
              <w:bottom w:val="nil"/>
              <w:right w:val="nil"/>
            </w:tcBorders>
            <w:tcMar>
              <w:top w:w="160" w:type="dxa"/>
              <w:left w:w="120" w:type="dxa"/>
              <w:bottom w:w="100" w:type="dxa"/>
              <w:right w:w="120" w:type="dxa"/>
            </w:tcMar>
            <w:vAlign w:val="center"/>
          </w:tcPr>
          <w:p w14:paraId="7FA1DC73" w14:textId="3F798262" w:rsidR="000D2F1E" w:rsidRDefault="000D2F1E" w:rsidP="000D2F1E">
            <w:pPr>
              <w:pStyle w:val="figuretext"/>
            </w:pPr>
            <w:r>
              <w:rPr>
                <w:w w:val="100"/>
              </w:rPr>
              <w:t>2</w:t>
            </w:r>
          </w:p>
        </w:tc>
        <w:tc>
          <w:tcPr>
            <w:tcW w:w="900" w:type="dxa"/>
            <w:tcBorders>
              <w:top w:val="nil"/>
              <w:left w:val="nil"/>
              <w:bottom w:val="nil"/>
              <w:right w:val="nil"/>
            </w:tcBorders>
            <w:tcMar>
              <w:top w:w="160" w:type="dxa"/>
              <w:left w:w="120" w:type="dxa"/>
              <w:bottom w:w="100" w:type="dxa"/>
              <w:right w:w="120" w:type="dxa"/>
            </w:tcMar>
            <w:vAlign w:val="center"/>
          </w:tcPr>
          <w:p w14:paraId="7F93226E" w14:textId="4E5DE41E" w:rsidR="000D2F1E" w:rsidRDefault="000D2F1E" w:rsidP="000D2F1E">
            <w:pPr>
              <w:pStyle w:val="figuretext"/>
            </w:pPr>
            <w:r>
              <w:rPr>
                <w:w w:val="100"/>
              </w:rPr>
              <w:t>8</w:t>
            </w:r>
          </w:p>
        </w:tc>
        <w:tc>
          <w:tcPr>
            <w:tcW w:w="260" w:type="dxa"/>
            <w:tcBorders>
              <w:top w:val="nil"/>
              <w:left w:val="nil"/>
              <w:bottom w:val="nil"/>
              <w:right w:val="nil"/>
            </w:tcBorders>
          </w:tcPr>
          <w:p w14:paraId="39B4EE52" w14:textId="77777777" w:rsidR="000D2F1E" w:rsidRDefault="000D2F1E" w:rsidP="000D2F1E">
            <w:pPr>
              <w:pStyle w:val="figuretext"/>
              <w:jc w:val="both"/>
              <w:rPr>
                <w:w w:val="100"/>
              </w:rPr>
            </w:pPr>
          </w:p>
        </w:tc>
        <w:tc>
          <w:tcPr>
            <w:tcW w:w="810" w:type="dxa"/>
            <w:gridSpan w:val="2"/>
            <w:tcBorders>
              <w:top w:val="nil"/>
              <w:left w:val="nil"/>
              <w:bottom w:val="nil"/>
              <w:right w:val="nil"/>
            </w:tcBorders>
          </w:tcPr>
          <w:p w14:paraId="7D92A85F" w14:textId="5DD4ECDA" w:rsidR="000D2F1E" w:rsidRDefault="000D2F1E" w:rsidP="000D2F1E">
            <w:pPr>
              <w:pStyle w:val="figuretext"/>
              <w:jc w:val="both"/>
              <w:rPr>
                <w:w w:val="100"/>
              </w:rPr>
            </w:pPr>
            <w:r>
              <w:rPr>
                <w:w w:val="100"/>
              </w:rPr>
              <w:t>8</w:t>
            </w:r>
          </w:p>
        </w:tc>
        <w:tc>
          <w:tcPr>
            <w:tcW w:w="810" w:type="dxa"/>
            <w:gridSpan w:val="2"/>
            <w:tcBorders>
              <w:top w:val="nil"/>
              <w:left w:val="nil"/>
              <w:bottom w:val="nil"/>
              <w:right w:val="nil"/>
            </w:tcBorders>
          </w:tcPr>
          <w:p w14:paraId="7E523CD8" w14:textId="66269119" w:rsidR="000D2F1E" w:rsidRPr="004D5B52" w:rsidRDefault="000D2F1E" w:rsidP="000D2F1E">
            <w:pPr>
              <w:pStyle w:val="figuretext"/>
              <w:jc w:val="both"/>
              <w:rPr>
                <w:w w:val="100"/>
                <w:u w:val="single"/>
              </w:rPr>
            </w:pPr>
            <w:r w:rsidRPr="004D5B52">
              <w:rPr>
                <w:w w:val="100"/>
                <w:u w:val="single"/>
              </w:rPr>
              <w:t xml:space="preserve">1                 </w:t>
            </w:r>
          </w:p>
        </w:tc>
        <w:tc>
          <w:tcPr>
            <w:tcW w:w="810" w:type="dxa"/>
            <w:gridSpan w:val="2"/>
            <w:tcBorders>
              <w:top w:val="nil"/>
              <w:left w:val="nil"/>
              <w:bottom w:val="nil"/>
              <w:right w:val="nil"/>
            </w:tcBorders>
          </w:tcPr>
          <w:p w14:paraId="6FB2E7D0" w14:textId="7FC9185B" w:rsidR="000D2F1E" w:rsidRPr="004D5B52" w:rsidRDefault="000D2F1E" w:rsidP="000D2F1E">
            <w:pPr>
              <w:pStyle w:val="figuretext"/>
              <w:jc w:val="both"/>
              <w:rPr>
                <w:w w:val="100"/>
                <w:u w:val="single"/>
              </w:rPr>
            </w:pPr>
            <w:r w:rsidRPr="004D5B52">
              <w:rPr>
                <w:w w:val="100"/>
                <w:u w:val="single"/>
              </w:rPr>
              <w:t>1</w:t>
            </w:r>
          </w:p>
        </w:tc>
        <w:tc>
          <w:tcPr>
            <w:tcW w:w="1620" w:type="dxa"/>
            <w:gridSpan w:val="3"/>
            <w:tcBorders>
              <w:top w:val="nil"/>
              <w:left w:val="nil"/>
              <w:bottom w:val="nil"/>
            </w:tcBorders>
          </w:tcPr>
          <w:p w14:paraId="1D53AF00" w14:textId="2E6D4547" w:rsidR="000D2F1E" w:rsidRDefault="000D2F1E" w:rsidP="000D2F1E">
            <w:pPr>
              <w:pStyle w:val="figuretext"/>
              <w:jc w:val="both"/>
            </w:pPr>
            <w:r w:rsidRPr="004D5B52">
              <w:rPr>
                <w:w w:val="100"/>
                <w:u w:val="single"/>
              </w:rPr>
              <w:t>1</w:t>
            </w:r>
          </w:p>
        </w:tc>
      </w:tr>
    </w:tbl>
    <w:p w14:paraId="5DB418B1" w14:textId="47E1E971" w:rsidR="00CE5B6B" w:rsidRDefault="00CE5B6B" w:rsidP="0038384E">
      <w:pPr>
        <w:rPr>
          <w:sz w:val="16"/>
          <w:szCs w:val="16"/>
        </w:rPr>
      </w:pPr>
    </w:p>
    <w:p w14:paraId="1EEA1560" w14:textId="61679460" w:rsidR="00CE5B6B" w:rsidRDefault="00CE5B6B" w:rsidP="0038384E">
      <w:pPr>
        <w:rPr>
          <w:sz w:val="20"/>
        </w:rPr>
      </w:pPr>
      <w:r>
        <w:rPr>
          <w:b/>
          <w:bCs/>
          <w:sz w:val="20"/>
        </w:rPr>
        <w:t>Figure 9-15f—Control Information subfield format when Control ID subfield is 3</w:t>
      </w:r>
    </w:p>
    <w:p w14:paraId="243C2525" w14:textId="77777777" w:rsidR="00CE5B6B" w:rsidRDefault="00CE5B6B" w:rsidP="0038384E">
      <w:pPr>
        <w:rPr>
          <w:sz w:val="20"/>
        </w:rPr>
      </w:pPr>
    </w:p>
    <w:p w14:paraId="2B83F308" w14:textId="77777777" w:rsidR="00D053A2" w:rsidRDefault="00D053A2" w:rsidP="0038384E">
      <w:pPr>
        <w:rPr>
          <w:sz w:val="20"/>
        </w:rPr>
      </w:pPr>
    </w:p>
    <w:p w14:paraId="000F3687" w14:textId="35C0C896" w:rsidR="00D053A2" w:rsidRDefault="00D053A2" w:rsidP="0038384E">
      <w:pPr>
        <w:rPr>
          <w:sz w:val="20"/>
        </w:rPr>
      </w:pPr>
      <w:r>
        <w:rPr>
          <w:sz w:val="20"/>
        </w:rPr>
        <w:t xml:space="preserve">…If a </w:t>
      </w:r>
      <w:proofErr w:type="spellStart"/>
      <w:r>
        <w:rPr>
          <w:sz w:val="20"/>
        </w:rPr>
        <w:t>QoS</w:t>
      </w:r>
      <w:proofErr w:type="spellEnd"/>
      <w:r>
        <w:rPr>
          <w:sz w:val="20"/>
        </w:rPr>
        <w:t xml:space="preserve"> Data frame is fragmented and is carried in an A-MPDU, the queue size values are set according to the rules in 10.9 (HT operation).</w:t>
      </w:r>
    </w:p>
    <w:p w14:paraId="6BA63BA1" w14:textId="77777777" w:rsidR="00D053A2" w:rsidRDefault="00D053A2" w:rsidP="0038384E">
      <w:pPr>
        <w:rPr>
          <w:sz w:val="20"/>
        </w:rPr>
      </w:pPr>
    </w:p>
    <w:p w14:paraId="634A7324" w14:textId="250BC0A0" w:rsidR="00D053A2" w:rsidRPr="00581C39" w:rsidRDefault="00D053A2" w:rsidP="0038384E">
      <w:pPr>
        <w:rPr>
          <w:sz w:val="20"/>
          <w:u w:val="single"/>
        </w:rPr>
      </w:pPr>
      <w:r w:rsidRPr="00581C39">
        <w:rPr>
          <w:sz w:val="20"/>
          <w:u w:val="single"/>
        </w:rPr>
        <w:t xml:space="preserve">The Latency subfield indicates when buffered traffic in a queue has exceeded 20 </w:t>
      </w:r>
      <w:proofErr w:type="spellStart"/>
      <w:proofErr w:type="gramStart"/>
      <w:r w:rsidRPr="00581C39">
        <w:rPr>
          <w:sz w:val="20"/>
          <w:u w:val="single"/>
        </w:rPr>
        <w:t>ms</w:t>
      </w:r>
      <w:proofErr w:type="spellEnd"/>
      <w:proofErr w:type="gramEnd"/>
      <w:r w:rsidRPr="00581C39">
        <w:rPr>
          <w:sz w:val="20"/>
          <w:u w:val="single"/>
        </w:rPr>
        <w:t>. The value is set to 1</w:t>
      </w:r>
      <w:r w:rsidR="004D5B52" w:rsidRPr="00581C39">
        <w:rPr>
          <w:sz w:val="20"/>
          <w:u w:val="single"/>
        </w:rPr>
        <w:t xml:space="preserve"> to indicate excessive latency, 0 otherwise.</w:t>
      </w:r>
    </w:p>
    <w:p w14:paraId="3269C652" w14:textId="77777777" w:rsidR="00CE5B6B" w:rsidRPr="00581C39" w:rsidRDefault="00CE5B6B" w:rsidP="0038384E">
      <w:pPr>
        <w:rPr>
          <w:sz w:val="20"/>
          <w:u w:val="single"/>
        </w:rPr>
      </w:pPr>
    </w:p>
    <w:p w14:paraId="6C15DF01" w14:textId="34DEFF67" w:rsidR="004D5B52" w:rsidRPr="00581C39" w:rsidRDefault="00D053A2" w:rsidP="004D5B52">
      <w:pPr>
        <w:rPr>
          <w:sz w:val="20"/>
          <w:u w:val="single"/>
        </w:rPr>
      </w:pPr>
      <w:r w:rsidRPr="00581C39">
        <w:rPr>
          <w:sz w:val="20"/>
          <w:u w:val="single"/>
        </w:rPr>
        <w:t xml:space="preserve">The Jitter subfield indicates when </w:t>
      </w:r>
      <w:r w:rsidR="00CA2907">
        <w:rPr>
          <w:sz w:val="20"/>
          <w:u w:val="single"/>
        </w:rPr>
        <w:t>the STA has a traffic flow</w:t>
      </w:r>
      <w:r w:rsidRPr="00581C39">
        <w:rPr>
          <w:sz w:val="20"/>
          <w:u w:val="single"/>
        </w:rPr>
        <w:t xml:space="preserve"> </w:t>
      </w:r>
      <w:r w:rsidR="00CA2907">
        <w:rPr>
          <w:sz w:val="20"/>
          <w:u w:val="single"/>
        </w:rPr>
        <w:t xml:space="preserve">with jitter that </w:t>
      </w:r>
      <w:r w:rsidRPr="00581C39">
        <w:rPr>
          <w:sz w:val="20"/>
          <w:u w:val="single"/>
        </w:rPr>
        <w:t xml:space="preserve">has exceeded 5 </w:t>
      </w:r>
      <w:proofErr w:type="spellStart"/>
      <w:proofErr w:type="gramStart"/>
      <w:r w:rsidRPr="00581C39">
        <w:rPr>
          <w:sz w:val="20"/>
          <w:u w:val="single"/>
        </w:rPr>
        <w:t>ms</w:t>
      </w:r>
      <w:proofErr w:type="spellEnd"/>
      <w:proofErr w:type="gramEnd"/>
      <w:r w:rsidRPr="00581C39">
        <w:rPr>
          <w:sz w:val="20"/>
          <w:u w:val="single"/>
        </w:rPr>
        <w:t xml:space="preserve">. </w:t>
      </w:r>
      <w:r w:rsidR="004D5B52" w:rsidRPr="00581C39">
        <w:rPr>
          <w:sz w:val="20"/>
          <w:u w:val="single"/>
        </w:rPr>
        <w:t>The value is set to 1 to indicate excessive jitter, 0 otherwise.</w:t>
      </w:r>
    </w:p>
    <w:p w14:paraId="2951778C" w14:textId="4A1C282F" w:rsidR="00D053A2" w:rsidRPr="00581C39" w:rsidRDefault="00D053A2" w:rsidP="00D053A2">
      <w:pPr>
        <w:rPr>
          <w:sz w:val="20"/>
          <w:u w:val="single"/>
        </w:rPr>
      </w:pPr>
    </w:p>
    <w:p w14:paraId="1F8F8811" w14:textId="385ED39B" w:rsidR="004D5B52" w:rsidRPr="00581C39" w:rsidRDefault="004D5B52" w:rsidP="004D5B52">
      <w:pPr>
        <w:rPr>
          <w:sz w:val="20"/>
          <w:u w:val="single"/>
        </w:rPr>
      </w:pPr>
      <w:r w:rsidRPr="00581C39">
        <w:rPr>
          <w:sz w:val="20"/>
          <w:u w:val="single"/>
        </w:rPr>
        <w:t>The Low Battery subfield indicates when a battery power STA is in a low battery state.  The value is set to 1 to indicate low battery state, 0 otherwise.</w:t>
      </w:r>
    </w:p>
    <w:p w14:paraId="0B9276B3" w14:textId="2D047880" w:rsidR="004D5B52" w:rsidRDefault="004D5B52" w:rsidP="00D053A2">
      <w:pPr>
        <w:rPr>
          <w:sz w:val="20"/>
        </w:rPr>
      </w:pPr>
    </w:p>
    <w:sectPr w:rsidR="004D5B52"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ACAB1" w14:textId="77777777" w:rsidR="00DE7D34" w:rsidRDefault="00DE7D34">
      <w:r>
        <w:separator/>
      </w:r>
    </w:p>
  </w:endnote>
  <w:endnote w:type="continuationSeparator" w:id="0">
    <w:p w14:paraId="43E40D22" w14:textId="77777777" w:rsidR="00DE7D34" w:rsidRDefault="00DE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97165D2" w:rsidR="004E70CC" w:rsidRDefault="00DE7D34">
    <w:pPr>
      <w:pStyle w:val="Footer"/>
      <w:tabs>
        <w:tab w:val="clear" w:pos="6480"/>
        <w:tab w:val="center" w:pos="4680"/>
        <w:tab w:val="right" w:pos="9360"/>
      </w:tabs>
    </w:pPr>
    <w:r>
      <w:fldChar w:fldCharType="begin"/>
    </w:r>
    <w:r>
      <w:instrText xml:space="preserve"> SUBJECT  \* MERGEFORMAT </w:instrText>
    </w:r>
    <w:r>
      <w:fldChar w:fldCharType="separate"/>
    </w:r>
    <w:r w:rsidR="004E70CC">
      <w:t>Submission</w:t>
    </w:r>
    <w:r>
      <w:fldChar w:fldCharType="end"/>
    </w:r>
    <w:r w:rsidR="004E70CC">
      <w:tab/>
      <w:t xml:space="preserve">page </w:t>
    </w:r>
    <w:r w:rsidR="004E70CC">
      <w:fldChar w:fldCharType="begin"/>
    </w:r>
    <w:r w:rsidR="004E70CC">
      <w:instrText xml:space="preserve">page </w:instrText>
    </w:r>
    <w:r w:rsidR="004E70CC">
      <w:fldChar w:fldCharType="separate"/>
    </w:r>
    <w:r w:rsidR="00093C4C">
      <w:rPr>
        <w:noProof/>
      </w:rPr>
      <w:t>3</w:t>
    </w:r>
    <w:r w:rsidR="004E70CC">
      <w:rPr>
        <w:noProof/>
      </w:rPr>
      <w:fldChar w:fldCharType="end"/>
    </w:r>
    <w:r w:rsidR="004E70CC">
      <w:tab/>
    </w:r>
    <w:r>
      <w:fldChar w:fldCharType="begin"/>
    </w:r>
    <w:r>
      <w:instrText xml:space="preserve"> COMMENTS  \* MERGEFORMAT </w:instrText>
    </w:r>
    <w:r>
      <w:fldChar w:fldCharType="separate"/>
    </w:r>
    <w:r w:rsidR="006E0FE2">
      <w:t>Eldad Perahia</w:t>
    </w:r>
    <w:r w:rsidR="004E70CC">
      <w:t xml:space="preserve"> (</w:t>
    </w:r>
    <w:r w:rsidR="006E0FE2">
      <w:t>HPE-Aruba</w:t>
    </w:r>
    <w:r w:rsidR="004E70CC">
      <w:t>)</w:t>
    </w:r>
    <w:r>
      <w:fldChar w:fldCharType="end"/>
    </w:r>
  </w:p>
  <w:p w14:paraId="32CB0861" w14:textId="77777777" w:rsidR="004E70CC" w:rsidRDefault="004E70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C9639" w14:textId="77777777" w:rsidR="00DE7D34" w:rsidRDefault="00DE7D34">
      <w:r>
        <w:separator/>
      </w:r>
    </w:p>
  </w:footnote>
  <w:footnote w:type="continuationSeparator" w:id="0">
    <w:p w14:paraId="08050DDA" w14:textId="77777777" w:rsidR="00DE7D34" w:rsidRDefault="00DE7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B172E82" w:rsidR="004E70CC" w:rsidRDefault="00DE7D34">
    <w:pPr>
      <w:pStyle w:val="Header"/>
      <w:tabs>
        <w:tab w:val="clear" w:pos="6480"/>
        <w:tab w:val="center" w:pos="4680"/>
        <w:tab w:val="right" w:pos="9360"/>
      </w:tabs>
    </w:pPr>
    <w:r>
      <w:fldChar w:fldCharType="begin"/>
    </w:r>
    <w:r>
      <w:instrText xml:space="preserve"> KEYWORDS   \* MERGEFORMAT </w:instrText>
    </w:r>
    <w:r>
      <w:fldChar w:fldCharType="separate"/>
    </w:r>
    <w:r w:rsidR="002A7B63">
      <w:t>April</w:t>
    </w:r>
    <w:r w:rsidR="004E70CC">
      <w:t xml:space="preserve"> 2017</w:t>
    </w:r>
    <w:r>
      <w:fldChar w:fldCharType="end"/>
    </w:r>
    <w:r w:rsidR="004E70CC">
      <w:tab/>
    </w:r>
    <w:r w:rsidR="004E70CC">
      <w:tab/>
    </w:r>
    <w:r>
      <w:fldChar w:fldCharType="begin"/>
    </w:r>
    <w:r>
      <w:instrText xml:space="preserve"> TITLE  \* MERGEFORMAT </w:instrText>
    </w:r>
    <w:r>
      <w:fldChar w:fldCharType="separate"/>
    </w:r>
    <w:r w:rsidR="00FE5850">
      <w:t>doc.: IEEE 802.11-1</w:t>
    </w:r>
    <w:r w:rsidR="006E0FE2">
      <w:t>7</w:t>
    </w:r>
    <w:r w:rsidR="00FE5850">
      <w:t>/</w:t>
    </w:r>
    <w:r w:rsidR="00093C4C">
      <w:t>0617</w:t>
    </w:r>
    <w:r w:rsidR="00FE5850">
      <w:t>r</w:t>
    </w:r>
    <w:r w:rsidR="006E0FE2">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7"/>
  </w:num>
  <w:num w:numId="4">
    <w:abstractNumId w:val="8"/>
  </w:num>
  <w:num w:numId="5">
    <w:abstractNumId w:val="9"/>
  </w:num>
  <w:num w:numId="6">
    <w:abstractNumId w:val="19"/>
  </w:num>
  <w:num w:numId="7">
    <w:abstractNumId w:val="21"/>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5"/>
  </w:num>
  <w:num w:numId="20">
    <w:abstractNumId w:val="14"/>
  </w:num>
  <w:num w:numId="21">
    <w:abstractNumId w:val="16"/>
  </w:num>
  <w:num w:numId="22">
    <w:abstractNumId w:val="13"/>
  </w:num>
  <w:num w:numId="23">
    <w:abstractNumId w:val="20"/>
  </w:num>
  <w:num w:numId="24">
    <w:abstractNumId w:val="12"/>
  </w:num>
  <w:num w:numId="25">
    <w:abstractNumId w:val="11"/>
  </w:num>
  <w:num w:numId="26">
    <w:abstractNumId w:val="6"/>
  </w:num>
  <w:num w:numId="27">
    <w:abstractNumId w:val="18"/>
  </w:num>
  <w:num w:numId="28">
    <w:abstractNumId w:val="10"/>
  </w:num>
  <w:num w:numId="29">
    <w:abstractNumId w:val="1"/>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3A38"/>
    <w:rsid w:val="00013F2D"/>
    <w:rsid w:val="00016100"/>
    <w:rsid w:val="00017168"/>
    <w:rsid w:val="00021324"/>
    <w:rsid w:val="000225F0"/>
    <w:rsid w:val="0002651F"/>
    <w:rsid w:val="00026850"/>
    <w:rsid w:val="000371D3"/>
    <w:rsid w:val="000374C2"/>
    <w:rsid w:val="00037685"/>
    <w:rsid w:val="0003771E"/>
    <w:rsid w:val="000423B2"/>
    <w:rsid w:val="00042854"/>
    <w:rsid w:val="0004587C"/>
    <w:rsid w:val="000552BF"/>
    <w:rsid w:val="000568B0"/>
    <w:rsid w:val="00061C3D"/>
    <w:rsid w:val="0006290F"/>
    <w:rsid w:val="00066D8A"/>
    <w:rsid w:val="00072045"/>
    <w:rsid w:val="000804D5"/>
    <w:rsid w:val="000818A3"/>
    <w:rsid w:val="000846C1"/>
    <w:rsid w:val="0008545F"/>
    <w:rsid w:val="00086BBE"/>
    <w:rsid w:val="00093C4C"/>
    <w:rsid w:val="00093ED9"/>
    <w:rsid w:val="000946B8"/>
    <w:rsid w:val="00094C78"/>
    <w:rsid w:val="000969A1"/>
    <w:rsid w:val="0009756B"/>
    <w:rsid w:val="000979D0"/>
    <w:rsid w:val="000A1955"/>
    <w:rsid w:val="000A2445"/>
    <w:rsid w:val="000A6B90"/>
    <w:rsid w:val="000B2409"/>
    <w:rsid w:val="000B784B"/>
    <w:rsid w:val="000B79CD"/>
    <w:rsid w:val="000C2EF6"/>
    <w:rsid w:val="000C5F3E"/>
    <w:rsid w:val="000D01A8"/>
    <w:rsid w:val="000D2F1E"/>
    <w:rsid w:val="000D380E"/>
    <w:rsid w:val="000E109B"/>
    <w:rsid w:val="000E2CA6"/>
    <w:rsid w:val="000E3163"/>
    <w:rsid w:val="000E4DD1"/>
    <w:rsid w:val="000F09C1"/>
    <w:rsid w:val="000F6CED"/>
    <w:rsid w:val="000F7838"/>
    <w:rsid w:val="000F7EC8"/>
    <w:rsid w:val="00101596"/>
    <w:rsid w:val="0010245D"/>
    <w:rsid w:val="0010281E"/>
    <w:rsid w:val="0010363F"/>
    <w:rsid w:val="00103EE3"/>
    <w:rsid w:val="001053BD"/>
    <w:rsid w:val="00106127"/>
    <w:rsid w:val="00107033"/>
    <w:rsid w:val="001072C2"/>
    <w:rsid w:val="00110B78"/>
    <w:rsid w:val="00111F98"/>
    <w:rsid w:val="001171AF"/>
    <w:rsid w:val="00117386"/>
    <w:rsid w:val="00126AF5"/>
    <w:rsid w:val="00130C0D"/>
    <w:rsid w:val="00132348"/>
    <w:rsid w:val="001323E9"/>
    <w:rsid w:val="00134C55"/>
    <w:rsid w:val="00136CFC"/>
    <w:rsid w:val="00141692"/>
    <w:rsid w:val="001419B6"/>
    <w:rsid w:val="00141CA4"/>
    <w:rsid w:val="00141DFD"/>
    <w:rsid w:val="00141E86"/>
    <w:rsid w:val="0014280C"/>
    <w:rsid w:val="00142F85"/>
    <w:rsid w:val="00143077"/>
    <w:rsid w:val="00143B8C"/>
    <w:rsid w:val="00146B6F"/>
    <w:rsid w:val="00155F03"/>
    <w:rsid w:val="00157AE7"/>
    <w:rsid w:val="00160E79"/>
    <w:rsid w:val="001610A7"/>
    <w:rsid w:val="00162976"/>
    <w:rsid w:val="00164C75"/>
    <w:rsid w:val="00170A3C"/>
    <w:rsid w:val="00172F06"/>
    <w:rsid w:val="00173E5E"/>
    <w:rsid w:val="0017432E"/>
    <w:rsid w:val="001747DB"/>
    <w:rsid w:val="00177068"/>
    <w:rsid w:val="00185986"/>
    <w:rsid w:val="001911EC"/>
    <w:rsid w:val="00192A58"/>
    <w:rsid w:val="00192A5B"/>
    <w:rsid w:val="00195EBE"/>
    <w:rsid w:val="001A0178"/>
    <w:rsid w:val="001A0F38"/>
    <w:rsid w:val="001A25FA"/>
    <w:rsid w:val="001A5286"/>
    <w:rsid w:val="001A597C"/>
    <w:rsid w:val="001A6C05"/>
    <w:rsid w:val="001B2A31"/>
    <w:rsid w:val="001B2CC4"/>
    <w:rsid w:val="001B31A6"/>
    <w:rsid w:val="001B4FC3"/>
    <w:rsid w:val="001B6471"/>
    <w:rsid w:val="001C1ADC"/>
    <w:rsid w:val="001C34F7"/>
    <w:rsid w:val="001C44AC"/>
    <w:rsid w:val="001C5AFD"/>
    <w:rsid w:val="001C6548"/>
    <w:rsid w:val="001C7EAD"/>
    <w:rsid w:val="001D11EB"/>
    <w:rsid w:val="001D6097"/>
    <w:rsid w:val="001D723B"/>
    <w:rsid w:val="001D7BA8"/>
    <w:rsid w:val="001E048B"/>
    <w:rsid w:val="001E0ADE"/>
    <w:rsid w:val="001E1245"/>
    <w:rsid w:val="001E1270"/>
    <w:rsid w:val="001E5896"/>
    <w:rsid w:val="001E6213"/>
    <w:rsid w:val="001E768F"/>
    <w:rsid w:val="001F07B2"/>
    <w:rsid w:val="001F0DC7"/>
    <w:rsid w:val="001F10D9"/>
    <w:rsid w:val="001F1C30"/>
    <w:rsid w:val="001F546A"/>
    <w:rsid w:val="001F5B4B"/>
    <w:rsid w:val="001F711E"/>
    <w:rsid w:val="0020516C"/>
    <w:rsid w:val="0020642D"/>
    <w:rsid w:val="002071F4"/>
    <w:rsid w:val="00210200"/>
    <w:rsid w:val="00210E83"/>
    <w:rsid w:val="00212A9C"/>
    <w:rsid w:val="00215CE5"/>
    <w:rsid w:val="00216D1C"/>
    <w:rsid w:val="00216EF4"/>
    <w:rsid w:val="00217BB3"/>
    <w:rsid w:val="002210FF"/>
    <w:rsid w:val="002220B7"/>
    <w:rsid w:val="00222EFA"/>
    <w:rsid w:val="00230372"/>
    <w:rsid w:val="002322A5"/>
    <w:rsid w:val="002410DA"/>
    <w:rsid w:val="0024174B"/>
    <w:rsid w:val="00244006"/>
    <w:rsid w:val="0024525A"/>
    <w:rsid w:val="00250605"/>
    <w:rsid w:val="00250CF0"/>
    <w:rsid w:val="002545BF"/>
    <w:rsid w:val="0025518D"/>
    <w:rsid w:val="0025635A"/>
    <w:rsid w:val="002612B5"/>
    <w:rsid w:val="00261602"/>
    <w:rsid w:val="002633B1"/>
    <w:rsid w:val="00264848"/>
    <w:rsid w:val="00264EFE"/>
    <w:rsid w:val="002727FA"/>
    <w:rsid w:val="00273983"/>
    <w:rsid w:val="00275C0D"/>
    <w:rsid w:val="00280D2E"/>
    <w:rsid w:val="0028292F"/>
    <w:rsid w:val="0028678D"/>
    <w:rsid w:val="0029020B"/>
    <w:rsid w:val="00291DF9"/>
    <w:rsid w:val="002929AC"/>
    <w:rsid w:val="00293F73"/>
    <w:rsid w:val="0029410C"/>
    <w:rsid w:val="0029575F"/>
    <w:rsid w:val="002A0C93"/>
    <w:rsid w:val="002A3512"/>
    <w:rsid w:val="002A390D"/>
    <w:rsid w:val="002A54E2"/>
    <w:rsid w:val="002A7B63"/>
    <w:rsid w:val="002B1A82"/>
    <w:rsid w:val="002B3890"/>
    <w:rsid w:val="002B436C"/>
    <w:rsid w:val="002B6510"/>
    <w:rsid w:val="002C24B0"/>
    <w:rsid w:val="002C522E"/>
    <w:rsid w:val="002D02D7"/>
    <w:rsid w:val="002D2C4B"/>
    <w:rsid w:val="002D2EA5"/>
    <w:rsid w:val="002D4185"/>
    <w:rsid w:val="002D44BE"/>
    <w:rsid w:val="002D6B31"/>
    <w:rsid w:val="002E13B4"/>
    <w:rsid w:val="002E18D1"/>
    <w:rsid w:val="002E1D58"/>
    <w:rsid w:val="002E36EB"/>
    <w:rsid w:val="002E3800"/>
    <w:rsid w:val="002E5B83"/>
    <w:rsid w:val="002E6B14"/>
    <w:rsid w:val="002F0431"/>
    <w:rsid w:val="002F098B"/>
    <w:rsid w:val="002F0D74"/>
    <w:rsid w:val="002F17F0"/>
    <w:rsid w:val="002F1EAA"/>
    <w:rsid w:val="002F2390"/>
    <w:rsid w:val="002F33DE"/>
    <w:rsid w:val="002F53CF"/>
    <w:rsid w:val="002F5AB0"/>
    <w:rsid w:val="00303AA2"/>
    <w:rsid w:val="003063FB"/>
    <w:rsid w:val="003111DF"/>
    <w:rsid w:val="0031231B"/>
    <w:rsid w:val="00314DE7"/>
    <w:rsid w:val="003165E2"/>
    <w:rsid w:val="0031742F"/>
    <w:rsid w:val="00320E15"/>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39EB"/>
    <w:rsid w:val="003642E1"/>
    <w:rsid w:val="00365E37"/>
    <w:rsid w:val="00366056"/>
    <w:rsid w:val="003711EB"/>
    <w:rsid w:val="0037198F"/>
    <w:rsid w:val="00374DB1"/>
    <w:rsid w:val="00375D98"/>
    <w:rsid w:val="003837F2"/>
    <w:rsid w:val="00383827"/>
    <w:rsid w:val="0038384E"/>
    <w:rsid w:val="00391DF8"/>
    <w:rsid w:val="003929FD"/>
    <w:rsid w:val="00397A0B"/>
    <w:rsid w:val="003A1172"/>
    <w:rsid w:val="003A23BD"/>
    <w:rsid w:val="003A60F7"/>
    <w:rsid w:val="003B051C"/>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1233C"/>
    <w:rsid w:val="00414100"/>
    <w:rsid w:val="00416503"/>
    <w:rsid w:val="0042004A"/>
    <w:rsid w:val="00424D2C"/>
    <w:rsid w:val="00425B89"/>
    <w:rsid w:val="00432950"/>
    <w:rsid w:val="00433406"/>
    <w:rsid w:val="00433BF2"/>
    <w:rsid w:val="00435B8B"/>
    <w:rsid w:val="004406EA"/>
    <w:rsid w:val="00440C98"/>
    <w:rsid w:val="00442037"/>
    <w:rsid w:val="00443B20"/>
    <w:rsid w:val="0044570A"/>
    <w:rsid w:val="00451CDF"/>
    <w:rsid w:val="00455F9B"/>
    <w:rsid w:val="00457333"/>
    <w:rsid w:val="004574B5"/>
    <w:rsid w:val="00457AB0"/>
    <w:rsid w:val="004622B1"/>
    <w:rsid w:val="00463797"/>
    <w:rsid w:val="004655C4"/>
    <w:rsid w:val="00466599"/>
    <w:rsid w:val="004701F8"/>
    <w:rsid w:val="004754AC"/>
    <w:rsid w:val="00480B32"/>
    <w:rsid w:val="00487A30"/>
    <w:rsid w:val="00487C22"/>
    <w:rsid w:val="0049281B"/>
    <w:rsid w:val="0049405F"/>
    <w:rsid w:val="00496822"/>
    <w:rsid w:val="004A0148"/>
    <w:rsid w:val="004A046D"/>
    <w:rsid w:val="004A5446"/>
    <w:rsid w:val="004A5867"/>
    <w:rsid w:val="004A7932"/>
    <w:rsid w:val="004B064B"/>
    <w:rsid w:val="004B2A3C"/>
    <w:rsid w:val="004B36B2"/>
    <w:rsid w:val="004B546D"/>
    <w:rsid w:val="004B7327"/>
    <w:rsid w:val="004B7E51"/>
    <w:rsid w:val="004C1C53"/>
    <w:rsid w:val="004C51D1"/>
    <w:rsid w:val="004D0485"/>
    <w:rsid w:val="004D3B3F"/>
    <w:rsid w:val="004D5AF9"/>
    <w:rsid w:val="004D5B52"/>
    <w:rsid w:val="004D5EBB"/>
    <w:rsid w:val="004D6850"/>
    <w:rsid w:val="004E0917"/>
    <w:rsid w:val="004E13CF"/>
    <w:rsid w:val="004E1DBD"/>
    <w:rsid w:val="004E3374"/>
    <w:rsid w:val="004E4B12"/>
    <w:rsid w:val="004E5276"/>
    <w:rsid w:val="004E70CC"/>
    <w:rsid w:val="004F10C4"/>
    <w:rsid w:val="004F56A0"/>
    <w:rsid w:val="004F6745"/>
    <w:rsid w:val="00501840"/>
    <w:rsid w:val="00503EE9"/>
    <w:rsid w:val="005118D6"/>
    <w:rsid w:val="00512AA7"/>
    <w:rsid w:val="0051498D"/>
    <w:rsid w:val="00515CE3"/>
    <w:rsid w:val="00515F3E"/>
    <w:rsid w:val="005162BF"/>
    <w:rsid w:val="00516697"/>
    <w:rsid w:val="00516F06"/>
    <w:rsid w:val="00520DE2"/>
    <w:rsid w:val="0052116A"/>
    <w:rsid w:val="00523D51"/>
    <w:rsid w:val="005352E1"/>
    <w:rsid w:val="005364A1"/>
    <w:rsid w:val="0053793F"/>
    <w:rsid w:val="005413DE"/>
    <w:rsid w:val="00545AAE"/>
    <w:rsid w:val="00547544"/>
    <w:rsid w:val="00547A2F"/>
    <w:rsid w:val="00550228"/>
    <w:rsid w:val="00551162"/>
    <w:rsid w:val="0055267F"/>
    <w:rsid w:val="00554160"/>
    <w:rsid w:val="00563DA8"/>
    <w:rsid w:val="005653C8"/>
    <w:rsid w:val="00570B37"/>
    <w:rsid w:val="00571DE6"/>
    <w:rsid w:val="00572580"/>
    <w:rsid w:val="00572898"/>
    <w:rsid w:val="00572C38"/>
    <w:rsid w:val="00573E44"/>
    <w:rsid w:val="00576508"/>
    <w:rsid w:val="00576EEC"/>
    <w:rsid w:val="00581754"/>
    <w:rsid w:val="00581C39"/>
    <w:rsid w:val="0058343F"/>
    <w:rsid w:val="00583917"/>
    <w:rsid w:val="00584126"/>
    <w:rsid w:val="005859F6"/>
    <w:rsid w:val="0058671F"/>
    <w:rsid w:val="0059472C"/>
    <w:rsid w:val="005979BC"/>
    <w:rsid w:val="005A36B9"/>
    <w:rsid w:val="005A3CE6"/>
    <w:rsid w:val="005B02D3"/>
    <w:rsid w:val="005B33DA"/>
    <w:rsid w:val="005B341A"/>
    <w:rsid w:val="005B3884"/>
    <w:rsid w:val="005B41FC"/>
    <w:rsid w:val="005B75E2"/>
    <w:rsid w:val="005C0EC6"/>
    <w:rsid w:val="005C1485"/>
    <w:rsid w:val="005C436B"/>
    <w:rsid w:val="005C60C1"/>
    <w:rsid w:val="005D0034"/>
    <w:rsid w:val="005D5886"/>
    <w:rsid w:val="005D6C33"/>
    <w:rsid w:val="005E77EC"/>
    <w:rsid w:val="005F3BED"/>
    <w:rsid w:val="00601010"/>
    <w:rsid w:val="00602DB5"/>
    <w:rsid w:val="00602EBF"/>
    <w:rsid w:val="00605CEB"/>
    <w:rsid w:val="00610C38"/>
    <w:rsid w:val="00611E65"/>
    <w:rsid w:val="00613220"/>
    <w:rsid w:val="00613E61"/>
    <w:rsid w:val="00614B04"/>
    <w:rsid w:val="00617076"/>
    <w:rsid w:val="006171E7"/>
    <w:rsid w:val="0061741C"/>
    <w:rsid w:val="006224C2"/>
    <w:rsid w:val="00623EC7"/>
    <w:rsid w:val="0062440B"/>
    <w:rsid w:val="00624795"/>
    <w:rsid w:val="006258DC"/>
    <w:rsid w:val="0062675E"/>
    <w:rsid w:val="00635BC9"/>
    <w:rsid w:val="00637C35"/>
    <w:rsid w:val="006429CB"/>
    <w:rsid w:val="00645B64"/>
    <w:rsid w:val="00660E4B"/>
    <w:rsid w:val="00661BC4"/>
    <w:rsid w:val="00661C19"/>
    <w:rsid w:val="0066471B"/>
    <w:rsid w:val="00665646"/>
    <w:rsid w:val="00671D22"/>
    <w:rsid w:val="00672AE1"/>
    <w:rsid w:val="0067358E"/>
    <w:rsid w:val="00674B18"/>
    <w:rsid w:val="00675C9C"/>
    <w:rsid w:val="0068017B"/>
    <w:rsid w:val="00680E7D"/>
    <w:rsid w:val="00681C5C"/>
    <w:rsid w:val="006842FC"/>
    <w:rsid w:val="00684D32"/>
    <w:rsid w:val="00685A8E"/>
    <w:rsid w:val="0069281D"/>
    <w:rsid w:val="00695205"/>
    <w:rsid w:val="006963B9"/>
    <w:rsid w:val="006A2103"/>
    <w:rsid w:val="006A701A"/>
    <w:rsid w:val="006B01D7"/>
    <w:rsid w:val="006B3970"/>
    <w:rsid w:val="006B39E0"/>
    <w:rsid w:val="006B64EF"/>
    <w:rsid w:val="006B7CA1"/>
    <w:rsid w:val="006C05CC"/>
    <w:rsid w:val="006C0727"/>
    <w:rsid w:val="006C0BA7"/>
    <w:rsid w:val="006C166A"/>
    <w:rsid w:val="006C1B47"/>
    <w:rsid w:val="006C2119"/>
    <w:rsid w:val="006C3401"/>
    <w:rsid w:val="006C4C3A"/>
    <w:rsid w:val="006C5602"/>
    <w:rsid w:val="006C6A2E"/>
    <w:rsid w:val="006C720C"/>
    <w:rsid w:val="006D7843"/>
    <w:rsid w:val="006E0FE2"/>
    <w:rsid w:val="006E145F"/>
    <w:rsid w:val="006E3FDC"/>
    <w:rsid w:val="006E4DDB"/>
    <w:rsid w:val="006F318D"/>
    <w:rsid w:val="006F523F"/>
    <w:rsid w:val="0070423B"/>
    <w:rsid w:val="007109B4"/>
    <w:rsid w:val="007113CD"/>
    <w:rsid w:val="007123FC"/>
    <w:rsid w:val="00715DA2"/>
    <w:rsid w:val="0071740E"/>
    <w:rsid w:val="00725509"/>
    <w:rsid w:val="007276A3"/>
    <w:rsid w:val="00732253"/>
    <w:rsid w:val="00732A57"/>
    <w:rsid w:val="0073367B"/>
    <w:rsid w:val="00735672"/>
    <w:rsid w:val="00736762"/>
    <w:rsid w:val="00736FFD"/>
    <w:rsid w:val="00740BF0"/>
    <w:rsid w:val="00744990"/>
    <w:rsid w:val="0074755A"/>
    <w:rsid w:val="00750393"/>
    <w:rsid w:val="00752005"/>
    <w:rsid w:val="00753D2E"/>
    <w:rsid w:val="00753E18"/>
    <w:rsid w:val="007541F8"/>
    <w:rsid w:val="00754351"/>
    <w:rsid w:val="0075470F"/>
    <w:rsid w:val="00761ADC"/>
    <w:rsid w:val="007643A2"/>
    <w:rsid w:val="007646DE"/>
    <w:rsid w:val="00766BE1"/>
    <w:rsid w:val="00767C0C"/>
    <w:rsid w:val="00770572"/>
    <w:rsid w:val="00775643"/>
    <w:rsid w:val="00776263"/>
    <w:rsid w:val="00783913"/>
    <w:rsid w:val="0078553D"/>
    <w:rsid w:val="00787930"/>
    <w:rsid w:val="00791E38"/>
    <w:rsid w:val="0079306F"/>
    <w:rsid w:val="00796DAE"/>
    <w:rsid w:val="007A1C50"/>
    <w:rsid w:val="007A3B91"/>
    <w:rsid w:val="007A3F63"/>
    <w:rsid w:val="007A6CEE"/>
    <w:rsid w:val="007B12CE"/>
    <w:rsid w:val="007C0CF5"/>
    <w:rsid w:val="007C19F6"/>
    <w:rsid w:val="007C2C14"/>
    <w:rsid w:val="007C5A1F"/>
    <w:rsid w:val="007C6872"/>
    <w:rsid w:val="007D0610"/>
    <w:rsid w:val="007D0688"/>
    <w:rsid w:val="007D4358"/>
    <w:rsid w:val="007D5244"/>
    <w:rsid w:val="007D784F"/>
    <w:rsid w:val="007E0347"/>
    <w:rsid w:val="007E0666"/>
    <w:rsid w:val="007E19F4"/>
    <w:rsid w:val="007E52CB"/>
    <w:rsid w:val="007E71CA"/>
    <w:rsid w:val="007F3D4D"/>
    <w:rsid w:val="007F5A40"/>
    <w:rsid w:val="007F63D3"/>
    <w:rsid w:val="007F66C2"/>
    <w:rsid w:val="007F7304"/>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51917"/>
    <w:rsid w:val="00852179"/>
    <w:rsid w:val="00852ED6"/>
    <w:rsid w:val="00855066"/>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A003F"/>
    <w:rsid w:val="008A1939"/>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5668"/>
    <w:rsid w:val="00905951"/>
    <w:rsid w:val="009069C1"/>
    <w:rsid w:val="00906FAA"/>
    <w:rsid w:val="00907A4C"/>
    <w:rsid w:val="00913028"/>
    <w:rsid w:val="00922D4C"/>
    <w:rsid w:val="00923796"/>
    <w:rsid w:val="009243BB"/>
    <w:rsid w:val="00926D2D"/>
    <w:rsid w:val="00927569"/>
    <w:rsid w:val="00930D15"/>
    <w:rsid w:val="00933C84"/>
    <w:rsid w:val="00934DEF"/>
    <w:rsid w:val="0093524C"/>
    <w:rsid w:val="009352C6"/>
    <w:rsid w:val="009376B5"/>
    <w:rsid w:val="00942A4D"/>
    <w:rsid w:val="0094301D"/>
    <w:rsid w:val="00943A55"/>
    <w:rsid w:val="0095278A"/>
    <w:rsid w:val="00952C94"/>
    <w:rsid w:val="00956233"/>
    <w:rsid w:val="00960BFD"/>
    <w:rsid w:val="00961F60"/>
    <w:rsid w:val="00962264"/>
    <w:rsid w:val="009625AA"/>
    <w:rsid w:val="009629DC"/>
    <w:rsid w:val="0096400C"/>
    <w:rsid w:val="00965B4F"/>
    <w:rsid w:val="00967441"/>
    <w:rsid w:val="00967C93"/>
    <w:rsid w:val="00971189"/>
    <w:rsid w:val="00972E37"/>
    <w:rsid w:val="00975242"/>
    <w:rsid w:val="009801D5"/>
    <w:rsid w:val="009804D4"/>
    <w:rsid w:val="00982161"/>
    <w:rsid w:val="00984B9F"/>
    <w:rsid w:val="00992113"/>
    <w:rsid w:val="009931FC"/>
    <w:rsid w:val="009941C0"/>
    <w:rsid w:val="00996581"/>
    <w:rsid w:val="00997D2E"/>
    <w:rsid w:val="009A03D6"/>
    <w:rsid w:val="009A0E12"/>
    <w:rsid w:val="009A2582"/>
    <w:rsid w:val="009A6B9C"/>
    <w:rsid w:val="009A776E"/>
    <w:rsid w:val="009B5B5F"/>
    <w:rsid w:val="009C09C6"/>
    <w:rsid w:val="009C15C2"/>
    <w:rsid w:val="009C486D"/>
    <w:rsid w:val="009D0604"/>
    <w:rsid w:val="009D6187"/>
    <w:rsid w:val="009D6746"/>
    <w:rsid w:val="009E0773"/>
    <w:rsid w:val="009E244A"/>
    <w:rsid w:val="009E4CC3"/>
    <w:rsid w:val="009E56E1"/>
    <w:rsid w:val="009F2A10"/>
    <w:rsid w:val="009F2FBC"/>
    <w:rsid w:val="009F37EE"/>
    <w:rsid w:val="009F4C4A"/>
    <w:rsid w:val="00A027CE"/>
    <w:rsid w:val="00A103CD"/>
    <w:rsid w:val="00A17E70"/>
    <w:rsid w:val="00A2328B"/>
    <w:rsid w:val="00A24DFC"/>
    <w:rsid w:val="00A26D93"/>
    <w:rsid w:val="00A27594"/>
    <w:rsid w:val="00A31489"/>
    <w:rsid w:val="00A34A39"/>
    <w:rsid w:val="00A353C3"/>
    <w:rsid w:val="00A35784"/>
    <w:rsid w:val="00A35A05"/>
    <w:rsid w:val="00A35B6C"/>
    <w:rsid w:val="00A35F6E"/>
    <w:rsid w:val="00A4144A"/>
    <w:rsid w:val="00A42818"/>
    <w:rsid w:val="00A43398"/>
    <w:rsid w:val="00A47FAA"/>
    <w:rsid w:val="00A5019E"/>
    <w:rsid w:val="00A51E06"/>
    <w:rsid w:val="00A54157"/>
    <w:rsid w:val="00A560CD"/>
    <w:rsid w:val="00A57EA7"/>
    <w:rsid w:val="00A610D6"/>
    <w:rsid w:val="00A636F8"/>
    <w:rsid w:val="00A65C3B"/>
    <w:rsid w:val="00A70E98"/>
    <w:rsid w:val="00A720B0"/>
    <w:rsid w:val="00A85D27"/>
    <w:rsid w:val="00A9130D"/>
    <w:rsid w:val="00A92B13"/>
    <w:rsid w:val="00A933DD"/>
    <w:rsid w:val="00A95B70"/>
    <w:rsid w:val="00A96FB0"/>
    <w:rsid w:val="00AA0E90"/>
    <w:rsid w:val="00AA18C3"/>
    <w:rsid w:val="00AA427C"/>
    <w:rsid w:val="00AA56F8"/>
    <w:rsid w:val="00AB0ECB"/>
    <w:rsid w:val="00AB2A02"/>
    <w:rsid w:val="00AB44BA"/>
    <w:rsid w:val="00AC14EC"/>
    <w:rsid w:val="00AC235A"/>
    <w:rsid w:val="00AC304B"/>
    <w:rsid w:val="00AC328B"/>
    <w:rsid w:val="00AC55C4"/>
    <w:rsid w:val="00AC5FE7"/>
    <w:rsid w:val="00AC62A3"/>
    <w:rsid w:val="00AD3256"/>
    <w:rsid w:val="00AD47E9"/>
    <w:rsid w:val="00AD76AA"/>
    <w:rsid w:val="00AE0E63"/>
    <w:rsid w:val="00AE1931"/>
    <w:rsid w:val="00AE1989"/>
    <w:rsid w:val="00AE1ABA"/>
    <w:rsid w:val="00AE315F"/>
    <w:rsid w:val="00AE6FCA"/>
    <w:rsid w:val="00AF0BB6"/>
    <w:rsid w:val="00AF0FA4"/>
    <w:rsid w:val="00AF70AD"/>
    <w:rsid w:val="00B01931"/>
    <w:rsid w:val="00B05E8D"/>
    <w:rsid w:val="00B0665C"/>
    <w:rsid w:val="00B12933"/>
    <w:rsid w:val="00B178EF"/>
    <w:rsid w:val="00B20DB6"/>
    <w:rsid w:val="00B25C5F"/>
    <w:rsid w:val="00B30E2C"/>
    <w:rsid w:val="00B30F61"/>
    <w:rsid w:val="00B32CAF"/>
    <w:rsid w:val="00B32DE6"/>
    <w:rsid w:val="00B33917"/>
    <w:rsid w:val="00B33925"/>
    <w:rsid w:val="00B35D90"/>
    <w:rsid w:val="00B35DBC"/>
    <w:rsid w:val="00B36216"/>
    <w:rsid w:val="00B37B67"/>
    <w:rsid w:val="00B41458"/>
    <w:rsid w:val="00B42CDC"/>
    <w:rsid w:val="00B556C7"/>
    <w:rsid w:val="00B565FF"/>
    <w:rsid w:val="00B57879"/>
    <w:rsid w:val="00B60DEC"/>
    <w:rsid w:val="00B63F27"/>
    <w:rsid w:val="00B63F6D"/>
    <w:rsid w:val="00B6527E"/>
    <w:rsid w:val="00B65C3E"/>
    <w:rsid w:val="00B70EBF"/>
    <w:rsid w:val="00B721B3"/>
    <w:rsid w:val="00B72971"/>
    <w:rsid w:val="00B729CF"/>
    <w:rsid w:val="00B72C5C"/>
    <w:rsid w:val="00B73A69"/>
    <w:rsid w:val="00B73CCE"/>
    <w:rsid w:val="00B846DE"/>
    <w:rsid w:val="00B8555D"/>
    <w:rsid w:val="00B87610"/>
    <w:rsid w:val="00B917AB"/>
    <w:rsid w:val="00B91F88"/>
    <w:rsid w:val="00BA4084"/>
    <w:rsid w:val="00BA78A5"/>
    <w:rsid w:val="00BB08D8"/>
    <w:rsid w:val="00BB0981"/>
    <w:rsid w:val="00BB1AC6"/>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A2B"/>
    <w:rsid w:val="00BF32E4"/>
    <w:rsid w:val="00BF6B6F"/>
    <w:rsid w:val="00BF6FFD"/>
    <w:rsid w:val="00C01A9F"/>
    <w:rsid w:val="00C10B72"/>
    <w:rsid w:val="00C126CD"/>
    <w:rsid w:val="00C14144"/>
    <w:rsid w:val="00C142AD"/>
    <w:rsid w:val="00C143E1"/>
    <w:rsid w:val="00C16999"/>
    <w:rsid w:val="00C2383C"/>
    <w:rsid w:val="00C24F87"/>
    <w:rsid w:val="00C30506"/>
    <w:rsid w:val="00C37B5E"/>
    <w:rsid w:val="00C42C9D"/>
    <w:rsid w:val="00C45EDA"/>
    <w:rsid w:val="00C556BC"/>
    <w:rsid w:val="00C55AB8"/>
    <w:rsid w:val="00C55F00"/>
    <w:rsid w:val="00C604D2"/>
    <w:rsid w:val="00C61759"/>
    <w:rsid w:val="00C63928"/>
    <w:rsid w:val="00C63B1E"/>
    <w:rsid w:val="00C65D74"/>
    <w:rsid w:val="00C677D7"/>
    <w:rsid w:val="00C773C4"/>
    <w:rsid w:val="00C775A1"/>
    <w:rsid w:val="00C801EB"/>
    <w:rsid w:val="00C80A3A"/>
    <w:rsid w:val="00C80B1C"/>
    <w:rsid w:val="00C83496"/>
    <w:rsid w:val="00C86DAD"/>
    <w:rsid w:val="00C91B69"/>
    <w:rsid w:val="00C93286"/>
    <w:rsid w:val="00C96A1A"/>
    <w:rsid w:val="00CA028E"/>
    <w:rsid w:val="00CA09B2"/>
    <w:rsid w:val="00CA0A57"/>
    <w:rsid w:val="00CA2907"/>
    <w:rsid w:val="00CA7DB5"/>
    <w:rsid w:val="00CB0A42"/>
    <w:rsid w:val="00CB75C5"/>
    <w:rsid w:val="00CC1CA8"/>
    <w:rsid w:val="00CC3C8B"/>
    <w:rsid w:val="00CC652F"/>
    <w:rsid w:val="00CC6C51"/>
    <w:rsid w:val="00CC72A5"/>
    <w:rsid w:val="00CD0259"/>
    <w:rsid w:val="00CD264E"/>
    <w:rsid w:val="00CD568A"/>
    <w:rsid w:val="00CD6382"/>
    <w:rsid w:val="00CD64CE"/>
    <w:rsid w:val="00CD658E"/>
    <w:rsid w:val="00CE10E9"/>
    <w:rsid w:val="00CE1444"/>
    <w:rsid w:val="00CE5032"/>
    <w:rsid w:val="00CE5B6B"/>
    <w:rsid w:val="00CF1147"/>
    <w:rsid w:val="00CF1270"/>
    <w:rsid w:val="00D02630"/>
    <w:rsid w:val="00D053A2"/>
    <w:rsid w:val="00D06A2B"/>
    <w:rsid w:val="00D1060A"/>
    <w:rsid w:val="00D1138B"/>
    <w:rsid w:val="00D12945"/>
    <w:rsid w:val="00D218DD"/>
    <w:rsid w:val="00D245CB"/>
    <w:rsid w:val="00D34C02"/>
    <w:rsid w:val="00D432E8"/>
    <w:rsid w:val="00D46B3B"/>
    <w:rsid w:val="00D5157F"/>
    <w:rsid w:val="00D57696"/>
    <w:rsid w:val="00D57B6C"/>
    <w:rsid w:val="00D57F5C"/>
    <w:rsid w:val="00D6056D"/>
    <w:rsid w:val="00D61EE3"/>
    <w:rsid w:val="00D63C8C"/>
    <w:rsid w:val="00D6751B"/>
    <w:rsid w:val="00D67D45"/>
    <w:rsid w:val="00D7330F"/>
    <w:rsid w:val="00D80F7A"/>
    <w:rsid w:val="00D81227"/>
    <w:rsid w:val="00D833A0"/>
    <w:rsid w:val="00D871B0"/>
    <w:rsid w:val="00D90ED4"/>
    <w:rsid w:val="00D945FD"/>
    <w:rsid w:val="00D94C15"/>
    <w:rsid w:val="00D94E00"/>
    <w:rsid w:val="00D9717C"/>
    <w:rsid w:val="00DA0560"/>
    <w:rsid w:val="00DA0858"/>
    <w:rsid w:val="00DA1A86"/>
    <w:rsid w:val="00DA3D1B"/>
    <w:rsid w:val="00DA45CB"/>
    <w:rsid w:val="00DB463B"/>
    <w:rsid w:val="00DB5DF0"/>
    <w:rsid w:val="00DB7CF9"/>
    <w:rsid w:val="00DC1EE1"/>
    <w:rsid w:val="00DC2259"/>
    <w:rsid w:val="00DC38D4"/>
    <w:rsid w:val="00DC5A7B"/>
    <w:rsid w:val="00DC5F04"/>
    <w:rsid w:val="00DC6554"/>
    <w:rsid w:val="00DD155B"/>
    <w:rsid w:val="00DD2738"/>
    <w:rsid w:val="00DD4462"/>
    <w:rsid w:val="00DD570D"/>
    <w:rsid w:val="00DE014E"/>
    <w:rsid w:val="00DE1317"/>
    <w:rsid w:val="00DE46B6"/>
    <w:rsid w:val="00DE5798"/>
    <w:rsid w:val="00DE7D34"/>
    <w:rsid w:val="00DF15DA"/>
    <w:rsid w:val="00DF1971"/>
    <w:rsid w:val="00E00505"/>
    <w:rsid w:val="00E037D2"/>
    <w:rsid w:val="00E04941"/>
    <w:rsid w:val="00E05A5C"/>
    <w:rsid w:val="00E06D40"/>
    <w:rsid w:val="00E07BB6"/>
    <w:rsid w:val="00E10414"/>
    <w:rsid w:val="00E13A7D"/>
    <w:rsid w:val="00E1440D"/>
    <w:rsid w:val="00E14743"/>
    <w:rsid w:val="00E2074D"/>
    <w:rsid w:val="00E25F1F"/>
    <w:rsid w:val="00E3115F"/>
    <w:rsid w:val="00E35367"/>
    <w:rsid w:val="00E4127C"/>
    <w:rsid w:val="00E41A52"/>
    <w:rsid w:val="00E423DE"/>
    <w:rsid w:val="00E427B6"/>
    <w:rsid w:val="00E431C1"/>
    <w:rsid w:val="00E52DD6"/>
    <w:rsid w:val="00E53D8C"/>
    <w:rsid w:val="00E543CC"/>
    <w:rsid w:val="00E55F51"/>
    <w:rsid w:val="00E56331"/>
    <w:rsid w:val="00E60ED9"/>
    <w:rsid w:val="00E70342"/>
    <w:rsid w:val="00E7149A"/>
    <w:rsid w:val="00E71DC3"/>
    <w:rsid w:val="00E7236B"/>
    <w:rsid w:val="00E72A24"/>
    <w:rsid w:val="00E77301"/>
    <w:rsid w:val="00E773D3"/>
    <w:rsid w:val="00E808E1"/>
    <w:rsid w:val="00E85DF8"/>
    <w:rsid w:val="00E85E19"/>
    <w:rsid w:val="00E866B3"/>
    <w:rsid w:val="00E92D8B"/>
    <w:rsid w:val="00EA07D3"/>
    <w:rsid w:val="00EA251D"/>
    <w:rsid w:val="00EA30C4"/>
    <w:rsid w:val="00EA35AD"/>
    <w:rsid w:val="00EA49DB"/>
    <w:rsid w:val="00EA515B"/>
    <w:rsid w:val="00EA55C4"/>
    <w:rsid w:val="00EB4E97"/>
    <w:rsid w:val="00EC3BA9"/>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6447"/>
    <w:rsid w:val="00F16FE1"/>
    <w:rsid w:val="00F174C8"/>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23D7"/>
    <w:rsid w:val="00F6368B"/>
    <w:rsid w:val="00F63D61"/>
    <w:rsid w:val="00F65419"/>
    <w:rsid w:val="00F662E7"/>
    <w:rsid w:val="00F701A3"/>
    <w:rsid w:val="00F73006"/>
    <w:rsid w:val="00F768AA"/>
    <w:rsid w:val="00F83E84"/>
    <w:rsid w:val="00F84DE3"/>
    <w:rsid w:val="00F85556"/>
    <w:rsid w:val="00F900FD"/>
    <w:rsid w:val="00F9183F"/>
    <w:rsid w:val="00F91DE3"/>
    <w:rsid w:val="00F93266"/>
    <w:rsid w:val="00F93C16"/>
    <w:rsid w:val="00F969E8"/>
    <w:rsid w:val="00F9748C"/>
    <w:rsid w:val="00FA0891"/>
    <w:rsid w:val="00FA255B"/>
    <w:rsid w:val="00FA3DF7"/>
    <w:rsid w:val="00FA67E2"/>
    <w:rsid w:val="00FA7007"/>
    <w:rsid w:val="00FB131D"/>
    <w:rsid w:val="00FB1663"/>
    <w:rsid w:val="00FB6463"/>
    <w:rsid w:val="00FB7AED"/>
    <w:rsid w:val="00FC0792"/>
    <w:rsid w:val="00FC707A"/>
    <w:rsid w:val="00FD072A"/>
    <w:rsid w:val="00FD16C8"/>
    <w:rsid w:val="00FD217F"/>
    <w:rsid w:val="00FD2B81"/>
    <w:rsid w:val="00FD46FD"/>
    <w:rsid w:val="00FD63D0"/>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E1605600-39ED-46F5-9A08-5F8A32D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figuretext">
    <w:name w:val="figure text"/>
    <w:uiPriority w:val="99"/>
    <w:rsid w:val="00CE5B6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4091160-BF87-476F-894D-1D8B15BC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802.11-17/YYYYr0</dc:title>
  <dc:subject>Submission</dc:subject>
  <dc:creator/>
  <cp:keywords>January 2017</cp:keywords>
  <cp:lastModifiedBy>Perahia, Eldad</cp:lastModifiedBy>
  <cp:revision>12</cp:revision>
  <cp:lastPrinted>2014-09-05T21:13:00Z</cp:lastPrinted>
  <dcterms:created xsi:type="dcterms:W3CDTF">2017-01-30T18:34:00Z</dcterms:created>
  <dcterms:modified xsi:type="dcterms:W3CDTF">2017-04-25T17:32:00Z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eb630d28-78f2-44b2-9fb8-9afb198b0566</vt:lpwstr>
  </property>
  <property fmtid="{D5CDD505-2E9C-101B-9397-08002B2CF9AE}" pid="4" name="CTP_BU">
    <vt:lpwstr>COMMUNICATION &amp;DEVICES GROUP</vt:lpwstr>
  </property>
  <property fmtid="{D5CDD505-2E9C-101B-9397-08002B2CF9AE}" pid="5" name="CTP_TimeStamp">
    <vt:lpwstr>2016-09-12 10:17:32Z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