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rsidTr="00D74DE9">
        <w:trPr>
          <w:trHeight w:val="485"/>
          <w:jc w:val="center"/>
        </w:trPr>
        <w:tc>
          <w:tcPr>
            <w:tcW w:w="9576" w:type="dxa"/>
            <w:gridSpan w:val="5"/>
            <w:vAlign w:val="center"/>
          </w:tcPr>
          <w:p w:rsidR="00C723BC" w:rsidRPr="00183F4C"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w:t>
            </w:r>
            <w:r w:rsidR="00B00168">
              <w:rPr>
                <w:lang w:eastAsia="ko-KR"/>
              </w:rPr>
              <w:t>3</w:t>
            </w:r>
            <w:r w:rsidR="00417BB7">
              <w:rPr>
                <w:lang w:eastAsia="ko-KR"/>
              </w:rPr>
              <w:t>.</w:t>
            </w:r>
            <w:r w:rsidR="00B00168">
              <w:rPr>
                <w:lang w:eastAsia="ko-KR"/>
              </w:rPr>
              <w:t>3</w:t>
            </w:r>
            <w:r w:rsidR="00FD13DD">
              <w:rPr>
                <w:lang w:eastAsia="ko-KR"/>
              </w:rPr>
              <w:t xml:space="preserve"> (</w:t>
            </w:r>
            <w:r w:rsidR="00B00168">
              <w:rPr>
                <w:lang w:eastAsia="ko-KR"/>
              </w:rPr>
              <w:t>OFDMA and SU Tone Allocation</w:t>
            </w:r>
            <w:r w:rsidR="00FD13DD">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00168">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B00168">
              <w:rPr>
                <w:b w:val="0"/>
                <w:sz w:val="20"/>
                <w:lang w:eastAsia="ko-KR"/>
              </w:rPr>
              <w:t>5</w:t>
            </w:r>
            <w:r>
              <w:rPr>
                <w:rFonts w:hint="eastAsia"/>
                <w:b w:val="0"/>
                <w:sz w:val="20"/>
                <w:lang w:eastAsia="ko-KR"/>
              </w:rPr>
              <w:t>-</w:t>
            </w:r>
            <w:r w:rsidR="00B00168">
              <w:rPr>
                <w:b w:val="0"/>
                <w:sz w:val="20"/>
                <w:lang w:eastAsia="ko-KR"/>
              </w:rPr>
              <w:t>05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374E5A">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31972" w:rsidRPr="00183F4C" w:rsidTr="00F94DD8">
        <w:trPr>
          <w:trHeight w:val="1466"/>
          <w:jc w:val="center"/>
        </w:trPr>
        <w:tc>
          <w:tcPr>
            <w:tcW w:w="1548"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 Suh</w:t>
            </w:r>
          </w:p>
        </w:tc>
        <w:tc>
          <w:tcPr>
            <w:tcW w:w="1440" w:type="dxa"/>
            <w:vAlign w:val="center"/>
          </w:tcPr>
          <w:p w:rsidR="00331972" w:rsidRDefault="00331972" w:rsidP="00B00168">
            <w:pPr>
              <w:pStyle w:val="T2"/>
              <w:spacing w:after="0"/>
              <w:ind w:left="0" w:right="0"/>
              <w:jc w:val="left"/>
              <w:rPr>
                <w:b w:val="0"/>
                <w:sz w:val="18"/>
                <w:szCs w:val="18"/>
                <w:lang w:eastAsia="ko-KR"/>
              </w:rPr>
            </w:pPr>
            <w:r>
              <w:rPr>
                <w:b w:val="0"/>
                <w:sz w:val="18"/>
                <w:szCs w:val="18"/>
                <w:lang w:eastAsia="ko-KR"/>
              </w:rPr>
              <w:t>Huawei Tech</w:t>
            </w:r>
          </w:p>
        </w:tc>
        <w:tc>
          <w:tcPr>
            <w:tcW w:w="2610" w:type="dxa"/>
            <w:vAlign w:val="center"/>
          </w:tcPr>
          <w:p w:rsidR="00331972" w:rsidRDefault="00331972" w:rsidP="00492A82">
            <w:pPr>
              <w:pStyle w:val="T2"/>
              <w:spacing w:after="0"/>
              <w:ind w:left="0" w:right="0"/>
              <w:jc w:val="left"/>
              <w:rPr>
                <w:b w:val="0"/>
                <w:sz w:val="18"/>
                <w:szCs w:val="18"/>
                <w:lang w:eastAsia="ko-KR"/>
              </w:rPr>
            </w:pPr>
            <w:r w:rsidRPr="00331972">
              <w:rPr>
                <w:b w:val="0"/>
                <w:sz w:val="18"/>
                <w:szCs w:val="18"/>
                <w:lang w:val="en-US" w:eastAsia="ko-KR"/>
              </w:rPr>
              <w:t>303 Terry Fox Dr, Kanata, ON K2K 3J1, Canada</w:t>
            </w:r>
          </w:p>
        </w:tc>
        <w:tc>
          <w:tcPr>
            <w:tcW w:w="1507" w:type="dxa"/>
            <w:vAlign w:val="center"/>
          </w:tcPr>
          <w:p w:rsidR="00331972" w:rsidRPr="002C60AE" w:rsidRDefault="00331972" w:rsidP="00331972">
            <w:pPr>
              <w:pStyle w:val="T2"/>
              <w:spacing w:after="0"/>
              <w:ind w:left="0" w:right="0"/>
              <w:jc w:val="left"/>
              <w:rPr>
                <w:b w:val="0"/>
                <w:sz w:val="18"/>
                <w:szCs w:val="18"/>
                <w:lang w:eastAsia="ko-KR"/>
              </w:rPr>
            </w:pPr>
            <w:r w:rsidRPr="002C60AE">
              <w:rPr>
                <w:b w:val="0"/>
                <w:sz w:val="18"/>
                <w:szCs w:val="18"/>
                <w:lang w:eastAsia="ko-KR"/>
              </w:rPr>
              <w:t>+1-</w:t>
            </w:r>
            <w:r>
              <w:rPr>
                <w:b w:val="0"/>
                <w:sz w:val="18"/>
                <w:szCs w:val="18"/>
                <w:lang w:eastAsia="ko-KR"/>
              </w:rPr>
              <w:t>613</w:t>
            </w:r>
            <w:r w:rsidRPr="002C60AE">
              <w:rPr>
                <w:b w:val="0"/>
                <w:sz w:val="18"/>
                <w:szCs w:val="18"/>
                <w:lang w:eastAsia="ko-KR"/>
              </w:rPr>
              <w:t>-</w:t>
            </w:r>
            <w:r>
              <w:rPr>
                <w:b w:val="0"/>
                <w:sz w:val="18"/>
                <w:szCs w:val="18"/>
                <w:lang w:eastAsia="ko-KR"/>
              </w:rPr>
              <w:t>595-1900</w:t>
            </w:r>
          </w:p>
        </w:tc>
        <w:tc>
          <w:tcPr>
            <w:tcW w:w="2471"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junghoon.suh@huawei.com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0C0075">
        <w:rPr>
          <w:lang w:eastAsia="ko-KR"/>
        </w:rPr>
        <w:t>10</w:t>
      </w:r>
      <w:r w:rsidR="00FD13DD">
        <w:rPr>
          <w:lang w:eastAsia="ko-KR"/>
        </w:rPr>
        <w:t xml:space="preserve"> </w:t>
      </w:r>
      <w:r>
        <w:rPr>
          <w:lang w:eastAsia="ko-KR"/>
        </w:rPr>
        <w:t>comments</w:t>
      </w:r>
      <w:r w:rsidR="00FD13DD">
        <w:rPr>
          <w:lang w:eastAsia="ko-KR"/>
        </w:rPr>
        <w:t xml:space="preserve"> on </w:t>
      </w:r>
      <w:r w:rsidR="00747768">
        <w:rPr>
          <w:lang w:eastAsia="ko-KR"/>
        </w:rPr>
        <w:t>Clause 28.</w:t>
      </w:r>
      <w:r w:rsidR="00331972">
        <w:rPr>
          <w:lang w:eastAsia="ko-KR"/>
        </w:rPr>
        <w:t>3</w:t>
      </w:r>
      <w:r w:rsidR="00747768">
        <w:rPr>
          <w:lang w:eastAsia="ko-KR"/>
        </w:rPr>
        <w:t>.</w:t>
      </w:r>
      <w:r w:rsidR="00331972">
        <w:rPr>
          <w:lang w:eastAsia="ko-KR"/>
        </w:rPr>
        <w:t>3</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rsidR="00C3596F" w:rsidRDefault="00C3596F" w:rsidP="003E4403">
      <w:pPr>
        <w:jc w:val="both"/>
      </w:pPr>
    </w:p>
    <w:p w:rsidR="00D33196" w:rsidRDefault="00331972" w:rsidP="00D33196">
      <w:r>
        <w:t>4971, 4972, 7046, 7852, 7853, 8611, 8612, 8613, 10088</w:t>
      </w:r>
      <w:r w:rsidR="000C0075">
        <w:t>, 9794</w:t>
      </w:r>
    </w:p>
    <w:p w:rsidR="00747768" w:rsidRDefault="00747768" w:rsidP="003E4403">
      <w:pPr>
        <w:jc w:val="both"/>
      </w:pPr>
    </w:p>
    <w:p w:rsidR="003E4403" w:rsidRDefault="003E4403" w:rsidP="003E4403">
      <w:pPr>
        <w:jc w:val="both"/>
      </w:pPr>
      <w:r>
        <w:t>Revisions:</w:t>
      </w:r>
    </w:p>
    <w:p w:rsidR="00451084" w:rsidRDefault="00BA6C7C" w:rsidP="00331972">
      <w:pPr>
        <w:pStyle w:val="ListParagraph"/>
        <w:numPr>
          <w:ilvl w:val="0"/>
          <w:numId w:val="9"/>
        </w:numPr>
        <w:ind w:leftChars="0"/>
        <w:jc w:val="both"/>
      </w:pPr>
      <w:r>
        <w:t>Rev 0: Initial version of the document.</w:t>
      </w:r>
    </w:p>
    <w:p w:rsidR="00987E30" w:rsidRDefault="00987E30" w:rsidP="00331972">
      <w:pPr>
        <w:pStyle w:val="ListParagraph"/>
        <w:numPr>
          <w:ilvl w:val="0"/>
          <w:numId w:val="9"/>
        </w:numPr>
        <w:ind w:leftChars="0"/>
        <w:jc w:val="both"/>
      </w:pPr>
      <w:r>
        <w:t>Rev 1: Additional Comment Resolution, 9794</w:t>
      </w:r>
    </w:p>
    <w:p w:rsidR="00987E30" w:rsidRDefault="00987E30" w:rsidP="00331972">
      <w:pPr>
        <w:pStyle w:val="ListParagraph"/>
        <w:numPr>
          <w:ilvl w:val="0"/>
          <w:numId w:val="9"/>
        </w:numPr>
        <w:ind w:leftChars="0"/>
        <w:jc w:val="both"/>
      </w:pPr>
      <w:r>
        <w:t>Rev 2: Redundant word, “field” was removed</w:t>
      </w:r>
    </w:p>
    <w:p w:rsidR="00D1106F" w:rsidRDefault="00D1106F" w:rsidP="00331972">
      <w:pPr>
        <w:pStyle w:val="ListParagraph"/>
        <w:numPr>
          <w:ilvl w:val="0"/>
          <w:numId w:val="9"/>
        </w:numPr>
        <w:ind w:leftChars="0"/>
        <w:jc w:val="both"/>
      </w:pPr>
      <w:r>
        <w:t>Rev 3: Edition of Header text</w:t>
      </w:r>
    </w:p>
    <w:p w:rsidR="004F5CF9" w:rsidRDefault="004F5CF9" w:rsidP="004F5CF9">
      <w:pPr>
        <w:pStyle w:val="ListParagraph"/>
        <w:ind w:leftChars="0" w:left="72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rsidR="0053566B" w:rsidRDefault="0053566B" w:rsidP="00F2637D"/>
    <w:p w:rsidR="0053566B" w:rsidRDefault="0053566B" w:rsidP="00F2637D"/>
    <w:tbl>
      <w:tblPr>
        <w:tblW w:w="1111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91"/>
        <w:gridCol w:w="891"/>
        <w:gridCol w:w="2729"/>
        <w:gridCol w:w="2386"/>
        <w:gridCol w:w="3420"/>
      </w:tblGrid>
      <w:tr w:rsidR="0079373D" w:rsidRPr="001F620B" w:rsidTr="000F2E68">
        <w:trPr>
          <w:trHeight w:val="132"/>
        </w:trPr>
        <w:tc>
          <w:tcPr>
            <w:tcW w:w="802"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9" w:type="dxa"/>
            <w:shd w:val="clear" w:color="auto" w:fill="auto"/>
            <w:noWrap/>
            <w:vAlign w:val="bottom"/>
          </w:tcPr>
          <w:p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386" w:type="dxa"/>
            <w:shd w:val="clear" w:color="auto" w:fill="auto"/>
            <w:noWrap/>
            <w:vAlign w:val="bottom"/>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20" w:type="dxa"/>
            <w:shd w:val="clear" w:color="auto" w:fill="auto"/>
            <w:vAlign w:val="center"/>
          </w:tcPr>
          <w:p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A5163D" w:rsidRPr="001F620B" w:rsidTr="000F2E68">
        <w:trPr>
          <w:trHeight w:val="231"/>
        </w:trPr>
        <w:tc>
          <w:tcPr>
            <w:tcW w:w="802" w:type="dxa"/>
            <w:shd w:val="clear" w:color="auto" w:fill="auto"/>
          </w:tcPr>
          <w:p w:rsidR="00A5163D" w:rsidRDefault="006F4AA0" w:rsidP="00A5163D">
            <w:pPr>
              <w:jc w:val="center"/>
              <w:rPr>
                <w:sz w:val="20"/>
                <w:lang w:val="en-US"/>
              </w:rPr>
            </w:pPr>
            <w:r>
              <w:rPr>
                <w:sz w:val="20"/>
                <w:lang w:val="en-US"/>
              </w:rPr>
              <w:t>4971</w:t>
            </w:r>
          </w:p>
        </w:tc>
        <w:tc>
          <w:tcPr>
            <w:tcW w:w="891" w:type="dxa"/>
            <w:shd w:val="clear" w:color="auto" w:fill="auto"/>
          </w:tcPr>
          <w:p w:rsidR="00A5163D" w:rsidRDefault="00A5163D" w:rsidP="009501A1">
            <w:pPr>
              <w:jc w:val="center"/>
              <w:rPr>
                <w:sz w:val="20"/>
                <w:lang w:val="en-US"/>
              </w:rPr>
            </w:pPr>
            <w:r>
              <w:rPr>
                <w:sz w:val="20"/>
                <w:lang w:val="en-US"/>
              </w:rPr>
              <w:t>28.</w:t>
            </w:r>
            <w:r w:rsidR="009501A1">
              <w:rPr>
                <w:sz w:val="20"/>
                <w:lang w:val="en-US"/>
              </w:rPr>
              <w:t>3.3.4</w:t>
            </w:r>
          </w:p>
        </w:tc>
        <w:tc>
          <w:tcPr>
            <w:tcW w:w="891" w:type="dxa"/>
            <w:shd w:val="clear" w:color="auto" w:fill="auto"/>
          </w:tcPr>
          <w:p w:rsidR="00A5163D" w:rsidRDefault="00A5163D" w:rsidP="009501A1">
            <w:pPr>
              <w:jc w:val="center"/>
              <w:rPr>
                <w:sz w:val="20"/>
                <w:lang w:val="en-US"/>
              </w:rPr>
            </w:pPr>
            <w:r>
              <w:rPr>
                <w:sz w:val="20"/>
                <w:lang w:val="en-US"/>
              </w:rPr>
              <w:t>2</w:t>
            </w:r>
            <w:r w:rsidR="009501A1">
              <w:rPr>
                <w:sz w:val="20"/>
                <w:lang w:val="en-US"/>
              </w:rPr>
              <w:t>36</w:t>
            </w:r>
            <w:r>
              <w:rPr>
                <w:sz w:val="20"/>
                <w:lang w:val="en-US"/>
              </w:rPr>
              <w:t>.</w:t>
            </w:r>
            <w:r w:rsidR="009501A1">
              <w:rPr>
                <w:sz w:val="20"/>
                <w:lang w:val="en-US"/>
              </w:rPr>
              <w:t>34</w:t>
            </w:r>
          </w:p>
        </w:tc>
        <w:tc>
          <w:tcPr>
            <w:tcW w:w="2729" w:type="dxa"/>
            <w:shd w:val="clear" w:color="auto" w:fill="auto"/>
          </w:tcPr>
          <w:p w:rsidR="00A5163D" w:rsidRPr="009B0374" w:rsidRDefault="009501A1" w:rsidP="00A5163D">
            <w:pPr>
              <w:rPr>
                <w:sz w:val="20"/>
              </w:rPr>
            </w:pPr>
            <w:r w:rsidRPr="009501A1">
              <w:rPr>
                <w:sz w:val="20"/>
              </w:rPr>
              <w:t>"If pilot subcarriers are present in the HE-LTF field" is vague</w:t>
            </w:r>
          </w:p>
        </w:tc>
        <w:tc>
          <w:tcPr>
            <w:tcW w:w="2386" w:type="dxa"/>
            <w:shd w:val="clear" w:color="auto" w:fill="auto"/>
          </w:tcPr>
          <w:p w:rsidR="00A5163D" w:rsidRPr="009B0374" w:rsidRDefault="009501A1" w:rsidP="00A5163D">
            <w:pPr>
              <w:rPr>
                <w:sz w:val="20"/>
              </w:rPr>
            </w:pPr>
            <w:r w:rsidRPr="009501A1">
              <w:rPr>
                <w:sz w:val="20"/>
              </w:rPr>
              <w:t>Specify which formats this applies to and provide a cross-ref</w:t>
            </w:r>
          </w:p>
        </w:tc>
        <w:tc>
          <w:tcPr>
            <w:tcW w:w="3420" w:type="dxa"/>
            <w:shd w:val="clear" w:color="auto" w:fill="auto"/>
            <w:vAlign w:val="center"/>
          </w:tcPr>
          <w:p w:rsidR="00A5163D" w:rsidRDefault="00A5163D" w:rsidP="00A5163D">
            <w:pPr>
              <w:rPr>
                <w:sz w:val="20"/>
              </w:rPr>
            </w:pPr>
            <w:r>
              <w:rPr>
                <w:sz w:val="20"/>
              </w:rPr>
              <w:t>Revised—</w:t>
            </w:r>
          </w:p>
          <w:p w:rsidR="00C311BA" w:rsidRDefault="00C311BA" w:rsidP="00A5163D">
            <w:pPr>
              <w:rPr>
                <w:sz w:val="20"/>
              </w:rPr>
            </w:pPr>
          </w:p>
          <w:p w:rsidR="00C311BA" w:rsidRDefault="00C311BA" w:rsidP="00C311BA">
            <w:pPr>
              <w:rPr>
                <w:sz w:val="20"/>
              </w:rPr>
            </w:pPr>
            <w:r w:rsidRPr="00C311BA">
              <w:rPr>
                <w:sz w:val="20"/>
              </w:rPr>
              <w:t xml:space="preserve">Proposed resolution accounts for the suggested change. </w:t>
            </w:r>
          </w:p>
          <w:p w:rsidR="00C311BA" w:rsidRPr="00C311BA" w:rsidRDefault="00C311BA" w:rsidP="00C311BA">
            <w:pPr>
              <w:rPr>
                <w:sz w:val="20"/>
              </w:rPr>
            </w:pPr>
          </w:p>
          <w:p w:rsidR="00A5163D" w:rsidRDefault="00A5163D" w:rsidP="00A5163D">
            <w:pPr>
              <w:rPr>
                <w:sz w:val="20"/>
              </w:rPr>
            </w:pPr>
          </w:p>
          <w:p w:rsidR="00A5163D" w:rsidRDefault="00A5163D"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184CFC">
              <w:rPr>
                <w:sz w:val="20"/>
              </w:rPr>
              <w:t>3</w:t>
            </w:r>
            <w:r w:rsidR="00205E97">
              <w:rPr>
                <w:sz w:val="20"/>
              </w:rPr>
              <w:t xml:space="preserve"> </w:t>
            </w:r>
            <w:r w:rsidR="0038122E" w:rsidRPr="0038122E">
              <w:rPr>
                <w:sz w:val="20"/>
                <w:lang w:val="en-US"/>
              </w:rPr>
              <w:t>under the tag with</w:t>
            </w:r>
            <w:r w:rsidR="0038122E">
              <w:rPr>
                <w:sz w:val="20"/>
                <w:lang w:val="en-US"/>
              </w:rPr>
              <w:t xml:space="preserve"> CID 4971</w:t>
            </w:r>
            <w:r>
              <w:rPr>
                <w:sz w:val="20"/>
              </w:rPr>
              <w:t>.</w:t>
            </w:r>
          </w:p>
        </w:tc>
      </w:tr>
      <w:tr w:rsidR="00CE7849" w:rsidRPr="001F620B" w:rsidTr="000F2E68">
        <w:trPr>
          <w:trHeight w:val="231"/>
        </w:trPr>
        <w:tc>
          <w:tcPr>
            <w:tcW w:w="802" w:type="dxa"/>
            <w:shd w:val="clear" w:color="auto" w:fill="auto"/>
          </w:tcPr>
          <w:p w:rsidR="00CE7849" w:rsidRDefault="006F4AA0" w:rsidP="00CE7849">
            <w:pPr>
              <w:jc w:val="center"/>
              <w:rPr>
                <w:sz w:val="20"/>
                <w:lang w:val="en-US"/>
              </w:rPr>
            </w:pPr>
            <w:r>
              <w:rPr>
                <w:sz w:val="20"/>
                <w:lang w:val="en-US"/>
              </w:rPr>
              <w:t>4972</w:t>
            </w:r>
          </w:p>
        </w:tc>
        <w:tc>
          <w:tcPr>
            <w:tcW w:w="891" w:type="dxa"/>
            <w:shd w:val="clear" w:color="auto" w:fill="auto"/>
          </w:tcPr>
          <w:p w:rsidR="00CE7849" w:rsidRDefault="00CE7849" w:rsidP="00402351">
            <w:pPr>
              <w:jc w:val="center"/>
              <w:rPr>
                <w:sz w:val="20"/>
                <w:lang w:val="en-US"/>
              </w:rPr>
            </w:pPr>
            <w:r>
              <w:rPr>
                <w:sz w:val="20"/>
                <w:lang w:val="en-US"/>
              </w:rPr>
              <w:t>28.</w:t>
            </w:r>
            <w:r w:rsidR="00402351">
              <w:rPr>
                <w:sz w:val="20"/>
                <w:lang w:val="en-US"/>
              </w:rPr>
              <w:t>3.3.4</w:t>
            </w:r>
          </w:p>
        </w:tc>
        <w:tc>
          <w:tcPr>
            <w:tcW w:w="891" w:type="dxa"/>
            <w:shd w:val="clear" w:color="auto" w:fill="auto"/>
          </w:tcPr>
          <w:p w:rsidR="00CE7849" w:rsidRDefault="00CE7849" w:rsidP="00402351">
            <w:pPr>
              <w:jc w:val="center"/>
              <w:rPr>
                <w:sz w:val="20"/>
                <w:lang w:val="en-US"/>
              </w:rPr>
            </w:pPr>
            <w:r>
              <w:rPr>
                <w:sz w:val="20"/>
                <w:lang w:val="en-US"/>
              </w:rPr>
              <w:t>2</w:t>
            </w:r>
            <w:r w:rsidR="00402351">
              <w:rPr>
                <w:sz w:val="20"/>
                <w:lang w:val="en-US"/>
              </w:rPr>
              <w:t>36</w:t>
            </w:r>
            <w:r>
              <w:rPr>
                <w:sz w:val="20"/>
                <w:lang w:val="en-US"/>
              </w:rPr>
              <w:t>.</w:t>
            </w:r>
            <w:r w:rsidR="00402351">
              <w:rPr>
                <w:sz w:val="20"/>
                <w:lang w:val="en-US"/>
              </w:rPr>
              <w:t>34</w:t>
            </w:r>
          </w:p>
        </w:tc>
        <w:tc>
          <w:tcPr>
            <w:tcW w:w="2729" w:type="dxa"/>
            <w:shd w:val="clear" w:color="auto" w:fill="auto"/>
          </w:tcPr>
          <w:p w:rsidR="00CE7849" w:rsidRPr="009B0374" w:rsidRDefault="00402351" w:rsidP="00CE7849">
            <w:pPr>
              <w:rPr>
                <w:sz w:val="20"/>
              </w:rPr>
            </w:pPr>
            <w:r w:rsidRPr="00402351">
              <w:rPr>
                <w:sz w:val="20"/>
              </w:rPr>
              <w:t>Table 28-7 is misleading / confusing for PPDUs with different RU widths. E.g., as written, a 20 MHz PPDU can only be a mix of 26 or 52 RUs, or a mix of 106/242 Rus. But what about PPDUs that is a mix of 26, 52 and 106 RUs?</w:t>
            </w:r>
          </w:p>
        </w:tc>
        <w:tc>
          <w:tcPr>
            <w:tcW w:w="2386" w:type="dxa"/>
            <w:shd w:val="clear" w:color="auto" w:fill="auto"/>
          </w:tcPr>
          <w:p w:rsidR="00CE7849" w:rsidRPr="009B0374" w:rsidRDefault="00402351" w:rsidP="00CE7849">
            <w:pPr>
              <w:rPr>
                <w:sz w:val="20"/>
              </w:rPr>
            </w:pPr>
            <w:r w:rsidRPr="00402351">
              <w:rPr>
                <w:sz w:val="20"/>
              </w:rPr>
              <w:t xml:space="preserve">Need an extra level of indirection: e.g. if an RU is a 26 or 52 tone RU with a range of </w:t>
            </w:r>
            <w:proofErr w:type="spellStart"/>
            <w:r w:rsidRPr="00402351">
              <w:rPr>
                <w:sz w:val="20"/>
              </w:rPr>
              <w:t>subcarreirs</w:t>
            </w:r>
            <w:proofErr w:type="spellEnd"/>
            <w:r w:rsidRPr="00402351">
              <w:rPr>
                <w:sz w:val="20"/>
              </w:rPr>
              <w:t xml:space="preserve"> defined in table xxx, and a tone number listed in the RHS column falls within that range, then that RHS tone number is a pilot tone. Add clarifying language</w:t>
            </w:r>
          </w:p>
        </w:tc>
        <w:tc>
          <w:tcPr>
            <w:tcW w:w="3420" w:type="dxa"/>
            <w:shd w:val="clear" w:color="auto" w:fill="auto"/>
            <w:vAlign w:val="center"/>
          </w:tcPr>
          <w:p w:rsidR="00CE7849" w:rsidRDefault="00CE7849" w:rsidP="00CE7849">
            <w:pPr>
              <w:rPr>
                <w:sz w:val="20"/>
              </w:rPr>
            </w:pPr>
            <w:r>
              <w:rPr>
                <w:sz w:val="20"/>
              </w:rPr>
              <w:t>Re</w:t>
            </w:r>
            <w:r w:rsidR="00402351">
              <w:rPr>
                <w:sz w:val="20"/>
              </w:rPr>
              <w:t>jected</w:t>
            </w:r>
            <w:r>
              <w:rPr>
                <w:sz w:val="20"/>
              </w:rPr>
              <w:t>—</w:t>
            </w:r>
          </w:p>
          <w:p w:rsidR="00402351" w:rsidRDefault="00402351" w:rsidP="00CE7849">
            <w:pPr>
              <w:rPr>
                <w:sz w:val="20"/>
              </w:rPr>
            </w:pPr>
          </w:p>
          <w:p w:rsidR="00F13B84" w:rsidRDefault="00402351" w:rsidP="00963C53">
            <w:pPr>
              <w:rPr>
                <w:sz w:val="20"/>
              </w:rPr>
            </w:pPr>
            <w:r>
              <w:rPr>
                <w:sz w:val="20"/>
              </w:rPr>
              <w:t xml:space="preserve">Whichever RU or mixed RUs </w:t>
            </w:r>
            <w:r w:rsidR="006343B9">
              <w:rPr>
                <w:sz w:val="20"/>
              </w:rPr>
              <w:t>might be</w:t>
            </w:r>
            <w:r>
              <w:rPr>
                <w:sz w:val="20"/>
              </w:rPr>
              <w:t xml:space="preserve"> scheduled, the pilot location follows the corresponding RU in the Table. E.g.) </w:t>
            </w:r>
            <w:r w:rsidR="008F3537">
              <w:rPr>
                <w:sz w:val="20"/>
              </w:rPr>
              <w:t xml:space="preserve">if 52 tone and 106 tone RU are scheduled, then the pilot location for 52 RU follows the 52 RU pilot locations in the table, and </w:t>
            </w:r>
            <w:r w:rsidR="008F3537" w:rsidRPr="008F3537">
              <w:rPr>
                <w:sz w:val="20"/>
                <w:lang w:val="en-US"/>
              </w:rPr>
              <w:t xml:space="preserve">the pilot location for </w:t>
            </w:r>
            <w:r w:rsidR="008F3537">
              <w:rPr>
                <w:sz w:val="20"/>
                <w:lang w:val="en-US"/>
              </w:rPr>
              <w:t>106</w:t>
            </w:r>
            <w:r w:rsidR="008F3537" w:rsidRPr="008F3537">
              <w:rPr>
                <w:sz w:val="20"/>
                <w:lang w:val="en-US"/>
              </w:rPr>
              <w:t xml:space="preserve"> RU follows the </w:t>
            </w:r>
            <w:r w:rsidR="008F3537">
              <w:rPr>
                <w:sz w:val="20"/>
                <w:lang w:val="en-US"/>
              </w:rPr>
              <w:t>106</w:t>
            </w:r>
            <w:r w:rsidR="008F3537" w:rsidRPr="008F3537">
              <w:rPr>
                <w:sz w:val="20"/>
                <w:lang w:val="en-US"/>
              </w:rPr>
              <w:t xml:space="preserve"> RU pilot locations</w:t>
            </w:r>
            <w:r w:rsidR="000A7A84">
              <w:rPr>
                <w:sz w:val="20"/>
                <w:lang w:val="en-US"/>
              </w:rPr>
              <w:t xml:space="preserve"> in the table. </w:t>
            </w:r>
          </w:p>
        </w:tc>
      </w:tr>
      <w:tr w:rsidR="00D577AD" w:rsidRPr="001F620B" w:rsidTr="000F2E68">
        <w:trPr>
          <w:trHeight w:val="231"/>
        </w:trPr>
        <w:tc>
          <w:tcPr>
            <w:tcW w:w="802" w:type="dxa"/>
            <w:shd w:val="clear" w:color="auto" w:fill="auto"/>
          </w:tcPr>
          <w:p w:rsidR="00D577AD" w:rsidRDefault="006F4AA0" w:rsidP="00D577AD">
            <w:pPr>
              <w:jc w:val="center"/>
              <w:rPr>
                <w:sz w:val="20"/>
                <w:lang w:val="en-US"/>
              </w:rPr>
            </w:pPr>
            <w:r>
              <w:rPr>
                <w:sz w:val="20"/>
                <w:lang w:val="en-US"/>
              </w:rPr>
              <w:t>7046</w:t>
            </w:r>
          </w:p>
        </w:tc>
        <w:tc>
          <w:tcPr>
            <w:tcW w:w="891" w:type="dxa"/>
            <w:shd w:val="clear" w:color="auto" w:fill="auto"/>
          </w:tcPr>
          <w:p w:rsidR="00D577AD" w:rsidRDefault="00D577AD" w:rsidP="00EE2E0A">
            <w:pPr>
              <w:jc w:val="center"/>
              <w:rPr>
                <w:sz w:val="20"/>
                <w:lang w:val="en-US"/>
              </w:rPr>
            </w:pPr>
            <w:r>
              <w:rPr>
                <w:sz w:val="20"/>
                <w:lang w:val="en-US"/>
              </w:rPr>
              <w:t>28.</w:t>
            </w:r>
            <w:r w:rsidR="00EE2E0A">
              <w:rPr>
                <w:sz w:val="20"/>
                <w:lang w:val="en-US"/>
              </w:rPr>
              <w:t>3.3.3</w:t>
            </w:r>
          </w:p>
        </w:tc>
        <w:tc>
          <w:tcPr>
            <w:tcW w:w="891" w:type="dxa"/>
            <w:shd w:val="clear" w:color="auto" w:fill="auto"/>
          </w:tcPr>
          <w:p w:rsidR="00D577AD" w:rsidRDefault="00D577AD" w:rsidP="00EE2E0A">
            <w:pPr>
              <w:jc w:val="center"/>
              <w:rPr>
                <w:sz w:val="20"/>
                <w:lang w:val="en-US"/>
              </w:rPr>
            </w:pPr>
            <w:r>
              <w:rPr>
                <w:sz w:val="20"/>
                <w:lang w:val="en-US"/>
              </w:rPr>
              <w:t>2</w:t>
            </w:r>
            <w:r w:rsidR="00EE2E0A">
              <w:rPr>
                <w:sz w:val="20"/>
                <w:lang w:val="en-US"/>
              </w:rPr>
              <w:t>36</w:t>
            </w:r>
            <w:r>
              <w:rPr>
                <w:sz w:val="20"/>
                <w:lang w:val="en-US"/>
              </w:rPr>
              <w:t>.</w:t>
            </w:r>
            <w:r w:rsidR="00EE2E0A">
              <w:rPr>
                <w:sz w:val="20"/>
                <w:lang w:val="en-US"/>
              </w:rPr>
              <w:t>3</w:t>
            </w:r>
          </w:p>
        </w:tc>
        <w:tc>
          <w:tcPr>
            <w:tcW w:w="2729" w:type="dxa"/>
            <w:shd w:val="clear" w:color="auto" w:fill="auto"/>
          </w:tcPr>
          <w:p w:rsidR="00D577AD" w:rsidRPr="009B0374" w:rsidRDefault="00EE2E0A" w:rsidP="00D577AD">
            <w:pPr>
              <w:rPr>
                <w:sz w:val="20"/>
              </w:rPr>
            </w:pPr>
            <w:r w:rsidRPr="00EE2E0A">
              <w:rPr>
                <w:sz w:val="20"/>
              </w:rPr>
              <w:t>Explanation on why the null subcarriers are located in each band as in the Table 28-6.</w:t>
            </w:r>
          </w:p>
        </w:tc>
        <w:tc>
          <w:tcPr>
            <w:tcW w:w="2386" w:type="dxa"/>
            <w:shd w:val="clear" w:color="auto" w:fill="auto"/>
          </w:tcPr>
          <w:p w:rsidR="00D577AD" w:rsidRDefault="00EE2E0A" w:rsidP="00D577AD">
            <w:pPr>
              <w:rPr>
                <w:sz w:val="20"/>
              </w:rPr>
            </w:pPr>
            <w:r>
              <w:rPr>
                <w:sz w:val="20"/>
              </w:rPr>
              <w:t>Add</w:t>
            </w:r>
            <w:r w:rsidRPr="00EE2E0A">
              <w:rPr>
                <w:sz w:val="20"/>
              </w:rPr>
              <w:t xml:space="preserve"> the following </w:t>
            </w:r>
            <w:r>
              <w:rPr>
                <w:sz w:val="20"/>
              </w:rPr>
              <w:t xml:space="preserve">explanation </w:t>
            </w:r>
            <w:r w:rsidRPr="00EE2E0A">
              <w:rPr>
                <w:sz w:val="20"/>
              </w:rPr>
              <w:t>in Line 3.</w:t>
            </w:r>
          </w:p>
          <w:p w:rsidR="00EE2E0A" w:rsidRDefault="00EE2E0A" w:rsidP="00D577AD">
            <w:pPr>
              <w:rPr>
                <w:sz w:val="20"/>
              </w:rPr>
            </w:pPr>
          </w:p>
          <w:p w:rsidR="00EE2E0A" w:rsidRPr="009B0374" w:rsidRDefault="00EE2E0A" w:rsidP="00D577AD">
            <w:pPr>
              <w:rPr>
                <w:sz w:val="20"/>
              </w:rPr>
            </w:pPr>
            <w:r w:rsidRPr="00EE2E0A">
              <w:rPr>
                <w:sz w:val="20"/>
              </w:rPr>
              <w:t>Those null subcarriers on the edge of the band may provide the protection of the RU adjacent to the edge tones from being distorted. The extra null subcarriers located between the edge tones and the RU adjacent to the edge tones provide the protection of the RU from the edge tone distortion.</w:t>
            </w:r>
          </w:p>
        </w:tc>
        <w:tc>
          <w:tcPr>
            <w:tcW w:w="3420" w:type="dxa"/>
            <w:shd w:val="clear" w:color="auto" w:fill="auto"/>
            <w:vAlign w:val="center"/>
          </w:tcPr>
          <w:p w:rsidR="002774D2" w:rsidRDefault="002774D2" w:rsidP="002774D2">
            <w:pPr>
              <w:rPr>
                <w:sz w:val="20"/>
              </w:rPr>
            </w:pPr>
            <w:r>
              <w:rPr>
                <w:sz w:val="20"/>
              </w:rPr>
              <w:t>Revised—</w:t>
            </w:r>
          </w:p>
          <w:p w:rsidR="00F13B84" w:rsidRDefault="00F13B84" w:rsidP="002774D2">
            <w:pPr>
              <w:rPr>
                <w:sz w:val="20"/>
              </w:rPr>
            </w:pPr>
          </w:p>
          <w:p w:rsidR="00F13B84" w:rsidRPr="00F13B84" w:rsidRDefault="00F13B84" w:rsidP="00F13B84">
            <w:pPr>
              <w:rPr>
                <w:sz w:val="20"/>
              </w:rPr>
            </w:pPr>
            <w:r w:rsidRPr="00F13B84">
              <w:rPr>
                <w:sz w:val="20"/>
              </w:rPr>
              <w:t xml:space="preserve">Proposed resolution accounts for the suggested change. </w:t>
            </w: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2774D2" w:rsidRDefault="002774D2" w:rsidP="002774D2">
            <w:pPr>
              <w:rPr>
                <w:sz w:val="20"/>
              </w:rPr>
            </w:pPr>
          </w:p>
          <w:p w:rsidR="00D577AD" w:rsidRDefault="002774D2"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184CFC">
              <w:rPr>
                <w:sz w:val="20"/>
              </w:rPr>
              <w:t>3</w:t>
            </w:r>
            <w:r>
              <w:rPr>
                <w:sz w:val="20"/>
              </w:rPr>
              <w:t xml:space="preserve"> under </w:t>
            </w:r>
            <w:r w:rsidR="00EE2E0A">
              <w:rPr>
                <w:sz w:val="20"/>
              </w:rPr>
              <w:t>the tag</w:t>
            </w:r>
            <w:r>
              <w:rPr>
                <w:sz w:val="20"/>
              </w:rPr>
              <w:t xml:space="preserve"> </w:t>
            </w:r>
            <w:r w:rsidR="00EE2E0A">
              <w:rPr>
                <w:sz w:val="20"/>
              </w:rPr>
              <w:t>with</w:t>
            </w:r>
            <w:r>
              <w:rPr>
                <w:sz w:val="20"/>
              </w:rPr>
              <w:t xml:space="preserve"> CID 7</w:t>
            </w:r>
            <w:r w:rsidR="00EE2E0A">
              <w:rPr>
                <w:sz w:val="20"/>
              </w:rPr>
              <w:t>046</w:t>
            </w:r>
            <w:r>
              <w:rPr>
                <w:sz w:val="20"/>
              </w:rPr>
              <w:t>.</w:t>
            </w:r>
          </w:p>
        </w:tc>
      </w:tr>
      <w:tr w:rsidR="005E2CD3" w:rsidRPr="001F620B" w:rsidTr="000F2E68">
        <w:trPr>
          <w:trHeight w:val="231"/>
        </w:trPr>
        <w:tc>
          <w:tcPr>
            <w:tcW w:w="802" w:type="dxa"/>
            <w:shd w:val="clear" w:color="auto" w:fill="auto"/>
          </w:tcPr>
          <w:p w:rsidR="005E2CD3" w:rsidRDefault="005E2CD3" w:rsidP="006F4AA0">
            <w:pPr>
              <w:jc w:val="center"/>
              <w:rPr>
                <w:sz w:val="20"/>
                <w:lang w:val="en-US"/>
              </w:rPr>
            </w:pPr>
            <w:r w:rsidRPr="00BA746E">
              <w:rPr>
                <w:sz w:val="20"/>
                <w:lang w:val="en-US"/>
              </w:rPr>
              <w:t>78</w:t>
            </w:r>
            <w:r w:rsidR="006F4AA0">
              <w:rPr>
                <w:sz w:val="20"/>
                <w:lang w:val="en-US"/>
              </w:rPr>
              <w:t>52</w:t>
            </w:r>
          </w:p>
        </w:tc>
        <w:tc>
          <w:tcPr>
            <w:tcW w:w="891" w:type="dxa"/>
            <w:shd w:val="clear" w:color="auto" w:fill="auto"/>
          </w:tcPr>
          <w:p w:rsidR="005E2CD3" w:rsidRDefault="005E2CD3" w:rsidP="005E2CD3">
            <w:pPr>
              <w:jc w:val="center"/>
              <w:rPr>
                <w:sz w:val="20"/>
                <w:lang w:val="en-US"/>
              </w:rPr>
            </w:pPr>
            <w:r>
              <w:rPr>
                <w:sz w:val="20"/>
                <w:lang w:val="en-US"/>
              </w:rPr>
              <w:t>28.</w:t>
            </w:r>
            <w:r w:rsidR="00233944">
              <w:rPr>
                <w:sz w:val="20"/>
                <w:lang w:val="en-US"/>
              </w:rPr>
              <w:t>3.3.4</w:t>
            </w:r>
          </w:p>
        </w:tc>
        <w:tc>
          <w:tcPr>
            <w:tcW w:w="891" w:type="dxa"/>
            <w:shd w:val="clear" w:color="auto" w:fill="auto"/>
          </w:tcPr>
          <w:p w:rsidR="005E2CD3" w:rsidRDefault="005E2CD3" w:rsidP="00233944">
            <w:pPr>
              <w:jc w:val="center"/>
              <w:rPr>
                <w:sz w:val="20"/>
                <w:lang w:val="en-US"/>
              </w:rPr>
            </w:pPr>
            <w:r>
              <w:rPr>
                <w:sz w:val="20"/>
                <w:lang w:val="en-US"/>
              </w:rPr>
              <w:t>2</w:t>
            </w:r>
            <w:r w:rsidR="00233944">
              <w:rPr>
                <w:sz w:val="20"/>
                <w:lang w:val="en-US"/>
              </w:rPr>
              <w:t>36</w:t>
            </w:r>
            <w:r>
              <w:rPr>
                <w:sz w:val="20"/>
                <w:lang w:val="en-US"/>
              </w:rPr>
              <w:t>.</w:t>
            </w:r>
            <w:r w:rsidR="00233944">
              <w:rPr>
                <w:sz w:val="20"/>
                <w:lang w:val="en-US"/>
              </w:rPr>
              <w:t>3</w:t>
            </w:r>
            <w:r>
              <w:rPr>
                <w:sz w:val="20"/>
                <w:lang w:val="en-US"/>
              </w:rPr>
              <w:t>4</w:t>
            </w:r>
          </w:p>
        </w:tc>
        <w:tc>
          <w:tcPr>
            <w:tcW w:w="2729" w:type="dxa"/>
            <w:shd w:val="clear" w:color="auto" w:fill="auto"/>
          </w:tcPr>
          <w:p w:rsidR="005E2CD3" w:rsidRPr="009B0374" w:rsidRDefault="00E4019C" w:rsidP="00E4019C">
            <w:pPr>
              <w:rPr>
                <w:sz w:val="20"/>
              </w:rPr>
            </w:pPr>
            <w:r w:rsidRPr="00E4019C">
              <w:rPr>
                <w:sz w:val="20"/>
              </w:rPr>
              <w:t xml:space="preserve">What about 2x HE-LTF case, is it always present? </w:t>
            </w:r>
          </w:p>
        </w:tc>
        <w:tc>
          <w:tcPr>
            <w:tcW w:w="2386" w:type="dxa"/>
            <w:shd w:val="clear" w:color="auto" w:fill="auto"/>
          </w:tcPr>
          <w:p w:rsidR="005E2CD3" w:rsidRPr="009B0374" w:rsidRDefault="00E4019C" w:rsidP="005E2CD3">
            <w:pPr>
              <w:rPr>
                <w:sz w:val="20"/>
              </w:rPr>
            </w:pPr>
            <w:r>
              <w:rPr>
                <w:sz w:val="20"/>
              </w:rPr>
              <w:t>Clarify</w:t>
            </w:r>
          </w:p>
        </w:tc>
        <w:tc>
          <w:tcPr>
            <w:tcW w:w="3420" w:type="dxa"/>
            <w:shd w:val="clear" w:color="auto" w:fill="auto"/>
            <w:vAlign w:val="center"/>
          </w:tcPr>
          <w:p w:rsidR="00BA746E" w:rsidRDefault="00BA746E" w:rsidP="00BA746E">
            <w:pPr>
              <w:rPr>
                <w:sz w:val="20"/>
              </w:rPr>
            </w:pPr>
            <w:r>
              <w:rPr>
                <w:sz w:val="20"/>
              </w:rPr>
              <w:t>Revised—</w:t>
            </w:r>
          </w:p>
          <w:p w:rsidR="00C311BA" w:rsidRDefault="00C311BA" w:rsidP="00BA746E">
            <w:pPr>
              <w:rPr>
                <w:sz w:val="20"/>
              </w:rPr>
            </w:pPr>
          </w:p>
          <w:p w:rsidR="00C311BA" w:rsidRPr="00C311BA" w:rsidRDefault="00C311BA" w:rsidP="00C311BA">
            <w:pPr>
              <w:rPr>
                <w:sz w:val="20"/>
              </w:rPr>
            </w:pPr>
            <w:r w:rsidRPr="00C311BA">
              <w:rPr>
                <w:sz w:val="20"/>
              </w:rPr>
              <w:t xml:space="preserve">Proposed resolution accounts for the suggested change. </w:t>
            </w:r>
          </w:p>
          <w:p w:rsidR="00C311BA" w:rsidRDefault="00C311BA" w:rsidP="00BA746E">
            <w:pPr>
              <w:rPr>
                <w:sz w:val="20"/>
              </w:rPr>
            </w:pPr>
          </w:p>
          <w:p w:rsidR="00C311BA" w:rsidRDefault="00C311BA" w:rsidP="00BA746E">
            <w:pPr>
              <w:rPr>
                <w:sz w:val="20"/>
              </w:rPr>
            </w:pPr>
          </w:p>
          <w:p w:rsidR="00BA746E" w:rsidRDefault="00BA746E" w:rsidP="00BA746E">
            <w:pPr>
              <w:rPr>
                <w:sz w:val="20"/>
              </w:rPr>
            </w:pPr>
          </w:p>
          <w:p w:rsidR="005E2CD3" w:rsidRDefault="00BA746E"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184CFC">
              <w:rPr>
                <w:sz w:val="20"/>
              </w:rPr>
              <w:t>3</w:t>
            </w:r>
            <w:r>
              <w:rPr>
                <w:sz w:val="20"/>
              </w:rPr>
              <w:t xml:space="preserve"> </w:t>
            </w:r>
            <w:r w:rsidR="0038122E" w:rsidRPr="0038122E">
              <w:rPr>
                <w:sz w:val="20"/>
                <w:lang w:val="en-US"/>
              </w:rPr>
              <w:t>under the tag with CID 7</w:t>
            </w:r>
            <w:r w:rsidR="0038122E">
              <w:rPr>
                <w:sz w:val="20"/>
                <w:lang w:val="en-US"/>
              </w:rPr>
              <w:t>852</w:t>
            </w:r>
            <w:r>
              <w:rPr>
                <w:sz w:val="20"/>
              </w:rPr>
              <w:t>.</w:t>
            </w:r>
          </w:p>
        </w:tc>
      </w:tr>
      <w:tr w:rsidR="00133FE3" w:rsidRPr="001F620B" w:rsidTr="000F2E68">
        <w:trPr>
          <w:trHeight w:val="231"/>
        </w:trPr>
        <w:tc>
          <w:tcPr>
            <w:tcW w:w="802" w:type="dxa"/>
            <w:shd w:val="clear" w:color="auto" w:fill="auto"/>
          </w:tcPr>
          <w:p w:rsidR="00133FE3" w:rsidRPr="003676FB" w:rsidRDefault="006F4AA0" w:rsidP="00133FE3">
            <w:pPr>
              <w:jc w:val="center"/>
              <w:rPr>
                <w:sz w:val="20"/>
                <w:highlight w:val="yellow"/>
                <w:lang w:val="en-US"/>
              </w:rPr>
            </w:pPr>
            <w:r>
              <w:rPr>
                <w:sz w:val="20"/>
                <w:lang w:val="en-US"/>
              </w:rPr>
              <w:lastRenderedPageBreak/>
              <w:t>7853</w:t>
            </w:r>
          </w:p>
        </w:tc>
        <w:tc>
          <w:tcPr>
            <w:tcW w:w="891" w:type="dxa"/>
            <w:shd w:val="clear" w:color="auto" w:fill="auto"/>
          </w:tcPr>
          <w:p w:rsidR="00133FE3" w:rsidRDefault="00133FE3" w:rsidP="00133FE3">
            <w:pPr>
              <w:jc w:val="center"/>
              <w:rPr>
                <w:sz w:val="20"/>
                <w:lang w:val="en-US"/>
              </w:rPr>
            </w:pPr>
            <w:r>
              <w:rPr>
                <w:sz w:val="20"/>
                <w:lang w:val="en-US"/>
              </w:rPr>
              <w:t>28.</w:t>
            </w:r>
            <w:r w:rsidR="00B07B86">
              <w:rPr>
                <w:sz w:val="20"/>
                <w:lang w:val="en-US"/>
              </w:rPr>
              <w:t>3.3.4</w:t>
            </w:r>
          </w:p>
        </w:tc>
        <w:tc>
          <w:tcPr>
            <w:tcW w:w="891" w:type="dxa"/>
            <w:shd w:val="clear" w:color="auto" w:fill="auto"/>
          </w:tcPr>
          <w:p w:rsidR="00133FE3" w:rsidRDefault="00133FE3" w:rsidP="00B07B86">
            <w:pPr>
              <w:jc w:val="center"/>
              <w:rPr>
                <w:sz w:val="20"/>
                <w:lang w:val="en-US"/>
              </w:rPr>
            </w:pPr>
            <w:r>
              <w:rPr>
                <w:sz w:val="20"/>
                <w:lang w:val="en-US"/>
              </w:rPr>
              <w:t>2</w:t>
            </w:r>
            <w:r w:rsidR="00B07B86">
              <w:rPr>
                <w:sz w:val="20"/>
                <w:lang w:val="en-US"/>
              </w:rPr>
              <w:t>36</w:t>
            </w:r>
            <w:r>
              <w:rPr>
                <w:sz w:val="20"/>
                <w:lang w:val="en-US"/>
              </w:rPr>
              <w:t>.</w:t>
            </w:r>
            <w:r w:rsidR="00B07B86">
              <w:rPr>
                <w:sz w:val="20"/>
                <w:lang w:val="en-US"/>
              </w:rPr>
              <w:t>34</w:t>
            </w:r>
          </w:p>
        </w:tc>
        <w:tc>
          <w:tcPr>
            <w:tcW w:w="2729" w:type="dxa"/>
            <w:shd w:val="clear" w:color="auto" w:fill="auto"/>
          </w:tcPr>
          <w:p w:rsidR="00133FE3" w:rsidRPr="009B0374" w:rsidRDefault="00E264B0" w:rsidP="00133FE3">
            <w:pPr>
              <w:rPr>
                <w:sz w:val="20"/>
              </w:rPr>
            </w:pPr>
            <w:r w:rsidRPr="00E264B0">
              <w:rPr>
                <w:sz w:val="20"/>
              </w:rPr>
              <w:t>It is desirable to always transmit pilot subcarrier even if the RU the pilot subcarriers belonging to is not allocated.</w:t>
            </w:r>
          </w:p>
        </w:tc>
        <w:tc>
          <w:tcPr>
            <w:tcW w:w="2386" w:type="dxa"/>
            <w:shd w:val="clear" w:color="auto" w:fill="auto"/>
          </w:tcPr>
          <w:p w:rsidR="00133FE3" w:rsidRPr="009B0374" w:rsidRDefault="00E264B0" w:rsidP="00133FE3">
            <w:pPr>
              <w:rPr>
                <w:sz w:val="20"/>
              </w:rPr>
            </w:pPr>
            <w:r w:rsidRPr="00E264B0">
              <w:rPr>
                <w:sz w:val="20"/>
              </w:rPr>
              <w:t>Add "Pilot subcarriers shall be transmitted even if the RU a pilot subcarrier belongs to is not allocated"</w:t>
            </w:r>
          </w:p>
        </w:tc>
        <w:tc>
          <w:tcPr>
            <w:tcW w:w="3420" w:type="dxa"/>
            <w:shd w:val="clear" w:color="auto" w:fill="auto"/>
            <w:vAlign w:val="center"/>
          </w:tcPr>
          <w:p w:rsidR="000D0BB2" w:rsidRDefault="000D0BB2" w:rsidP="000D0BB2">
            <w:pPr>
              <w:rPr>
                <w:sz w:val="20"/>
              </w:rPr>
            </w:pPr>
            <w:r>
              <w:rPr>
                <w:sz w:val="20"/>
              </w:rPr>
              <w:t>Re</w:t>
            </w:r>
            <w:r w:rsidR="002A2081">
              <w:rPr>
                <w:sz w:val="20"/>
              </w:rPr>
              <w:t>jected</w:t>
            </w:r>
            <w:r>
              <w:rPr>
                <w:sz w:val="20"/>
              </w:rPr>
              <w:t>—</w:t>
            </w:r>
          </w:p>
          <w:p w:rsidR="002A2081" w:rsidRDefault="002A2081" w:rsidP="000D0BB2">
            <w:pPr>
              <w:rPr>
                <w:sz w:val="20"/>
              </w:rPr>
            </w:pPr>
          </w:p>
          <w:p w:rsidR="00133FE3" w:rsidRDefault="002A2081" w:rsidP="00E5156F">
            <w:pPr>
              <w:rPr>
                <w:sz w:val="20"/>
              </w:rPr>
            </w:pPr>
            <w:r>
              <w:rPr>
                <w:sz w:val="20"/>
              </w:rPr>
              <w:t xml:space="preserve">The pilots in each RU are good enough to compensate the residual phase offset of each RU. </w:t>
            </w:r>
            <w:r w:rsidR="00E5156F">
              <w:rPr>
                <w:sz w:val="20"/>
              </w:rPr>
              <w:t xml:space="preserve">As for the DL HE MU-PPDU, all the scheduled RUs as well as the RU allocated to the corresponding STA are transmitted anyway. In case of UL OFDMA using the HE trigger based PPDU, only the scheduled RUs allocated to the </w:t>
            </w:r>
            <w:proofErr w:type="spellStart"/>
            <w:r w:rsidR="00E5156F">
              <w:rPr>
                <w:sz w:val="20"/>
              </w:rPr>
              <w:t>correposponding</w:t>
            </w:r>
            <w:proofErr w:type="spellEnd"/>
            <w:r w:rsidR="00E5156F">
              <w:rPr>
                <w:sz w:val="20"/>
              </w:rPr>
              <w:t xml:space="preserve"> STA are transmitted. </w:t>
            </w:r>
          </w:p>
        </w:tc>
      </w:tr>
      <w:tr w:rsidR="00A07FCB" w:rsidRPr="001F620B" w:rsidTr="000F2E68">
        <w:trPr>
          <w:trHeight w:val="231"/>
        </w:trPr>
        <w:tc>
          <w:tcPr>
            <w:tcW w:w="802" w:type="dxa"/>
            <w:shd w:val="clear" w:color="auto" w:fill="auto"/>
          </w:tcPr>
          <w:p w:rsidR="00A07FCB" w:rsidRDefault="00A07FCB" w:rsidP="006F4AA0">
            <w:pPr>
              <w:jc w:val="center"/>
              <w:rPr>
                <w:sz w:val="20"/>
                <w:lang w:val="en-US"/>
              </w:rPr>
            </w:pPr>
            <w:r>
              <w:rPr>
                <w:sz w:val="20"/>
                <w:lang w:val="en-US"/>
              </w:rPr>
              <w:t>86</w:t>
            </w:r>
            <w:r w:rsidR="006F4AA0">
              <w:rPr>
                <w:sz w:val="20"/>
                <w:lang w:val="en-US"/>
              </w:rPr>
              <w:t>11</w:t>
            </w:r>
          </w:p>
        </w:tc>
        <w:tc>
          <w:tcPr>
            <w:tcW w:w="891" w:type="dxa"/>
            <w:shd w:val="clear" w:color="auto" w:fill="auto"/>
          </w:tcPr>
          <w:p w:rsidR="00A07FCB" w:rsidRDefault="00A07FCB" w:rsidP="000D734A">
            <w:pPr>
              <w:jc w:val="center"/>
              <w:rPr>
                <w:sz w:val="20"/>
                <w:lang w:val="en-US"/>
              </w:rPr>
            </w:pPr>
            <w:r>
              <w:rPr>
                <w:sz w:val="20"/>
                <w:lang w:val="en-US"/>
              </w:rPr>
              <w:t>28.</w:t>
            </w:r>
            <w:r w:rsidR="000D734A">
              <w:rPr>
                <w:sz w:val="20"/>
                <w:lang w:val="en-US"/>
              </w:rPr>
              <w:t>3.3.3</w:t>
            </w:r>
          </w:p>
        </w:tc>
        <w:tc>
          <w:tcPr>
            <w:tcW w:w="891" w:type="dxa"/>
            <w:shd w:val="clear" w:color="auto" w:fill="auto"/>
          </w:tcPr>
          <w:p w:rsidR="00A07FCB" w:rsidRDefault="00A07FCB" w:rsidP="000D734A">
            <w:pPr>
              <w:jc w:val="center"/>
              <w:rPr>
                <w:sz w:val="20"/>
                <w:lang w:val="en-US"/>
              </w:rPr>
            </w:pPr>
            <w:r>
              <w:rPr>
                <w:sz w:val="20"/>
                <w:lang w:val="en-US"/>
              </w:rPr>
              <w:t>2</w:t>
            </w:r>
            <w:r w:rsidR="000D734A">
              <w:rPr>
                <w:sz w:val="20"/>
                <w:lang w:val="en-US"/>
              </w:rPr>
              <w:t>36</w:t>
            </w:r>
            <w:r>
              <w:rPr>
                <w:sz w:val="20"/>
                <w:lang w:val="en-US"/>
              </w:rPr>
              <w:t>.</w:t>
            </w:r>
            <w:r w:rsidR="000D734A">
              <w:rPr>
                <w:sz w:val="20"/>
                <w:lang w:val="en-US"/>
              </w:rPr>
              <w:t>1</w:t>
            </w:r>
            <w:r>
              <w:rPr>
                <w:sz w:val="20"/>
                <w:lang w:val="en-US"/>
              </w:rPr>
              <w:t>6</w:t>
            </w:r>
          </w:p>
        </w:tc>
        <w:tc>
          <w:tcPr>
            <w:tcW w:w="2729" w:type="dxa"/>
            <w:shd w:val="clear" w:color="auto" w:fill="auto"/>
          </w:tcPr>
          <w:p w:rsidR="00A07FCB" w:rsidRPr="009B0374" w:rsidRDefault="000D734A" w:rsidP="00A07FCB">
            <w:pPr>
              <w:rPr>
                <w:sz w:val="20"/>
              </w:rPr>
            </w:pPr>
            <w:r w:rsidRPr="000D734A">
              <w:rPr>
                <w:sz w:val="20"/>
              </w:rPr>
              <w:t>Table 28-6, for 40 MHz RU sizes 26, 52 and 106 defines tones +/-3 as null subcarriers, while +2:2 are defined as DC subcarriers. What's wrong with defining -3:+3 as DC subcarriers?</w:t>
            </w:r>
          </w:p>
        </w:tc>
        <w:tc>
          <w:tcPr>
            <w:tcW w:w="2386" w:type="dxa"/>
            <w:shd w:val="clear" w:color="auto" w:fill="auto"/>
          </w:tcPr>
          <w:p w:rsidR="00A07FCB" w:rsidRPr="009B0374" w:rsidRDefault="000D734A" w:rsidP="00A07FCB">
            <w:pPr>
              <w:rPr>
                <w:sz w:val="20"/>
              </w:rPr>
            </w:pPr>
            <w:r w:rsidRPr="000D734A">
              <w:rPr>
                <w:sz w:val="20"/>
              </w:rPr>
              <w:t>Define -3:+3 as DC subcarriers</w:t>
            </w:r>
          </w:p>
        </w:tc>
        <w:tc>
          <w:tcPr>
            <w:tcW w:w="3420" w:type="dxa"/>
            <w:shd w:val="clear" w:color="auto" w:fill="auto"/>
            <w:vAlign w:val="center"/>
          </w:tcPr>
          <w:p w:rsidR="00A07FCB" w:rsidRDefault="00A07FCB" w:rsidP="00A07FCB">
            <w:pPr>
              <w:rPr>
                <w:sz w:val="20"/>
              </w:rPr>
            </w:pPr>
            <w:r>
              <w:rPr>
                <w:sz w:val="20"/>
              </w:rPr>
              <w:t>Re</w:t>
            </w:r>
            <w:r w:rsidR="00182F7B">
              <w:rPr>
                <w:sz w:val="20"/>
              </w:rPr>
              <w:t>jected</w:t>
            </w:r>
            <w:r>
              <w:rPr>
                <w:sz w:val="20"/>
              </w:rPr>
              <w:t>—</w:t>
            </w:r>
          </w:p>
          <w:p w:rsidR="00182F7B" w:rsidRDefault="00182F7B" w:rsidP="00A07FCB">
            <w:pPr>
              <w:rPr>
                <w:sz w:val="20"/>
              </w:rPr>
            </w:pPr>
          </w:p>
          <w:p w:rsidR="00A07FCB" w:rsidRDefault="00182F7B" w:rsidP="00D57E50">
            <w:pPr>
              <w:rPr>
                <w:sz w:val="20"/>
              </w:rPr>
            </w:pPr>
            <w:r>
              <w:rPr>
                <w:sz w:val="20"/>
              </w:rPr>
              <w:t>It is virtually the same effect whether we set +/- 3 tones to DC or Null subcarriers. Since there are 5 DC set for the 242 tone RUs case, it is better to keep the current tone plan as it is for a consistency purpose among all the RU cases</w:t>
            </w:r>
            <w:r w:rsidR="004B3479">
              <w:rPr>
                <w:sz w:val="20"/>
              </w:rPr>
              <w:t xml:space="preserve"> for 40 </w:t>
            </w:r>
            <w:proofErr w:type="spellStart"/>
            <w:r w:rsidR="004B3479">
              <w:rPr>
                <w:sz w:val="20"/>
              </w:rPr>
              <w:t>MHz</w:t>
            </w:r>
            <w:r>
              <w:rPr>
                <w:sz w:val="20"/>
              </w:rPr>
              <w:t>.</w:t>
            </w:r>
            <w:proofErr w:type="spellEnd"/>
          </w:p>
        </w:tc>
      </w:tr>
      <w:tr w:rsidR="008839DD" w:rsidRPr="001F620B" w:rsidTr="000F2E68">
        <w:trPr>
          <w:trHeight w:val="231"/>
        </w:trPr>
        <w:tc>
          <w:tcPr>
            <w:tcW w:w="802" w:type="dxa"/>
            <w:shd w:val="clear" w:color="auto" w:fill="auto"/>
          </w:tcPr>
          <w:p w:rsidR="008839DD" w:rsidRDefault="008839DD" w:rsidP="006F4AA0">
            <w:pPr>
              <w:jc w:val="center"/>
              <w:rPr>
                <w:sz w:val="20"/>
                <w:lang w:val="en-US"/>
              </w:rPr>
            </w:pPr>
            <w:r>
              <w:rPr>
                <w:sz w:val="20"/>
                <w:lang w:val="en-US"/>
              </w:rPr>
              <w:t>86</w:t>
            </w:r>
            <w:r w:rsidR="006F4AA0">
              <w:rPr>
                <w:sz w:val="20"/>
                <w:lang w:val="en-US"/>
              </w:rPr>
              <w:t>12</w:t>
            </w:r>
          </w:p>
        </w:tc>
        <w:tc>
          <w:tcPr>
            <w:tcW w:w="891" w:type="dxa"/>
            <w:shd w:val="clear" w:color="auto" w:fill="auto"/>
          </w:tcPr>
          <w:p w:rsidR="008839DD" w:rsidRDefault="008839DD" w:rsidP="00A10807">
            <w:pPr>
              <w:jc w:val="center"/>
              <w:rPr>
                <w:sz w:val="20"/>
                <w:lang w:val="en-US"/>
              </w:rPr>
            </w:pPr>
            <w:r>
              <w:rPr>
                <w:sz w:val="20"/>
                <w:lang w:val="en-US"/>
              </w:rPr>
              <w:t>28.</w:t>
            </w:r>
            <w:r w:rsidR="00A10807">
              <w:rPr>
                <w:sz w:val="20"/>
                <w:lang w:val="en-US"/>
              </w:rPr>
              <w:t>3.3.4</w:t>
            </w:r>
          </w:p>
        </w:tc>
        <w:tc>
          <w:tcPr>
            <w:tcW w:w="891" w:type="dxa"/>
            <w:shd w:val="clear" w:color="auto" w:fill="auto"/>
          </w:tcPr>
          <w:p w:rsidR="008839DD" w:rsidRDefault="008839DD" w:rsidP="00A10807">
            <w:pPr>
              <w:jc w:val="center"/>
              <w:rPr>
                <w:sz w:val="20"/>
                <w:lang w:val="en-US"/>
              </w:rPr>
            </w:pPr>
            <w:r>
              <w:rPr>
                <w:sz w:val="20"/>
                <w:lang w:val="en-US"/>
              </w:rPr>
              <w:t>2</w:t>
            </w:r>
            <w:r w:rsidR="00A10807">
              <w:rPr>
                <w:sz w:val="20"/>
                <w:lang w:val="en-US"/>
              </w:rPr>
              <w:t>36</w:t>
            </w:r>
            <w:r>
              <w:rPr>
                <w:sz w:val="20"/>
                <w:lang w:val="en-US"/>
              </w:rPr>
              <w:t>.</w:t>
            </w:r>
            <w:r w:rsidR="00A10807">
              <w:rPr>
                <w:sz w:val="20"/>
                <w:lang w:val="en-US"/>
              </w:rPr>
              <w:t>35</w:t>
            </w:r>
          </w:p>
        </w:tc>
        <w:tc>
          <w:tcPr>
            <w:tcW w:w="2729" w:type="dxa"/>
            <w:shd w:val="clear" w:color="auto" w:fill="auto"/>
          </w:tcPr>
          <w:p w:rsidR="008839DD" w:rsidRPr="009B0374" w:rsidRDefault="00C31D8A" w:rsidP="008839DD">
            <w:pPr>
              <w:rPr>
                <w:sz w:val="20"/>
              </w:rPr>
            </w:pPr>
            <w:r w:rsidRPr="00C31D8A">
              <w:rPr>
                <w:sz w:val="20"/>
              </w:rPr>
              <w:t>Unclear sentence "In the 1x HE-LTF, the pilot locations are the pilot subcarrier indices that are multiples of 4 of the pilot subcarriers for data field."</w:t>
            </w:r>
          </w:p>
        </w:tc>
        <w:tc>
          <w:tcPr>
            <w:tcW w:w="2386" w:type="dxa"/>
            <w:shd w:val="clear" w:color="auto" w:fill="auto"/>
          </w:tcPr>
          <w:p w:rsidR="008839DD" w:rsidRPr="009B0374" w:rsidRDefault="00C31D8A" w:rsidP="008839DD">
            <w:pPr>
              <w:rPr>
                <w:sz w:val="20"/>
              </w:rPr>
            </w:pPr>
            <w:r w:rsidRPr="00C31D8A">
              <w:rPr>
                <w:sz w:val="20"/>
              </w:rPr>
              <w:t>Change to "In the 1x HE-LTF, the pilot locations in HE-LTF only consists of the pilot subcarriers for data field that are multiples of four."</w:t>
            </w:r>
          </w:p>
        </w:tc>
        <w:tc>
          <w:tcPr>
            <w:tcW w:w="3420" w:type="dxa"/>
            <w:shd w:val="clear" w:color="auto" w:fill="auto"/>
            <w:vAlign w:val="center"/>
          </w:tcPr>
          <w:p w:rsidR="008839DD" w:rsidRDefault="008839DD" w:rsidP="008839DD">
            <w:pPr>
              <w:rPr>
                <w:sz w:val="20"/>
              </w:rPr>
            </w:pPr>
            <w:r>
              <w:rPr>
                <w:sz w:val="20"/>
              </w:rPr>
              <w:t>Revised—</w:t>
            </w:r>
          </w:p>
          <w:p w:rsidR="00F13B84" w:rsidRDefault="00F13B84" w:rsidP="008839DD">
            <w:pPr>
              <w:rPr>
                <w:sz w:val="20"/>
              </w:rPr>
            </w:pPr>
          </w:p>
          <w:p w:rsidR="008839DD" w:rsidRDefault="008839DD" w:rsidP="008839DD">
            <w:pPr>
              <w:rPr>
                <w:sz w:val="20"/>
              </w:rPr>
            </w:pPr>
            <w:r>
              <w:rPr>
                <w:sz w:val="20"/>
              </w:rPr>
              <w:t xml:space="preserve">Proposed resolution accounts for the suggested change. </w:t>
            </w:r>
          </w:p>
          <w:p w:rsidR="008839DD" w:rsidRDefault="008839DD" w:rsidP="008839DD">
            <w:pPr>
              <w:rPr>
                <w:sz w:val="20"/>
              </w:rPr>
            </w:pPr>
          </w:p>
          <w:p w:rsidR="008839DD" w:rsidRDefault="008839DD"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184CFC">
              <w:rPr>
                <w:sz w:val="20"/>
              </w:rPr>
              <w:t>3</w:t>
            </w:r>
            <w:r>
              <w:rPr>
                <w:sz w:val="20"/>
              </w:rPr>
              <w:t xml:space="preserve"> under </w:t>
            </w:r>
            <w:r w:rsidR="00E4019C">
              <w:rPr>
                <w:sz w:val="20"/>
              </w:rPr>
              <w:t>the tag</w:t>
            </w:r>
            <w:r>
              <w:rPr>
                <w:sz w:val="20"/>
              </w:rPr>
              <w:t xml:space="preserve"> </w:t>
            </w:r>
            <w:r w:rsidR="00E4019C">
              <w:rPr>
                <w:sz w:val="20"/>
              </w:rPr>
              <w:t>with</w:t>
            </w:r>
            <w:r>
              <w:rPr>
                <w:sz w:val="20"/>
              </w:rPr>
              <w:t xml:space="preserve"> CID 86</w:t>
            </w:r>
            <w:r w:rsidR="00D57D26">
              <w:rPr>
                <w:sz w:val="20"/>
              </w:rPr>
              <w:t>12</w:t>
            </w:r>
            <w:r>
              <w:rPr>
                <w:sz w:val="20"/>
              </w:rPr>
              <w:t>.</w:t>
            </w:r>
          </w:p>
        </w:tc>
      </w:tr>
      <w:tr w:rsidR="00ED2465" w:rsidRPr="001F620B" w:rsidTr="000F2E68">
        <w:trPr>
          <w:trHeight w:val="231"/>
        </w:trPr>
        <w:tc>
          <w:tcPr>
            <w:tcW w:w="802" w:type="dxa"/>
            <w:shd w:val="clear" w:color="auto" w:fill="auto"/>
          </w:tcPr>
          <w:p w:rsidR="00ED2465" w:rsidRDefault="00ED2465" w:rsidP="006F4AA0">
            <w:pPr>
              <w:jc w:val="center"/>
              <w:rPr>
                <w:sz w:val="20"/>
                <w:lang w:val="en-US"/>
              </w:rPr>
            </w:pPr>
            <w:r>
              <w:rPr>
                <w:sz w:val="20"/>
                <w:lang w:val="en-US"/>
              </w:rPr>
              <w:t>86</w:t>
            </w:r>
            <w:r w:rsidR="006F4AA0">
              <w:rPr>
                <w:sz w:val="20"/>
                <w:lang w:val="en-US"/>
              </w:rPr>
              <w:t>13</w:t>
            </w:r>
          </w:p>
        </w:tc>
        <w:tc>
          <w:tcPr>
            <w:tcW w:w="891" w:type="dxa"/>
            <w:shd w:val="clear" w:color="auto" w:fill="auto"/>
          </w:tcPr>
          <w:p w:rsidR="00ED2465" w:rsidRDefault="00ED2465" w:rsidP="00B252FA">
            <w:pPr>
              <w:jc w:val="center"/>
              <w:rPr>
                <w:sz w:val="20"/>
                <w:lang w:val="en-US"/>
              </w:rPr>
            </w:pPr>
            <w:r>
              <w:rPr>
                <w:sz w:val="20"/>
                <w:lang w:val="en-US"/>
              </w:rPr>
              <w:t>28.</w:t>
            </w:r>
            <w:r w:rsidR="00B252FA">
              <w:rPr>
                <w:sz w:val="20"/>
                <w:lang w:val="en-US"/>
              </w:rPr>
              <w:t>3.3.4</w:t>
            </w:r>
          </w:p>
        </w:tc>
        <w:tc>
          <w:tcPr>
            <w:tcW w:w="891" w:type="dxa"/>
            <w:shd w:val="clear" w:color="auto" w:fill="auto"/>
          </w:tcPr>
          <w:p w:rsidR="00ED2465" w:rsidRDefault="00B252FA" w:rsidP="00ED2465">
            <w:pPr>
              <w:jc w:val="center"/>
              <w:rPr>
                <w:sz w:val="20"/>
                <w:lang w:val="en-US"/>
              </w:rPr>
            </w:pPr>
            <w:r>
              <w:rPr>
                <w:sz w:val="20"/>
                <w:lang w:val="en-US"/>
              </w:rPr>
              <w:t>236.42</w:t>
            </w:r>
          </w:p>
        </w:tc>
        <w:tc>
          <w:tcPr>
            <w:tcW w:w="2729" w:type="dxa"/>
            <w:shd w:val="clear" w:color="auto" w:fill="auto"/>
          </w:tcPr>
          <w:p w:rsidR="00ED2465" w:rsidRPr="009B0374" w:rsidRDefault="00B252FA" w:rsidP="00ED2465">
            <w:pPr>
              <w:rPr>
                <w:sz w:val="20"/>
              </w:rPr>
            </w:pPr>
            <w:r w:rsidRPr="00B252FA">
              <w:rPr>
                <w:sz w:val="20"/>
              </w:rPr>
              <w:t>The pilot tones are specific to RU's. Table 28-7 should use a format similar to e.g. Table 28-3 to Table 28-5, showing the pilot tones belonging to each RU</w:t>
            </w:r>
          </w:p>
        </w:tc>
        <w:tc>
          <w:tcPr>
            <w:tcW w:w="2386" w:type="dxa"/>
            <w:shd w:val="clear" w:color="auto" w:fill="auto"/>
          </w:tcPr>
          <w:p w:rsidR="00ED2465" w:rsidRPr="009B0374" w:rsidRDefault="00B252FA" w:rsidP="00ED2465">
            <w:pPr>
              <w:rPr>
                <w:sz w:val="20"/>
              </w:rPr>
            </w:pPr>
            <w:r w:rsidRPr="00B252FA">
              <w:rPr>
                <w:sz w:val="20"/>
              </w:rPr>
              <w:t>Show the pilot tones specific to each RU</w:t>
            </w:r>
          </w:p>
        </w:tc>
        <w:tc>
          <w:tcPr>
            <w:tcW w:w="3420" w:type="dxa"/>
            <w:shd w:val="clear" w:color="auto" w:fill="auto"/>
            <w:vAlign w:val="center"/>
          </w:tcPr>
          <w:p w:rsidR="00AB3491" w:rsidRDefault="00AB3491" w:rsidP="00AB3491">
            <w:pPr>
              <w:rPr>
                <w:sz w:val="20"/>
              </w:rPr>
            </w:pPr>
            <w:r>
              <w:rPr>
                <w:sz w:val="20"/>
              </w:rPr>
              <w:t>Re</w:t>
            </w:r>
            <w:r w:rsidR="00E93859">
              <w:rPr>
                <w:sz w:val="20"/>
              </w:rPr>
              <w:t>jected</w:t>
            </w:r>
            <w:r>
              <w:rPr>
                <w:sz w:val="20"/>
              </w:rPr>
              <w:t>—</w:t>
            </w:r>
          </w:p>
          <w:p w:rsidR="00ED2465" w:rsidRDefault="00ED2465" w:rsidP="00D57E50">
            <w:pPr>
              <w:rPr>
                <w:sz w:val="20"/>
              </w:rPr>
            </w:pPr>
          </w:p>
          <w:p w:rsidR="00E93859" w:rsidRDefault="00BA24D8" w:rsidP="00D57E50">
            <w:pPr>
              <w:rPr>
                <w:sz w:val="20"/>
              </w:rPr>
            </w:pPr>
            <w:r>
              <w:rPr>
                <w:sz w:val="20"/>
              </w:rPr>
              <w:t>This table is clear enough to indicate the pilot indices for the subcarrier indices in Table 28-3 to 28-5.</w:t>
            </w:r>
          </w:p>
          <w:p w:rsidR="00E93859" w:rsidRDefault="00BA24D8" w:rsidP="00D57E50">
            <w:pPr>
              <w:rPr>
                <w:sz w:val="20"/>
              </w:rPr>
            </w:pPr>
            <w:r>
              <w:rPr>
                <w:sz w:val="20"/>
              </w:rPr>
              <w:t>There is no confusion. It is redundant to create another table like 28-3 to 28-5 just for the pilot indices.</w:t>
            </w:r>
          </w:p>
        </w:tc>
      </w:tr>
      <w:tr w:rsidR="000F2E68" w:rsidRPr="001F620B" w:rsidTr="000F2E68">
        <w:trPr>
          <w:trHeight w:val="2051"/>
        </w:trPr>
        <w:tc>
          <w:tcPr>
            <w:tcW w:w="802" w:type="dxa"/>
            <w:shd w:val="clear" w:color="auto" w:fill="auto"/>
          </w:tcPr>
          <w:p w:rsidR="000F2E68" w:rsidRDefault="000F2E68" w:rsidP="006F4AA0">
            <w:pPr>
              <w:jc w:val="center"/>
              <w:rPr>
                <w:sz w:val="20"/>
                <w:lang w:val="en-US"/>
              </w:rPr>
            </w:pPr>
            <w:r>
              <w:rPr>
                <w:sz w:val="20"/>
                <w:lang w:val="en-US"/>
              </w:rPr>
              <w:t>10088</w:t>
            </w:r>
          </w:p>
        </w:tc>
        <w:tc>
          <w:tcPr>
            <w:tcW w:w="891" w:type="dxa"/>
            <w:shd w:val="clear" w:color="auto" w:fill="auto"/>
          </w:tcPr>
          <w:p w:rsidR="000F2E68" w:rsidRDefault="00B015FA" w:rsidP="00ED2465">
            <w:pPr>
              <w:jc w:val="center"/>
              <w:rPr>
                <w:sz w:val="20"/>
                <w:lang w:val="en-US"/>
              </w:rPr>
            </w:pPr>
            <w:r>
              <w:rPr>
                <w:sz w:val="20"/>
                <w:lang w:val="en-US"/>
              </w:rPr>
              <w:t>28.3.3.4</w:t>
            </w:r>
          </w:p>
        </w:tc>
        <w:tc>
          <w:tcPr>
            <w:tcW w:w="891" w:type="dxa"/>
            <w:shd w:val="clear" w:color="auto" w:fill="auto"/>
          </w:tcPr>
          <w:p w:rsidR="000F2E68" w:rsidRDefault="00B015FA" w:rsidP="00ED2465">
            <w:pPr>
              <w:jc w:val="center"/>
              <w:rPr>
                <w:sz w:val="20"/>
                <w:lang w:val="en-US"/>
              </w:rPr>
            </w:pPr>
            <w:r>
              <w:rPr>
                <w:sz w:val="20"/>
                <w:lang w:val="en-US"/>
              </w:rPr>
              <w:t>237.6</w:t>
            </w:r>
          </w:p>
        </w:tc>
        <w:tc>
          <w:tcPr>
            <w:tcW w:w="2729" w:type="dxa"/>
            <w:shd w:val="clear" w:color="auto" w:fill="auto"/>
          </w:tcPr>
          <w:p w:rsidR="000F2E68" w:rsidRPr="009B0374" w:rsidRDefault="007A5F67" w:rsidP="00ED2465">
            <w:pPr>
              <w:rPr>
                <w:sz w:val="20"/>
              </w:rPr>
            </w:pPr>
            <w:r w:rsidRPr="007A5F67">
              <w:rPr>
                <w:sz w:val="20"/>
              </w:rPr>
              <w:t>Through the spec, "lower/upper" 80MHz is used generally rather than "first/second" 80MHz. The "first/second" 80MHz needs to be replaced with "lower" 80MHz and "upper" 80MHz to be consistent in the spec.</w:t>
            </w:r>
          </w:p>
        </w:tc>
        <w:tc>
          <w:tcPr>
            <w:tcW w:w="2386" w:type="dxa"/>
            <w:shd w:val="clear" w:color="auto" w:fill="auto"/>
          </w:tcPr>
          <w:p w:rsidR="000F2E68" w:rsidRPr="009B0374" w:rsidRDefault="007A5F67" w:rsidP="00ED2465">
            <w:pPr>
              <w:rPr>
                <w:sz w:val="20"/>
              </w:rPr>
            </w:pPr>
            <w:r w:rsidRPr="007A5F67">
              <w:rPr>
                <w:sz w:val="20"/>
              </w:rPr>
              <w:t>As in the comment.</w:t>
            </w:r>
          </w:p>
        </w:tc>
        <w:tc>
          <w:tcPr>
            <w:tcW w:w="3420" w:type="dxa"/>
            <w:shd w:val="clear" w:color="auto" w:fill="auto"/>
            <w:vAlign w:val="center"/>
          </w:tcPr>
          <w:p w:rsidR="007A5F67" w:rsidRPr="007A5F67" w:rsidRDefault="00850F12" w:rsidP="007A5F67">
            <w:pPr>
              <w:rPr>
                <w:sz w:val="20"/>
              </w:rPr>
            </w:pPr>
            <w:r>
              <w:rPr>
                <w:sz w:val="20"/>
              </w:rPr>
              <w:t>Revised</w:t>
            </w:r>
            <w:r w:rsidR="007A5F67" w:rsidRPr="007A5F67">
              <w:rPr>
                <w:sz w:val="20"/>
              </w:rPr>
              <w:t>—</w:t>
            </w:r>
          </w:p>
          <w:p w:rsidR="007A5F67" w:rsidRDefault="007A5F67" w:rsidP="00AB3491">
            <w:pPr>
              <w:rPr>
                <w:sz w:val="20"/>
              </w:rPr>
            </w:pPr>
          </w:p>
          <w:p w:rsidR="00850F12" w:rsidRPr="00850F12" w:rsidRDefault="00850F12" w:rsidP="00850F12">
            <w:pPr>
              <w:rPr>
                <w:sz w:val="20"/>
              </w:rPr>
            </w:pPr>
            <w:r w:rsidRPr="00850F12">
              <w:rPr>
                <w:sz w:val="20"/>
              </w:rPr>
              <w:t xml:space="preserve">Proposed resolution accounts for the suggested change. </w:t>
            </w:r>
          </w:p>
          <w:p w:rsidR="007A5F67" w:rsidRDefault="007A5F67" w:rsidP="00AB3491">
            <w:pPr>
              <w:rPr>
                <w:sz w:val="20"/>
              </w:rPr>
            </w:pPr>
          </w:p>
          <w:p w:rsidR="007A5F67" w:rsidRDefault="007A5F67" w:rsidP="006C5D22">
            <w:pPr>
              <w:rPr>
                <w:sz w:val="20"/>
              </w:rPr>
            </w:pPr>
            <w:proofErr w:type="spellStart"/>
            <w:r w:rsidRPr="007A5F67">
              <w:rPr>
                <w:sz w:val="20"/>
                <w:lang w:val="en-US"/>
              </w:rPr>
              <w:t>TGax</w:t>
            </w:r>
            <w:proofErr w:type="spellEnd"/>
            <w:r w:rsidRPr="007A5F67">
              <w:rPr>
                <w:sz w:val="20"/>
                <w:lang w:val="en-US"/>
              </w:rPr>
              <w:t xml:space="preserve"> Editor to make the changes shown in IEEE 802.11-17/0</w:t>
            </w:r>
            <w:r w:rsidR="006C5D22">
              <w:rPr>
                <w:sz w:val="20"/>
                <w:lang w:val="en-US"/>
              </w:rPr>
              <w:t>614</w:t>
            </w:r>
            <w:r w:rsidR="00184CFC">
              <w:rPr>
                <w:sz w:val="20"/>
                <w:lang w:val="en-US"/>
              </w:rPr>
              <w:t>r3</w:t>
            </w:r>
            <w:bookmarkStart w:id="0" w:name="_GoBack"/>
            <w:bookmarkEnd w:id="0"/>
            <w:r w:rsidRPr="007A5F67">
              <w:rPr>
                <w:sz w:val="20"/>
                <w:lang w:val="en-US"/>
              </w:rPr>
              <w:t xml:space="preserve"> under the tag with CID </w:t>
            </w:r>
            <w:r>
              <w:rPr>
                <w:sz w:val="20"/>
                <w:lang w:val="en-US"/>
              </w:rPr>
              <w:t>10088</w:t>
            </w:r>
            <w:r w:rsidRPr="007A5F67">
              <w:rPr>
                <w:sz w:val="20"/>
                <w:lang w:val="en-US"/>
              </w:rPr>
              <w:t>.</w:t>
            </w:r>
          </w:p>
        </w:tc>
      </w:tr>
      <w:tr w:rsidR="00667FE4" w:rsidRPr="001F620B" w:rsidTr="000F2E68">
        <w:trPr>
          <w:trHeight w:val="2051"/>
        </w:trPr>
        <w:tc>
          <w:tcPr>
            <w:tcW w:w="802" w:type="dxa"/>
            <w:shd w:val="clear" w:color="auto" w:fill="auto"/>
          </w:tcPr>
          <w:p w:rsidR="00667FE4" w:rsidRDefault="00667FE4" w:rsidP="006F4AA0">
            <w:pPr>
              <w:jc w:val="center"/>
              <w:rPr>
                <w:sz w:val="20"/>
                <w:lang w:val="en-US"/>
              </w:rPr>
            </w:pPr>
            <w:r>
              <w:rPr>
                <w:sz w:val="20"/>
                <w:lang w:val="en-US"/>
              </w:rPr>
              <w:t>9794</w:t>
            </w:r>
          </w:p>
        </w:tc>
        <w:tc>
          <w:tcPr>
            <w:tcW w:w="891" w:type="dxa"/>
            <w:shd w:val="clear" w:color="auto" w:fill="auto"/>
          </w:tcPr>
          <w:p w:rsidR="00667FE4" w:rsidRDefault="00667FE4" w:rsidP="00ED2465">
            <w:pPr>
              <w:jc w:val="center"/>
              <w:rPr>
                <w:sz w:val="20"/>
                <w:lang w:val="en-US"/>
              </w:rPr>
            </w:pPr>
            <w:r>
              <w:rPr>
                <w:sz w:val="20"/>
                <w:lang w:val="en-US"/>
              </w:rPr>
              <w:t>28.3.3.3</w:t>
            </w:r>
          </w:p>
        </w:tc>
        <w:tc>
          <w:tcPr>
            <w:tcW w:w="891" w:type="dxa"/>
            <w:shd w:val="clear" w:color="auto" w:fill="auto"/>
          </w:tcPr>
          <w:p w:rsidR="00667FE4" w:rsidRDefault="00667FE4" w:rsidP="00ED2465">
            <w:pPr>
              <w:jc w:val="center"/>
              <w:rPr>
                <w:sz w:val="20"/>
                <w:lang w:val="en-US"/>
              </w:rPr>
            </w:pPr>
            <w:r>
              <w:rPr>
                <w:sz w:val="20"/>
                <w:lang w:val="en-US"/>
              </w:rPr>
              <w:t>236.6</w:t>
            </w:r>
          </w:p>
        </w:tc>
        <w:tc>
          <w:tcPr>
            <w:tcW w:w="2729" w:type="dxa"/>
            <w:shd w:val="clear" w:color="auto" w:fill="auto"/>
          </w:tcPr>
          <w:p w:rsidR="00667FE4" w:rsidRPr="007A5F67" w:rsidRDefault="00667FE4" w:rsidP="00ED2465">
            <w:pPr>
              <w:rPr>
                <w:sz w:val="20"/>
              </w:rPr>
            </w:pPr>
            <w:r w:rsidRPr="00667FE4">
              <w:rPr>
                <w:sz w:val="20"/>
              </w:rPr>
              <w:t xml:space="preserve">Do we need to list out the null subcarrier indices as shown in Table 28-6?  In other words, how does one </w:t>
            </w:r>
            <w:proofErr w:type="spellStart"/>
            <w:r w:rsidRPr="00667FE4">
              <w:rPr>
                <w:sz w:val="20"/>
              </w:rPr>
              <w:t>interprete</w:t>
            </w:r>
            <w:proofErr w:type="spellEnd"/>
            <w:r w:rsidRPr="00667FE4">
              <w:rPr>
                <w:sz w:val="20"/>
              </w:rPr>
              <w:t>/use Table 28-6?  If one transmits any RU26 in a 20 MHz HE PPDU, then it shall not modulate tones +-69, +-122?  But what if right side of 20 MHz HE PPDU is using RU106?  Isn't it sufficient to specify which tones are modulated (as in Table 28-</w:t>
            </w:r>
            <w:r w:rsidRPr="00667FE4">
              <w:rPr>
                <w:sz w:val="20"/>
              </w:rPr>
              <w:lastRenderedPageBreak/>
              <w:t>3~5), and state that all other tones are not modulated?</w:t>
            </w:r>
          </w:p>
        </w:tc>
        <w:tc>
          <w:tcPr>
            <w:tcW w:w="2386" w:type="dxa"/>
            <w:shd w:val="clear" w:color="auto" w:fill="auto"/>
          </w:tcPr>
          <w:p w:rsidR="00667FE4" w:rsidRPr="007A5F67" w:rsidRDefault="00667FE4" w:rsidP="00ED2465">
            <w:pPr>
              <w:rPr>
                <w:sz w:val="20"/>
              </w:rPr>
            </w:pPr>
            <w:r w:rsidRPr="00667FE4">
              <w:rPr>
                <w:sz w:val="20"/>
              </w:rPr>
              <w:lastRenderedPageBreak/>
              <w:t>Consider removing Table 28-6.</w:t>
            </w:r>
          </w:p>
        </w:tc>
        <w:tc>
          <w:tcPr>
            <w:tcW w:w="3420" w:type="dxa"/>
            <w:shd w:val="clear" w:color="auto" w:fill="auto"/>
            <w:vAlign w:val="center"/>
          </w:tcPr>
          <w:p w:rsidR="00667FE4" w:rsidRDefault="00667FE4" w:rsidP="00667FE4">
            <w:pPr>
              <w:rPr>
                <w:sz w:val="20"/>
              </w:rPr>
            </w:pPr>
            <w:r>
              <w:rPr>
                <w:sz w:val="20"/>
              </w:rPr>
              <w:t>Rejected—</w:t>
            </w:r>
          </w:p>
          <w:p w:rsidR="00667FE4" w:rsidRDefault="00667FE4" w:rsidP="00667FE4">
            <w:pPr>
              <w:rPr>
                <w:sz w:val="20"/>
              </w:rPr>
            </w:pPr>
          </w:p>
          <w:p w:rsidR="00667FE4" w:rsidRDefault="00667FE4" w:rsidP="00667FE4">
            <w:pPr>
              <w:rPr>
                <w:sz w:val="20"/>
              </w:rPr>
            </w:pPr>
          </w:p>
          <w:p w:rsidR="00667FE4" w:rsidRDefault="00667FE4" w:rsidP="00667FE4">
            <w:pPr>
              <w:rPr>
                <w:sz w:val="20"/>
              </w:rPr>
            </w:pPr>
          </w:p>
          <w:p w:rsidR="00667FE4" w:rsidRDefault="00667FE4" w:rsidP="00667FE4">
            <w:pPr>
              <w:rPr>
                <w:sz w:val="20"/>
              </w:rPr>
            </w:pPr>
          </w:p>
          <w:p w:rsidR="00667FE4" w:rsidRDefault="00667FE4" w:rsidP="00667FE4">
            <w:pPr>
              <w:rPr>
                <w:sz w:val="20"/>
              </w:rPr>
            </w:pPr>
          </w:p>
          <w:p w:rsidR="00667FE4" w:rsidRDefault="00667FE4" w:rsidP="00667FE4">
            <w:pPr>
              <w:rPr>
                <w:sz w:val="20"/>
              </w:rPr>
            </w:pPr>
          </w:p>
          <w:p w:rsidR="00667FE4" w:rsidRDefault="00667FE4" w:rsidP="00667FE4">
            <w:pPr>
              <w:rPr>
                <w:sz w:val="20"/>
              </w:rPr>
            </w:pPr>
          </w:p>
          <w:p w:rsidR="00667FE4" w:rsidRDefault="00667FE4" w:rsidP="00667FE4">
            <w:pPr>
              <w:rPr>
                <w:sz w:val="20"/>
              </w:rPr>
            </w:pPr>
            <w:r>
              <w:rPr>
                <w:sz w:val="20"/>
              </w:rPr>
              <w:t>We need an entire band scheduling for HE-LTF regardless of the scheduled RU. We had better keep the Table here.</w:t>
            </w:r>
          </w:p>
        </w:tc>
      </w:tr>
    </w:tbl>
    <w:p w:rsidR="00F400A1" w:rsidRDefault="00F400A1" w:rsidP="00F400A1">
      <w:pPr>
        <w:autoSpaceDE w:val="0"/>
        <w:autoSpaceDN w:val="0"/>
        <w:adjustRightInd w:val="0"/>
        <w:jc w:val="both"/>
        <w:rPr>
          <w:rFonts w:ascii="TimesNewRomanPSMT" w:hAnsi="TimesNewRomanPSMT" w:cs="TimesNewRomanPSMT" w:hint="eastAsia"/>
          <w:sz w:val="20"/>
          <w:lang w:val="en-US" w:eastAsia="ko-KR"/>
        </w:rPr>
      </w:pPr>
    </w:p>
    <w:p w:rsidR="00455CA7" w:rsidRPr="00455CA7" w:rsidRDefault="00455CA7" w:rsidP="00455CA7">
      <w:pPr>
        <w:spacing w:after="160" w:line="256" w:lineRule="auto"/>
        <w:rPr>
          <w:b/>
          <w:bCs/>
          <w:i/>
          <w:iCs/>
          <w:highlight w:val="yellow"/>
          <w:lang w:eastAsia="ko-KR"/>
        </w:rPr>
      </w:pPr>
      <w:proofErr w:type="spellStart"/>
      <w:r w:rsidRPr="00455CA7">
        <w:rPr>
          <w:b/>
          <w:bCs/>
          <w:i/>
          <w:iCs/>
          <w:highlight w:val="yellow"/>
          <w:lang w:eastAsia="ko-KR"/>
        </w:rPr>
        <w:t>TGax</w:t>
      </w:r>
      <w:proofErr w:type="spellEnd"/>
      <w:r w:rsidRPr="00455CA7">
        <w:rPr>
          <w:b/>
          <w:bCs/>
          <w:i/>
          <w:iCs/>
          <w:highlight w:val="yellow"/>
          <w:lang w:eastAsia="ko-KR"/>
        </w:rPr>
        <w:t xml:space="preserve"> Editor: Please edit D1.0, </w:t>
      </w:r>
      <w:proofErr w:type="spellStart"/>
      <w:r w:rsidRPr="00455CA7">
        <w:rPr>
          <w:b/>
          <w:bCs/>
          <w:i/>
          <w:iCs/>
          <w:highlight w:val="yellow"/>
          <w:lang w:eastAsia="ko-KR"/>
        </w:rPr>
        <w:t>Pg</w:t>
      </w:r>
      <w:proofErr w:type="spellEnd"/>
      <w:r w:rsidRPr="00455CA7">
        <w:rPr>
          <w:b/>
          <w:bCs/>
          <w:i/>
          <w:iCs/>
          <w:highlight w:val="yellow"/>
          <w:lang w:eastAsia="ko-KR"/>
        </w:rPr>
        <w:t xml:space="preserve"> 236, </w:t>
      </w:r>
      <w:proofErr w:type="spellStart"/>
      <w:proofErr w:type="gramStart"/>
      <w:r w:rsidRPr="00455CA7">
        <w:rPr>
          <w:b/>
          <w:bCs/>
          <w:i/>
          <w:iCs/>
          <w:highlight w:val="yellow"/>
          <w:lang w:eastAsia="ko-KR"/>
        </w:rPr>
        <w:t>ln</w:t>
      </w:r>
      <w:proofErr w:type="spellEnd"/>
      <w:proofErr w:type="gramEnd"/>
      <w:r w:rsidRPr="00455CA7">
        <w:rPr>
          <w:b/>
          <w:bCs/>
          <w:i/>
          <w:iCs/>
          <w:highlight w:val="yellow"/>
          <w:lang w:eastAsia="ko-KR"/>
        </w:rPr>
        <w:t xml:space="preserve"> 34</w:t>
      </w:r>
      <w:r w:rsidR="009949BC">
        <w:rPr>
          <w:b/>
          <w:bCs/>
          <w:i/>
          <w:iCs/>
          <w:highlight w:val="yellow"/>
          <w:lang w:eastAsia="ko-KR"/>
        </w:rPr>
        <w:t>- 38</w:t>
      </w:r>
      <w:r w:rsidRPr="00455CA7">
        <w:rPr>
          <w:b/>
          <w:bCs/>
          <w:i/>
          <w:iCs/>
          <w:highlight w:val="yellow"/>
          <w:lang w:eastAsia="ko-KR"/>
        </w:rPr>
        <w:t xml:space="preserve"> in section 28.3.3.4 as follows:</w:t>
      </w:r>
    </w:p>
    <w:p w:rsidR="00455CA7" w:rsidRPr="00455CA7" w:rsidRDefault="00455CA7" w:rsidP="007B44B8">
      <w:pPr>
        <w:spacing w:after="160" w:line="256" w:lineRule="auto"/>
        <w:rPr>
          <w:bCs/>
          <w:iCs/>
          <w:lang w:eastAsia="ko-KR"/>
        </w:rPr>
      </w:pPr>
      <w:r w:rsidRPr="00455CA7">
        <w:rPr>
          <w:bCs/>
          <w:iCs/>
          <w:lang w:val="en-US" w:eastAsia="ko-KR"/>
        </w:rPr>
        <w:t>If pilot subcarriers are present in the HE-LTF field</w:t>
      </w:r>
      <w:ins w:id="1" w:author="j00903761" w:date="2017-04-21T13:11:00Z">
        <w:r w:rsidRPr="00455CA7">
          <w:rPr>
            <w:bCs/>
            <w:iCs/>
            <w:lang w:val="en-US" w:eastAsia="ko-KR"/>
          </w:rPr>
          <w:t xml:space="preserve"> of HE SU</w:t>
        </w:r>
      </w:ins>
      <w:ins w:id="2" w:author="j00903761" w:date="2017-04-21T13:12:00Z">
        <w:r w:rsidRPr="00455CA7">
          <w:rPr>
            <w:bCs/>
            <w:iCs/>
            <w:lang w:val="en-US" w:eastAsia="ko-KR"/>
          </w:rPr>
          <w:t xml:space="preserve"> PPDU, HE MU PPDU, HE </w:t>
        </w:r>
      </w:ins>
      <w:ins w:id="3" w:author="j00903761" w:date="2017-04-24T10:41:00Z">
        <w:r w:rsidR="00A94F2F">
          <w:rPr>
            <w:bCs/>
            <w:iCs/>
            <w:lang w:val="en-US" w:eastAsia="ko-KR"/>
          </w:rPr>
          <w:t>ER</w:t>
        </w:r>
      </w:ins>
      <w:ins w:id="4" w:author="j00903761" w:date="2017-04-21T13:12:00Z">
        <w:r w:rsidRPr="00455CA7">
          <w:rPr>
            <w:bCs/>
            <w:iCs/>
            <w:lang w:val="en-US" w:eastAsia="ko-KR"/>
          </w:rPr>
          <w:t xml:space="preserve"> SU PPDU, and HE </w:t>
        </w:r>
      </w:ins>
      <w:ins w:id="5" w:author="j00903761" w:date="2017-04-24T10:41:00Z">
        <w:r w:rsidR="00A94F2F">
          <w:rPr>
            <w:bCs/>
            <w:iCs/>
            <w:lang w:val="en-US" w:eastAsia="ko-KR"/>
          </w:rPr>
          <w:t>TB</w:t>
        </w:r>
      </w:ins>
      <w:ins w:id="6" w:author="j00903761" w:date="2017-04-21T13:12:00Z">
        <w:r w:rsidRPr="00455CA7">
          <w:rPr>
            <w:bCs/>
            <w:iCs/>
            <w:lang w:val="en-US" w:eastAsia="ko-KR"/>
          </w:rPr>
          <w:t xml:space="preserve"> PPDU</w:t>
        </w:r>
      </w:ins>
      <w:ins w:id="7" w:author="j00903761" w:date="2017-04-21T13:13:00Z">
        <w:r w:rsidRPr="00455CA7">
          <w:rPr>
            <w:bCs/>
            <w:iCs/>
            <w:lang w:val="en-US" w:eastAsia="ko-KR"/>
          </w:rPr>
          <w:t xml:space="preserve"> (#4971)</w:t>
        </w:r>
      </w:ins>
      <w:r w:rsidRPr="00455CA7">
        <w:rPr>
          <w:bCs/>
          <w:iCs/>
          <w:lang w:val="en-US" w:eastAsia="ko-KR"/>
        </w:rPr>
        <w:t>, the pilot subcarrier locations in the HE-LTF field and Data field shall be the same, except for the 1x HE-LTF</w:t>
      </w:r>
      <w:ins w:id="8" w:author="j00903761" w:date="2017-04-24T10:56:00Z">
        <w:r w:rsidR="00684BB0">
          <w:rPr>
            <w:bCs/>
            <w:iCs/>
            <w:lang w:val="en-US" w:eastAsia="ko-KR"/>
          </w:rPr>
          <w:t xml:space="preserve"> and 2x HE-LTF</w:t>
        </w:r>
      </w:ins>
      <w:r w:rsidRPr="00455CA7">
        <w:rPr>
          <w:bCs/>
          <w:iCs/>
          <w:lang w:val="en-US" w:eastAsia="ko-KR"/>
        </w:rPr>
        <w:t xml:space="preserve">. In the 1x HE-LTF, the pilot locations </w:t>
      </w:r>
      <w:ins w:id="9" w:author="j00903761" w:date="2017-04-21T17:26:00Z">
        <w:r w:rsidRPr="00455CA7">
          <w:rPr>
            <w:bCs/>
            <w:iCs/>
            <w:lang w:val="en-US" w:eastAsia="ko-KR"/>
          </w:rPr>
          <w:t xml:space="preserve">in HE-LTF </w:t>
        </w:r>
      </w:ins>
      <w:ins w:id="10" w:author="j00903761" w:date="2017-04-24T10:59:00Z">
        <w:r w:rsidR="00D42FDB">
          <w:rPr>
            <w:bCs/>
            <w:iCs/>
            <w:lang w:val="en-US" w:eastAsia="ko-KR"/>
          </w:rPr>
          <w:t xml:space="preserve">only </w:t>
        </w:r>
      </w:ins>
      <w:ins w:id="11" w:author="j00903761" w:date="2017-04-21T17:26:00Z">
        <w:r w:rsidRPr="00455CA7">
          <w:rPr>
            <w:bCs/>
            <w:iCs/>
            <w:lang w:val="en-US" w:eastAsia="ko-KR"/>
          </w:rPr>
          <w:t>consist of the pilot subcarriers for data field that are multiples of four (#8612)</w:t>
        </w:r>
      </w:ins>
      <w:del w:id="12" w:author="j00903761" w:date="2017-04-21T17:26:00Z">
        <w:r w:rsidRPr="00455CA7" w:rsidDel="00455CA7">
          <w:rPr>
            <w:bCs/>
            <w:iCs/>
            <w:lang w:val="en-US" w:eastAsia="ko-KR"/>
          </w:rPr>
          <w:delText>are the pilot subcarrier indices that are multiples of 4 of the pilot subcarriers for data field</w:delText>
        </w:r>
      </w:del>
      <w:r w:rsidRPr="00455CA7">
        <w:rPr>
          <w:bCs/>
          <w:iCs/>
          <w:lang w:val="en-US" w:eastAsia="ko-KR"/>
        </w:rPr>
        <w:t xml:space="preserve">. </w:t>
      </w:r>
      <w:ins w:id="13" w:author="j00903761" w:date="2017-04-21T14:24:00Z">
        <w:r w:rsidRPr="00455CA7">
          <w:rPr>
            <w:bCs/>
            <w:iCs/>
            <w:lang w:val="en-US" w:eastAsia="ko-KR"/>
          </w:rPr>
          <w:t xml:space="preserve">If pilots present in 2x HE-LTF, their tone indices shall be the same as the indices of those pilots in 4x data symbol divided by 2 (#7852). </w:t>
        </w:r>
      </w:ins>
      <w:r w:rsidRPr="00455CA7">
        <w:rPr>
          <w:bCs/>
          <w:iCs/>
          <w:lang w:val="en-US" w:eastAsia="ko-KR"/>
        </w:rPr>
        <w:t>All pilot subcarriers are at the even indices enumerated in Table 28-7 (Pilot subcarrier indices).</w:t>
      </w:r>
    </w:p>
    <w:p w:rsidR="008F595D" w:rsidRDefault="008F595D" w:rsidP="008F595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sidR="002A7BA2">
        <w:rPr>
          <w:b/>
          <w:bCs/>
          <w:i/>
          <w:iCs/>
          <w:highlight w:val="yellow"/>
          <w:lang w:eastAsia="ko-KR"/>
        </w:rPr>
        <w:t>Pg</w:t>
      </w:r>
      <w:proofErr w:type="spellEnd"/>
      <w:r w:rsidR="002A7BA2">
        <w:rPr>
          <w:b/>
          <w:bCs/>
          <w:i/>
          <w:iCs/>
          <w:highlight w:val="yellow"/>
          <w:lang w:eastAsia="ko-KR"/>
        </w:rPr>
        <w:t xml:space="preserve"> 2</w:t>
      </w:r>
      <w:r w:rsidR="009F5194">
        <w:rPr>
          <w:b/>
          <w:bCs/>
          <w:i/>
          <w:iCs/>
          <w:highlight w:val="yellow"/>
          <w:lang w:eastAsia="ko-KR"/>
        </w:rPr>
        <w:t>36</w:t>
      </w:r>
      <w:r w:rsidR="002A7BA2">
        <w:rPr>
          <w:b/>
          <w:bCs/>
          <w:i/>
          <w:iCs/>
          <w:highlight w:val="yellow"/>
          <w:lang w:eastAsia="ko-KR"/>
        </w:rPr>
        <w:t xml:space="preserve">, </w:t>
      </w:r>
      <w:proofErr w:type="spellStart"/>
      <w:proofErr w:type="gramStart"/>
      <w:r>
        <w:rPr>
          <w:b/>
          <w:bCs/>
          <w:i/>
          <w:iCs/>
          <w:highlight w:val="yellow"/>
          <w:lang w:eastAsia="ko-KR"/>
        </w:rPr>
        <w:t>ln</w:t>
      </w:r>
      <w:proofErr w:type="spellEnd"/>
      <w:proofErr w:type="gramEnd"/>
      <w:r>
        <w:rPr>
          <w:b/>
          <w:bCs/>
          <w:i/>
          <w:iCs/>
          <w:highlight w:val="yellow"/>
          <w:lang w:eastAsia="ko-KR"/>
        </w:rPr>
        <w:t xml:space="preserve"> </w:t>
      </w:r>
      <w:r w:rsidR="009F5194">
        <w:rPr>
          <w:b/>
          <w:bCs/>
          <w:i/>
          <w:iCs/>
          <w:highlight w:val="yellow"/>
          <w:lang w:eastAsia="ko-KR"/>
        </w:rPr>
        <w:t>1</w:t>
      </w:r>
      <w:r>
        <w:rPr>
          <w:b/>
          <w:bCs/>
          <w:i/>
          <w:iCs/>
          <w:highlight w:val="yellow"/>
          <w:lang w:eastAsia="ko-KR"/>
        </w:rPr>
        <w:t xml:space="preserve"> in</w:t>
      </w:r>
      <w:r w:rsidR="00BA6391">
        <w:rPr>
          <w:b/>
          <w:bCs/>
          <w:i/>
          <w:iCs/>
          <w:highlight w:val="yellow"/>
          <w:lang w:eastAsia="ko-KR"/>
        </w:rPr>
        <w:t xml:space="preserve"> section 28.</w:t>
      </w:r>
      <w:r w:rsidR="009F5194">
        <w:rPr>
          <w:b/>
          <w:bCs/>
          <w:i/>
          <w:iCs/>
          <w:highlight w:val="yellow"/>
          <w:lang w:eastAsia="ko-KR"/>
        </w:rPr>
        <w:t>3</w:t>
      </w:r>
      <w:r w:rsidR="00BA6391">
        <w:rPr>
          <w:b/>
          <w:bCs/>
          <w:i/>
          <w:iCs/>
          <w:highlight w:val="yellow"/>
          <w:lang w:eastAsia="ko-KR"/>
        </w:rPr>
        <w:t>.</w:t>
      </w:r>
      <w:r w:rsidR="009F5194">
        <w:rPr>
          <w:b/>
          <w:bCs/>
          <w:i/>
          <w:iCs/>
          <w:highlight w:val="yellow"/>
          <w:lang w:eastAsia="ko-KR"/>
        </w:rPr>
        <w:t>3.3 as follows</w:t>
      </w:r>
      <w:r w:rsidR="009F5194">
        <w:rPr>
          <w:b/>
          <w:bCs/>
          <w:i/>
          <w:iCs/>
          <w:lang w:eastAsia="ko-KR"/>
        </w:rPr>
        <w:t>:</w:t>
      </w:r>
    </w:p>
    <w:p w:rsidR="00E4019C" w:rsidRPr="009949BC" w:rsidRDefault="009F5194" w:rsidP="009949BC">
      <w:pPr>
        <w:rPr>
          <w:szCs w:val="18"/>
          <w:lang w:val="en-US"/>
        </w:rPr>
      </w:pPr>
      <w:r w:rsidRPr="009F5194">
        <w:rPr>
          <w:szCs w:val="18"/>
          <w:lang w:val="en-US"/>
        </w:rPr>
        <w:t>There are null subcarriers between the 26-, 52- and 106-tone RU locations as illustrated in Figure 28-2 (RU locations in a 20 MHz HE PPDU), Figure 28-3 (RU locations in a 40 MHz HE PPDU) and Figure 28-4 (RU</w:t>
      </w:r>
      <w:r w:rsidRPr="009F5194">
        <w:rPr>
          <w:color w:val="000000"/>
          <w:sz w:val="20"/>
          <w:lang w:val="en-US" w:eastAsia="ko-KR"/>
        </w:rPr>
        <w:t xml:space="preserve"> </w:t>
      </w:r>
      <w:r w:rsidRPr="009F5194">
        <w:rPr>
          <w:szCs w:val="18"/>
          <w:lang w:val="en-US"/>
        </w:rPr>
        <w:t xml:space="preserve">locations in an 80 MHz HE PPDU). </w:t>
      </w:r>
      <w:ins w:id="14" w:author="j00903761" w:date="2017-04-21T14:02:00Z">
        <w:r w:rsidR="006357F5" w:rsidRPr="006357F5">
          <w:rPr>
            <w:szCs w:val="18"/>
            <w:lang w:val="en-US"/>
          </w:rPr>
          <w:t>Null Sub-carriers are located near DC or edge tones to protect those tones near DC or edge tones from the interference of neighboring RU</w:t>
        </w:r>
      </w:ins>
      <w:ins w:id="15" w:author="j00903761" w:date="2017-04-21T14:03:00Z">
        <w:r w:rsidR="004F61D2">
          <w:rPr>
            <w:szCs w:val="18"/>
            <w:lang w:val="en-US"/>
          </w:rPr>
          <w:t xml:space="preserve"> (#7046)</w:t>
        </w:r>
      </w:ins>
      <w:ins w:id="16" w:author="j00903761" w:date="2017-04-21T14:02:00Z">
        <w:r w:rsidR="006357F5">
          <w:rPr>
            <w:szCs w:val="18"/>
            <w:lang w:val="en-US"/>
          </w:rPr>
          <w:t xml:space="preserve">. </w:t>
        </w:r>
      </w:ins>
      <w:r w:rsidRPr="009F5194">
        <w:rPr>
          <w:szCs w:val="18"/>
          <w:lang w:val="en-US"/>
        </w:rPr>
        <w:t>The null subcarriers have zero energy. The indices of the null subcarrier are enumerated in Table 28-6 (Null subcarrier indices).</w:t>
      </w:r>
    </w:p>
    <w:p w:rsidR="00ED2465" w:rsidRDefault="00ED2465" w:rsidP="008E73C9">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proofErr w:type="spellStart"/>
      <w:r>
        <w:rPr>
          <w:b/>
          <w:bCs/>
          <w:i/>
          <w:iCs/>
          <w:highlight w:val="yellow"/>
          <w:lang w:eastAsia="ko-KR"/>
        </w:rPr>
        <w:t>Pg</w:t>
      </w:r>
      <w:proofErr w:type="spellEnd"/>
      <w:r>
        <w:rPr>
          <w:b/>
          <w:bCs/>
          <w:i/>
          <w:iCs/>
          <w:highlight w:val="yellow"/>
          <w:lang w:eastAsia="ko-KR"/>
        </w:rPr>
        <w:t xml:space="preserve"> </w:t>
      </w:r>
      <w:r w:rsidR="006B6D1E">
        <w:rPr>
          <w:b/>
          <w:bCs/>
          <w:i/>
          <w:iCs/>
          <w:highlight w:val="yellow"/>
          <w:lang w:eastAsia="ko-KR"/>
        </w:rPr>
        <w:t>237</w:t>
      </w:r>
      <w:r>
        <w:rPr>
          <w:b/>
          <w:bCs/>
          <w:i/>
          <w:iCs/>
          <w:highlight w:val="yellow"/>
          <w:lang w:eastAsia="ko-KR"/>
        </w:rPr>
        <w:t xml:space="preserve">, </w:t>
      </w:r>
      <w:proofErr w:type="spellStart"/>
      <w:proofErr w:type="gramStart"/>
      <w:r w:rsidR="00AB3491">
        <w:rPr>
          <w:b/>
          <w:bCs/>
          <w:i/>
          <w:iCs/>
          <w:highlight w:val="yellow"/>
          <w:lang w:eastAsia="ko-KR"/>
        </w:rPr>
        <w:t>ln</w:t>
      </w:r>
      <w:proofErr w:type="spellEnd"/>
      <w:proofErr w:type="gramEnd"/>
      <w:r w:rsidR="00AB3491">
        <w:rPr>
          <w:b/>
          <w:bCs/>
          <w:i/>
          <w:iCs/>
          <w:highlight w:val="yellow"/>
          <w:lang w:eastAsia="ko-KR"/>
        </w:rPr>
        <w:t xml:space="preserve"> </w:t>
      </w:r>
      <w:r w:rsidR="006B6D1E">
        <w:rPr>
          <w:b/>
          <w:bCs/>
          <w:i/>
          <w:iCs/>
          <w:highlight w:val="yellow"/>
          <w:lang w:eastAsia="ko-KR"/>
        </w:rPr>
        <w:t>6</w:t>
      </w:r>
      <w:r>
        <w:rPr>
          <w:b/>
          <w:bCs/>
          <w:i/>
          <w:iCs/>
          <w:highlight w:val="yellow"/>
          <w:lang w:eastAsia="ko-KR"/>
        </w:rPr>
        <w:t xml:space="preserve"> in</w:t>
      </w:r>
      <w:r w:rsidRPr="007D2B17">
        <w:rPr>
          <w:b/>
          <w:bCs/>
          <w:i/>
          <w:iCs/>
          <w:highlight w:val="yellow"/>
          <w:lang w:eastAsia="ko-KR"/>
        </w:rPr>
        <w:t xml:space="preserve"> section 28.</w:t>
      </w:r>
      <w:r w:rsidR="006B6D1E">
        <w:rPr>
          <w:b/>
          <w:bCs/>
          <w:i/>
          <w:iCs/>
          <w:highlight w:val="yellow"/>
          <w:lang w:eastAsia="ko-KR"/>
        </w:rPr>
        <w:t>3.3.4</w:t>
      </w:r>
      <w:r w:rsidRPr="007D2B17">
        <w:rPr>
          <w:b/>
          <w:bCs/>
          <w:i/>
          <w:iCs/>
          <w:highlight w:val="yellow"/>
          <w:lang w:eastAsia="ko-KR"/>
        </w:rPr>
        <w:t xml:space="preserve"> a</w:t>
      </w:r>
      <w:r>
        <w:rPr>
          <w:b/>
          <w:bCs/>
          <w:i/>
          <w:iCs/>
          <w:highlight w:val="yellow"/>
          <w:lang w:eastAsia="ko-KR"/>
        </w:rPr>
        <w:t>s</w:t>
      </w:r>
      <w:r w:rsidRPr="007D2B17">
        <w:rPr>
          <w:b/>
          <w:bCs/>
          <w:i/>
          <w:iCs/>
          <w:highlight w:val="yellow"/>
          <w:lang w:eastAsia="ko-KR"/>
        </w:rPr>
        <w:t xml:space="preserve"> follows:</w:t>
      </w:r>
    </w:p>
    <w:p w:rsidR="001D67C6" w:rsidRDefault="001D67C6" w:rsidP="000F5A64">
      <w:pPr>
        <w:rPr>
          <w:strike/>
          <w:sz w:val="16"/>
        </w:rPr>
      </w:pPr>
    </w:p>
    <w:tbl>
      <w:tblPr>
        <w:tblStyle w:val="TableGrid"/>
        <w:tblW w:w="0" w:type="auto"/>
        <w:tblLook w:val="04A0" w:firstRow="1" w:lastRow="0" w:firstColumn="1" w:lastColumn="0" w:noHBand="0" w:noVBand="1"/>
      </w:tblPr>
      <w:tblGrid>
        <w:gridCol w:w="3284"/>
        <w:gridCol w:w="3285"/>
        <w:gridCol w:w="3285"/>
      </w:tblGrid>
      <w:tr w:rsidR="006B6D1E" w:rsidTr="001D67C6">
        <w:tc>
          <w:tcPr>
            <w:tcW w:w="3284" w:type="dxa"/>
            <w:vMerge w:val="restart"/>
          </w:tcPr>
          <w:p w:rsidR="006B6D1E" w:rsidRPr="006B6D1E" w:rsidRDefault="006B6D1E" w:rsidP="001D67C6">
            <w:pPr>
              <w:rPr>
                <w:sz w:val="24"/>
                <w:szCs w:val="24"/>
              </w:rPr>
            </w:pPr>
            <w:r w:rsidRPr="006B6D1E">
              <w:rPr>
                <w:sz w:val="24"/>
                <w:szCs w:val="24"/>
              </w:rPr>
              <w:t>160 MHz</w:t>
            </w:r>
          </w:p>
        </w:tc>
        <w:tc>
          <w:tcPr>
            <w:tcW w:w="3285" w:type="dxa"/>
          </w:tcPr>
          <w:p w:rsidR="006B6D1E" w:rsidRPr="006B6D1E" w:rsidRDefault="006B6D1E" w:rsidP="001D67C6">
            <w:pPr>
              <w:rPr>
                <w:sz w:val="24"/>
                <w:szCs w:val="24"/>
              </w:rPr>
            </w:pPr>
            <w:r>
              <w:rPr>
                <w:sz w:val="24"/>
                <w:szCs w:val="24"/>
              </w:rPr>
              <w:t>26, 52, 106, 242, 484</w:t>
            </w:r>
          </w:p>
        </w:tc>
        <w:tc>
          <w:tcPr>
            <w:tcW w:w="3285" w:type="dxa"/>
          </w:tcPr>
          <w:p w:rsidR="006B6D1E" w:rsidRPr="006B6D1E" w:rsidRDefault="006B6D1E" w:rsidP="001D67C6">
            <w:pPr>
              <w:rPr>
                <w:sz w:val="24"/>
                <w:szCs w:val="24"/>
              </w:rPr>
            </w:pPr>
            <w:r w:rsidRPr="006B6D1E">
              <w:rPr>
                <w:sz w:val="24"/>
                <w:szCs w:val="24"/>
                <w:lang w:val="en-US"/>
              </w:rPr>
              <w:t>{pilo</w:t>
            </w:r>
            <w:r>
              <w:rPr>
                <w:sz w:val="24"/>
                <w:szCs w:val="24"/>
                <w:lang w:val="en-US"/>
              </w:rPr>
              <w:t>t subcarrier indices in 80 MHz -</w:t>
            </w:r>
            <w:r w:rsidRPr="006B6D1E">
              <w:rPr>
                <w:sz w:val="24"/>
                <w:szCs w:val="24"/>
                <w:lang w:val="en-US"/>
              </w:rPr>
              <w:t>512, pilot subcarrier indices in 80 MHz +512}</w:t>
            </w:r>
          </w:p>
        </w:tc>
      </w:tr>
      <w:tr w:rsidR="006B6D1E" w:rsidTr="001D67C6">
        <w:tc>
          <w:tcPr>
            <w:tcW w:w="3284" w:type="dxa"/>
            <w:vMerge/>
          </w:tcPr>
          <w:p w:rsidR="006B6D1E" w:rsidRDefault="006B6D1E" w:rsidP="001D67C6">
            <w:pPr>
              <w:rPr>
                <w:strike/>
                <w:sz w:val="16"/>
              </w:rPr>
            </w:pPr>
          </w:p>
        </w:tc>
        <w:tc>
          <w:tcPr>
            <w:tcW w:w="3285" w:type="dxa"/>
          </w:tcPr>
          <w:p w:rsidR="006B6D1E" w:rsidRPr="006B6D1E" w:rsidRDefault="006B6D1E" w:rsidP="001D67C6">
            <w:pPr>
              <w:rPr>
                <w:sz w:val="24"/>
                <w:szCs w:val="24"/>
              </w:rPr>
            </w:pPr>
            <w:r>
              <w:rPr>
                <w:sz w:val="24"/>
                <w:szCs w:val="24"/>
              </w:rPr>
              <w:t>996</w:t>
            </w:r>
          </w:p>
        </w:tc>
        <w:tc>
          <w:tcPr>
            <w:tcW w:w="3285" w:type="dxa"/>
          </w:tcPr>
          <w:p w:rsidR="006B6D1E" w:rsidRPr="006B6D1E" w:rsidRDefault="006B6D1E" w:rsidP="006B6D1E">
            <w:pPr>
              <w:rPr>
                <w:sz w:val="28"/>
                <w:szCs w:val="28"/>
              </w:rPr>
            </w:pPr>
            <w:r w:rsidRPr="006B6D1E">
              <w:rPr>
                <w:sz w:val="28"/>
                <w:szCs w:val="28"/>
                <w:lang w:val="en-US"/>
              </w:rPr>
              <w:t xml:space="preserve">{for the </w:t>
            </w:r>
            <w:del w:id="17" w:author="j00903761" w:date="2017-04-21T17:20:00Z">
              <w:r w:rsidRPr="006B6D1E" w:rsidDel="006B6D1E">
                <w:rPr>
                  <w:sz w:val="28"/>
                  <w:szCs w:val="28"/>
                  <w:lang w:val="en-US"/>
                </w:rPr>
                <w:delText xml:space="preserve">first </w:delText>
              </w:r>
            </w:del>
            <w:ins w:id="18" w:author="j00903761" w:date="2017-04-21T17:20:00Z">
              <w:r>
                <w:rPr>
                  <w:sz w:val="28"/>
                  <w:szCs w:val="28"/>
                  <w:lang w:val="en-US"/>
                </w:rPr>
                <w:t>lower</w:t>
              </w:r>
            </w:ins>
            <w:ins w:id="19" w:author="j00903761" w:date="2017-04-21T17:46:00Z">
              <w:r w:rsidR="00877328">
                <w:rPr>
                  <w:sz w:val="28"/>
                  <w:szCs w:val="28"/>
                  <w:lang w:val="en-US"/>
                </w:rPr>
                <w:t xml:space="preserve"> (#10088) </w:t>
              </w:r>
            </w:ins>
            <w:r w:rsidRPr="006B6D1E">
              <w:rPr>
                <w:sz w:val="28"/>
                <w:szCs w:val="28"/>
                <w:lang w:val="en-US"/>
              </w:rPr>
              <w:t xml:space="preserve">80 MHz, pilot subcarrier indices in 80 MHz -512, for the </w:t>
            </w:r>
            <w:del w:id="20" w:author="j00903761" w:date="2017-04-21T17:20:00Z">
              <w:r w:rsidRPr="006B6D1E" w:rsidDel="006B6D1E">
                <w:rPr>
                  <w:sz w:val="28"/>
                  <w:szCs w:val="28"/>
                  <w:lang w:val="en-US"/>
                </w:rPr>
                <w:delText xml:space="preserve">second </w:delText>
              </w:r>
            </w:del>
            <w:ins w:id="21" w:author="j00903761" w:date="2017-04-21T17:20:00Z">
              <w:r>
                <w:rPr>
                  <w:sz w:val="28"/>
                  <w:szCs w:val="28"/>
                  <w:lang w:val="en-US"/>
                </w:rPr>
                <w:t>upper</w:t>
              </w:r>
            </w:ins>
            <w:ins w:id="22" w:author="j00903761" w:date="2017-04-21T17:46:00Z">
              <w:r w:rsidR="00877328">
                <w:rPr>
                  <w:sz w:val="28"/>
                  <w:szCs w:val="28"/>
                  <w:lang w:val="en-US"/>
                </w:rPr>
                <w:t xml:space="preserve"> (#10088)</w:t>
              </w:r>
            </w:ins>
            <w:ins w:id="23" w:author="j00903761" w:date="2017-04-21T17:20:00Z">
              <w:r w:rsidRPr="006B6D1E">
                <w:rPr>
                  <w:sz w:val="28"/>
                  <w:szCs w:val="28"/>
                  <w:lang w:val="en-US"/>
                </w:rPr>
                <w:t xml:space="preserve"> </w:t>
              </w:r>
            </w:ins>
            <w:r w:rsidRPr="006B6D1E">
              <w:rPr>
                <w:sz w:val="28"/>
                <w:szCs w:val="28"/>
                <w:lang w:val="en-US"/>
              </w:rPr>
              <w:t>80 MHz, pilot subcarrier indices in 80 MHz +512}</w:t>
            </w:r>
          </w:p>
        </w:tc>
      </w:tr>
    </w:tbl>
    <w:p w:rsidR="001D67C6" w:rsidRPr="00114C39" w:rsidRDefault="001D67C6" w:rsidP="000F5A64">
      <w:pPr>
        <w:rPr>
          <w:strike/>
          <w:sz w:val="16"/>
        </w:rPr>
      </w:pPr>
    </w:p>
    <w:p w:rsidR="00AC45E8" w:rsidRPr="00AC45E8" w:rsidRDefault="00AC45E8" w:rsidP="00F2022C">
      <w:pPr>
        <w:rPr>
          <w:color w:val="FF0000"/>
          <w:u w:val="single"/>
        </w:rPr>
      </w:pPr>
    </w:p>
    <w:p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FA2" w:rsidRDefault="008A0FA2">
      <w:r>
        <w:separator/>
      </w:r>
    </w:p>
  </w:endnote>
  <w:endnote w:type="continuationSeparator" w:id="0">
    <w:p w:rsidR="008A0FA2" w:rsidRDefault="008A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7D" w:rsidRDefault="00514991">
    <w:pPr>
      <w:pStyle w:val="Footer"/>
      <w:tabs>
        <w:tab w:val="clear" w:pos="6480"/>
        <w:tab w:val="center" w:pos="4680"/>
        <w:tab w:val="right" w:pos="9360"/>
      </w:tabs>
    </w:pPr>
    <w:fldSimple w:instr=" SUBJECT  \* MERGEFORMAT ">
      <w:r w:rsidR="00152F7D">
        <w:t>Submission</w:t>
      </w:r>
    </w:fldSimple>
    <w:r w:rsidR="00152F7D">
      <w:tab/>
      <w:t xml:space="preserve">page </w:t>
    </w:r>
    <w:r w:rsidR="00486714">
      <w:fldChar w:fldCharType="begin"/>
    </w:r>
    <w:r w:rsidR="00152F7D">
      <w:instrText xml:space="preserve">page </w:instrText>
    </w:r>
    <w:r w:rsidR="00486714">
      <w:fldChar w:fldCharType="separate"/>
    </w:r>
    <w:r w:rsidR="00184CFC">
      <w:rPr>
        <w:noProof/>
      </w:rPr>
      <w:t>4</w:t>
    </w:r>
    <w:r w:rsidR="00486714">
      <w:rPr>
        <w:noProof/>
      </w:rPr>
      <w:fldChar w:fldCharType="end"/>
    </w:r>
    <w:r w:rsidR="00152F7D">
      <w:tab/>
    </w:r>
    <w:r w:rsidR="006C72E6">
      <w:rPr>
        <w:lang w:eastAsia="ko-KR"/>
      </w:rPr>
      <w:t>Junghoon Suh</w:t>
    </w:r>
    <w:r w:rsidR="00152F7D">
      <w:t xml:space="preserve">, </w:t>
    </w:r>
    <w:r w:rsidR="006C72E6">
      <w:t>Huawei Tech.</w:t>
    </w:r>
  </w:p>
  <w:p w:rsidR="00152F7D" w:rsidRDefault="00152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FA2" w:rsidRDefault="008A0FA2">
      <w:r>
        <w:separator/>
      </w:r>
    </w:p>
  </w:footnote>
  <w:footnote w:type="continuationSeparator" w:id="0">
    <w:p w:rsidR="008A0FA2" w:rsidRDefault="008A0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84" w:rsidRDefault="00B00168">
    <w:pPr>
      <w:pStyle w:val="Header"/>
      <w:tabs>
        <w:tab w:val="clear" w:pos="6480"/>
        <w:tab w:val="center" w:pos="4680"/>
        <w:tab w:val="right" w:pos="9360"/>
      </w:tabs>
      <w:rPr>
        <w:lang w:eastAsia="ko-KR"/>
      </w:rPr>
    </w:pPr>
    <w:r>
      <w:rPr>
        <w:lang w:eastAsia="ko-KR"/>
      </w:rPr>
      <w:t>May</w:t>
    </w:r>
    <w:r w:rsidR="00152F7D">
      <w:rPr>
        <w:lang w:eastAsia="ko-KR"/>
      </w:rPr>
      <w:t xml:space="preserve"> 2017</w:t>
    </w:r>
    <w:r w:rsidR="00152F7D">
      <w:tab/>
    </w:r>
    <w:r w:rsidR="00152F7D">
      <w:tab/>
    </w:r>
    <w:r w:rsidR="00486714">
      <w:fldChar w:fldCharType="begin"/>
    </w:r>
    <w:r w:rsidR="00152F7D">
      <w:instrText xml:space="preserve"> TITLE  \* MERGEFORMAT </w:instrText>
    </w:r>
    <w:r w:rsidR="00486714">
      <w:fldChar w:fldCharType="end"/>
    </w:r>
    <w:fldSimple w:instr=" TITLE  \* MERGEFORMAT ">
      <w:r w:rsidR="00152F7D">
        <w:t>doc.: IEEE 802.11-17/</w:t>
      </w:r>
      <w:r>
        <w:t>0</w:t>
      </w:r>
      <w:r w:rsidR="00CC740A">
        <w:t>614</w:t>
      </w:r>
      <w:r w:rsidR="00152F7D">
        <w:rPr>
          <w:lang w:eastAsia="ko-KR"/>
        </w:rPr>
        <w:t>r</w:t>
      </w:r>
    </w:fldSimple>
    <w:r w:rsidR="00CB16CE">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A22"/>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2377"/>
    <w:rsid w:val="000A4D1E"/>
    <w:rsid w:val="000A671D"/>
    <w:rsid w:val="000A7680"/>
    <w:rsid w:val="000A7A84"/>
    <w:rsid w:val="000B041A"/>
    <w:rsid w:val="000B083E"/>
    <w:rsid w:val="000B0DAF"/>
    <w:rsid w:val="000B166A"/>
    <w:rsid w:val="000B37F9"/>
    <w:rsid w:val="000B50F5"/>
    <w:rsid w:val="000B58CF"/>
    <w:rsid w:val="000B59FE"/>
    <w:rsid w:val="000C0075"/>
    <w:rsid w:val="000C1377"/>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D734A"/>
    <w:rsid w:val="000E0494"/>
    <w:rsid w:val="000E1C37"/>
    <w:rsid w:val="000E1D7B"/>
    <w:rsid w:val="000E4B82"/>
    <w:rsid w:val="000E6539"/>
    <w:rsid w:val="000E6771"/>
    <w:rsid w:val="000E70CA"/>
    <w:rsid w:val="000E720C"/>
    <w:rsid w:val="000E752D"/>
    <w:rsid w:val="000F238C"/>
    <w:rsid w:val="000F2E68"/>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5DE9"/>
    <w:rsid w:val="0013699E"/>
    <w:rsid w:val="001420E5"/>
    <w:rsid w:val="001448D8"/>
    <w:rsid w:val="001449D1"/>
    <w:rsid w:val="0014501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2F7B"/>
    <w:rsid w:val="00183698"/>
    <w:rsid w:val="00183F4C"/>
    <w:rsid w:val="00184CF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B729B"/>
    <w:rsid w:val="001C0D71"/>
    <w:rsid w:val="001C1DAA"/>
    <w:rsid w:val="001C501D"/>
    <w:rsid w:val="001C6CD8"/>
    <w:rsid w:val="001C78D9"/>
    <w:rsid w:val="001C7C2C"/>
    <w:rsid w:val="001C7CCE"/>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5E97"/>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3944"/>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89C"/>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081"/>
    <w:rsid w:val="002A251F"/>
    <w:rsid w:val="002A3463"/>
    <w:rsid w:val="002A3AAB"/>
    <w:rsid w:val="002A4A61"/>
    <w:rsid w:val="002A4C48"/>
    <w:rsid w:val="002A55B1"/>
    <w:rsid w:val="002A63BF"/>
    <w:rsid w:val="002A6A0C"/>
    <w:rsid w:val="002A7BA2"/>
    <w:rsid w:val="002B0983"/>
    <w:rsid w:val="002B5901"/>
    <w:rsid w:val="002B5973"/>
    <w:rsid w:val="002C0201"/>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1972"/>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22E"/>
    <w:rsid w:val="00381F98"/>
    <w:rsid w:val="00382C54"/>
    <w:rsid w:val="00383766"/>
    <w:rsid w:val="00383783"/>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BD"/>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2351"/>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1084"/>
    <w:rsid w:val="0045273C"/>
    <w:rsid w:val="0045288D"/>
    <w:rsid w:val="00452FC3"/>
    <w:rsid w:val="004535CB"/>
    <w:rsid w:val="00453A44"/>
    <w:rsid w:val="00455CA7"/>
    <w:rsid w:val="00457028"/>
    <w:rsid w:val="00457E3B"/>
    <w:rsid w:val="00457FA3"/>
    <w:rsid w:val="00461C2E"/>
    <w:rsid w:val="00462172"/>
    <w:rsid w:val="004625C3"/>
    <w:rsid w:val="00466378"/>
    <w:rsid w:val="00466B33"/>
    <w:rsid w:val="00466EEB"/>
    <w:rsid w:val="004721EF"/>
    <w:rsid w:val="0047267B"/>
    <w:rsid w:val="00472E38"/>
    <w:rsid w:val="00472EA0"/>
    <w:rsid w:val="00473358"/>
    <w:rsid w:val="00475A71"/>
    <w:rsid w:val="00475BCA"/>
    <w:rsid w:val="00475D9E"/>
    <w:rsid w:val="00476F40"/>
    <w:rsid w:val="004804A4"/>
    <w:rsid w:val="00481273"/>
    <w:rsid w:val="004821A5"/>
    <w:rsid w:val="004828D5"/>
    <w:rsid w:val="00482AD0"/>
    <w:rsid w:val="00482AF6"/>
    <w:rsid w:val="004841EB"/>
    <w:rsid w:val="00484651"/>
    <w:rsid w:val="00486714"/>
    <w:rsid w:val="00486EB3"/>
    <w:rsid w:val="00487778"/>
    <w:rsid w:val="00490E10"/>
    <w:rsid w:val="00491CAF"/>
    <w:rsid w:val="004921DA"/>
    <w:rsid w:val="00492A82"/>
    <w:rsid w:val="00492EB4"/>
    <w:rsid w:val="00493216"/>
    <w:rsid w:val="0049468A"/>
    <w:rsid w:val="004946E9"/>
    <w:rsid w:val="00494B1E"/>
    <w:rsid w:val="00495B8C"/>
    <w:rsid w:val="00495DAB"/>
    <w:rsid w:val="004964E6"/>
    <w:rsid w:val="00497C1D"/>
    <w:rsid w:val="004A0AF4"/>
    <w:rsid w:val="004A0FC9"/>
    <w:rsid w:val="004A3B97"/>
    <w:rsid w:val="004A434E"/>
    <w:rsid w:val="004A5537"/>
    <w:rsid w:val="004A7935"/>
    <w:rsid w:val="004A7B3B"/>
    <w:rsid w:val="004A7E06"/>
    <w:rsid w:val="004B1B57"/>
    <w:rsid w:val="004B2117"/>
    <w:rsid w:val="004B3479"/>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61D2"/>
    <w:rsid w:val="004F73B1"/>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4991"/>
    <w:rsid w:val="0051588E"/>
    <w:rsid w:val="005167F8"/>
    <w:rsid w:val="00516CFC"/>
    <w:rsid w:val="00517ED6"/>
    <w:rsid w:val="00520264"/>
    <w:rsid w:val="00520B8C"/>
    <w:rsid w:val="0052151C"/>
    <w:rsid w:val="00522A49"/>
    <w:rsid w:val="005235B6"/>
    <w:rsid w:val="005243B4"/>
    <w:rsid w:val="005260D8"/>
    <w:rsid w:val="00526970"/>
    <w:rsid w:val="00527489"/>
    <w:rsid w:val="00527BB3"/>
    <w:rsid w:val="00531734"/>
    <w:rsid w:val="0053199B"/>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4B3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77D7D"/>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C7415"/>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AF9"/>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3B9"/>
    <w:rsid w:val="006346CB"/>
    <w:rsid w:val="00635200"/>
    <w:rsid w:val="006357F5"/>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67FE4"/>
    <w:rsid w:val="0067038A"/>
    <w:rsid w:val="0067069C"/>
    <w:rsid w:val="0067110E"/>
    <w:rsid w:val="00671F29"/>
    <w:rsid w:val="0067305F"/>
    <w:rsid w:val="00673E73"/>
    <w:rsid w:val="006750AC"/>
    <w:rsid w:val="0067737F"/>
    <w:rsid w:val="0067758D"/>
    <w:rsid w:val="00680308"/>
    <w:rsid w:val="00680634"/>
    <w:rsid w:val="006813E4"/>
    <w:rsid w:val="0068276E"/>
    <w:rsid w:val="00683FF3"/>
    <w:rsid w:val="0068429C"/>
    <w:rsid w:val="0068438F"/>
    <w:rsid w:val="00684BB0"/>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B6D1E"/>
    <w:rsid w:val="006C0110"/>
    <w:rsid w:val="006C0178"/>
    <w:rsid w:val="006C063A"/>
    <w:rsid w:val="006C1785"/>
    <w:rsid w:val="006C1FA8"/>
    <w:rsid w:val="006C2AC8"/>
    <w:rsid w:val="006C2C97"/>
    <w:rsid w:val="006C398A"/>
    <w:rsid w:val="006C3C41"/>
    <w:rsid w:val="006C5695"/>
    <w:rsid w:val="006C5D22"/>
    <w:rsid w:val="006C72E6"/>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AA0"/>
    <w:rsid w:val="006F4E04"/>
    <w:rsid w:val="006F6E4C"/>
    <w:rsid w:val="00700354"/>
    <w:rsid w:val="007005D5"/>
    <w:rsid w:val="00702CA2"/>
    <w:rsid w:val="007045BD"/>
    <w:rsid w:val="007046F5"/>
    <w:rsid w:val="007069D9"/>
    <w:rsid w:val="007079C2"/>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015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5F67"/>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3D12"/>
    <w:rsid w:val="00835499"/>
    <w:rsid w:val="00835A0A"/>
    <w:rsid w:val="00835BE3"/>
    <w:rsid w:val="00835ECD"/>
    <w:rsid w:val="008369E5"/>
    <w:rsid w:val="00837745"/>
    <w:rsid w:val="008377E3"/>
    <w:rsid w:val="008378E7"/>
    <w:rsid w:val="00837903"/>
    <w:rsid w:val="00840667"/>
    <w:rsid w:val="00842C5E"/>
    <w:rsid w:val="00844800"/>
    <w:rsid w:val="00850365"/>
    <w:rsid w:val="00850566"/>
    <w:rsid w:val="00850F12"/>
    <w:rsid w:val="008523A2"/>
    <w:rsid w:val="00852B3C"/>
    <w:rsid w:val="008532E6"/>
    <w:rsid w:val="00853FF2"/>
    <w:rsid w:val="00855910"/>
    <w:rsid w:val="0085795D"/>
    <w:rsid w:val="00861806"/>
    <w:rsid w:val="00862936"/>
    <w:rsid w:val="00862FBB"/>
    <w:rsid w:val="00866FB4"/>
    <w:rsid w:val="0086745D"/>
    <w:rsid w:val="00867847"/>
    <w:rsid w:val="00867C9F"/>
    <w:rsid w:val="0087089B"/>
    <w:rsid w:val="00870956"/>
    <w:rsid w:val="00870BF0"/>
    <w:rsid w:val="008716D8"/>
    <w:rsid w:val="0087408A"/>
    <w:rsid w:val="00875ABA"/>
    <w:rsid w:val="00875B8A"/>
    <w:rsid w:val="008771D6"/>
    <w:rsid w:val="00877226"/>
    <w:rsid w:val="00877328"/>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0FA2"/>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3537"/>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4F5"/>
    <w:rsid w:val="009278D5"/>
    <w:rsid w:val="00927FEB"/>
    <w:rsid w:val="00932F94"/>
    <w:rsid w:val="00934BB2"/>
    <w:rsid w:val="00934D23"/>
    <w:rsid w:val="00936D66"/>
    <w:rsid w:val="0094033A"/>
    <w:rsid w:val="009407E3"/>
    <w:rsid w:val="0094091B"/>
    <w:rsid w:val="009409F4"/>
    <w:rsid w:val="00940EA4"/>
    <w:rsid w:val="00941581"/>
    <w:rsid w:val="00943027"/>
    <w:rsid w:val="00943683"/>
    <w:rsid w:val="009441DB"/>
    <w:rsid w:val="00944591"/>
    <w:rsid w:val="00944CAA"/>
    <w:rsid w:val="00944EF3"/>
    <w:rsid w:val="009450E0"/>
    <w:rsid w:val="009459D6"/>
    <w:rsid w:val="00945D55"/>
    <w:rsid w:val="009460BB"/>
    <w:rsid w:val="00946444"/>
    <w:rsid w:val="00947B3B"/>
    <w:rsid w:val="00947FF8"/>
    <w:rsid w:val="009501A1"/>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87E30"/>
    <w:rsid w:val="00991A93"/>
    <w:rsid w:val="00993DD5"/>
    <w:rsid w:val="009948C1"/>
    <w:rsid w:val="009949BC"/>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5194"/>
    <w:rsid w:val="009F6BE0"/>
    <w:rsid w:val="009F7B60"/>
    <w:rsid w:val="00A003FF"/>
    <w:rsid w:val="00A00EE5"/>
    <w:rsid w:val="00A049E2"/>
    <w:rsid w:val="00A06AE1"/>
    <w:rsid w:val="00A070C0"/>
    <w:rsid w:val="00A072DD"/>
    <w:rsid w:val="00A077D4"/>
    <w:rsid w:val="00A07FCB"/>
    <w:rsid w:val="00A10807"/>
    <w:rsid w:val="00A11432"/>
    <w:rsid w:val="00A1344B"/>
    <w:rsid w:val="00A13908"/>
    <w:rsid w:val="00A14C2A"/>
    <w:rsid w:val="00A15132"/>
    <w:rsid w:val="00A154E5"/>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AF3"/>
    <w:rsid w:val="00A47C1B"/>
    <w:rsid w:val="00A51071"/>
    <w:rsid w:val="00A511CC"/>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4F2F"/>
    <w:rsid w:val="00A95E21"/>
    <w:rsid w:val="00A963A4"/>
    <w:rsid w:val="00A964BF"/>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4FA0"/>
    <w:rsid w:val="00AF794B"/>
    <w:rsid w:val="00B00168"/>
    <w:rsid w:val="00B0051A"/>
    <w:rsid w:val="00B015FA"/>
    <w:rsid w:val="00B019FC"/>
    <w:rsid w:val="00B01D3C"/>
    <w:rsid w:val="00B02952"/>
    <w:rsid w:val="00B03BB6"/>
    <w:rsid w:val="00B03DB7"/>
    <w:rsid w:val="00B04957"/>
    <w:rsid w:val="00B04CB8"/>
    <w:rsid w:val="00B05435"/>
    <w:rsid w:val="00B07B86"/>
    <w:rsid w:val="00B07F24"/>
    <w:rsid w:val="00B10B09"/>
    <w:rsid w:val="00B116A0"/>
    <w:rsid w:val="00B11981"/>
    <w:rsid w:val="00B15372"/>
    <w:rsid w:val="00B15BC7"/>
    <w:rsid w:val="00B16515"/>
    <w:rsid w:val="00B17F46"/>
    <w:rsid w:val="00B20519"/>
    <w:rsid w:val="00B21293"/>
    <w:rsid w:val="00B22C00"/>
    <w:rsid w:val="00B2361F"/>
    <w:rsid w:val="00B252FA"/>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5AC"/>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2FFA"/>
    <w:rsid w:val="00B73345"/>
    <w:rsid w:val="00B73C63"/>
    <w:rsid w:val="00B74E3D"/>
    <w:rsid w:val="00B75128"/>
    <w:rsid w:val="00B753D1"/>
    <w:rsid w:val="00B776D2"/>
    <w:rsid w:val="00B77BB8"/>
    <w:rsid w:val="00B8242B"/>
    <w:rsid w:val="00B83455"/>
    <w:rsid w:val="00B844E8"/>
    <w:rsid w:val="00B850E9"/>
    <w:rsid w:val="00B91FF0"/>
    <w:rsid w:val="00B92315"/>
    <w:rsid w:val="00B9272C"/>
    <w:rsid w:val="00B936F0"/>
    <w:rsid w:val="00B94B98"/>
    <w:rsid w:val="00B94CAC"/>
    <w:rsid w:val="00B96C04"/>
    <w:rsid w:val="00B975F9"/>
    <w:rsid w:val="00BA06B3"/>
    <w:rsid w:val="00BA24D8"/>
    <w:rsid w:val="00BA32BA"/>
    <w:rsid w:val="00BA32CA"/>
    <w:rsid w:val="00BA39CE"/>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2533"/>
    <w:rsid w:val="00BC3609"/>
    <w:rsid w:val="00BC465F"/>
    <w:rsid w:val="00BC5629"/>
    <w:rsid w:val="00BC5869"/>
    <w:rsid w:val="00BC5FCD"/>
    <w:rsid w:val="00BC62F7"/>
    <w:rsid w:val="00BC6B01"/>
    <w:rsid w:val="00BC757F"/>
    <w:rsid w:val="00BD003A"/>
    <w:rsid w:val="00BD0FAD"/>
    <w:rsid w:val="00BD1D45"/>
    <w:rsid w:val="00BD2547"/>
    <w:rsid w:val="00BD2FD9"/>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8E9"/>
    <w:rsid w:val="00C01F79"/>
    <w:rsid w:val="00C03192"/>
    <w:rsid w:val="00C03B8D"/>
    <w:rsid w:val="00C0428C"/>
    <w:rsid w:val="00C04532"/>
    <w:rsid w:val="00C06D1A"/>
    <w:rsid w:val="00C078F3"/>
    <w:rsid w:val="00C1083E"/>
    <w:rsid w:val="00C10A71"/>
    <w:rsid w:val="00C11262"/>
    <w:rsid w:val="00C11CDA"/>
    <w:rsid w:val="00C12A01"/>
    <w:rsid w:val="00C12AEB"/>
    <w:rsid w:val="00C1356B"/>
    <w:rsid w:val="00C136A0"/>
    <w:rsid w:val="00C14E80"/>
    <w:rsid w:val="00C151D0"/>
    <w:rsid w:val="00C15E0C"/>
    <w:rsid w:val="00C16395"/>
    <w:rsid w:val="00C17C1B"/>
    <w:rsid w:val="00C20366"/>
    <w:rsid w:val="00C20733"/>
    <w:rsid w:val="00C237F5"/>
    <w:rsid w:val="00C24241"/>
    <w:rsid w:val="00C247D2"/>
    <w:rsid w:val="00C24968"/>
    <w:rsid w:val="00C24A70"/>
    <w:rsid w:val="00C257F0"/>
    <w:rsid w:val="00C311BA"/>
    <w:rsid w:val="00C317AA"/>
    <w:rsid w:val="00C31D8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5B3E"/>
    <w:rsid w:val="00C76680"/>
    <w:rsid w:val="00C76888"/>
    <w:rsid w:val="00C80025"/>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31C5"/>
    <w:rsid w:val="00CA51BB"/>
    <w:rsid w:val="00CA6689"/>
    <w:rsid w:val="00CB0092"/>
    <w:rsid w:val="00CB00AD"/>
    <w:rsid w:val="00CB147A"/>
    <w:rsid w:val="00CB16CE"/>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40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106F"/>
    <w:rsid w:val="00D12B27"/>
    <w:rsid w:val="00D13972"/>
    <w:rsid w:val="00D152E1"/>
    <w:rsid w:val="00D15DEC"/>
    <w:rsid w:val="00D17833"/>
    <w:rsid w:val="00D202C0"/>
    <w:rsid w:val="00D22352"/>
    <w:rsid w:val="00D2694A"/>
    <w:rsid w:val="00D277CF"/>
    <w:rsid w:val="00D300B9"/>
    <w:rsid w:val="00D30761"/>
    <w:rsid w:val="00D307A6"/>
    <w:rsid w:val="00D312F2"/>
    <w:rsid w:val="00D33196"/>
    <w:rsid w:val="00D33C85"/>
    <w:rsid w:val="00D344D7"/>
    <w:rsid w:val="00D34A50"/>
    <w:rsid w:val="00D3502A"/>
    <w:rsid w:val="00D36C35"/>
    <w:rsid w:val="00D37C76"/>
    <w:rsid w:val="00D37F72"/>
    <w:rsid w:val="00D4021E"/>
    <w:rsid w:val="00D41C47"/>
    <w:rsid w:val="00D42073"/>
    <w:rsid w:val="00D423A4"/>
    <w:rsid w:val="00D42FDB"/>
    <w:rsid w:val="00D45A58"/>
    <w:rsid w:val="00D46843"/>
    <w:rsid w:val="00D472B8"/>
    <w:rsid w:val="00D50050"/>
    <w:rsid w:val="00D52AAA"/>
    <w:rsid w:val="00D53033"/>
    <w:rsid w:val="00D53161"/>
    <w:rsid w:val="00D532F3"/>
    <w:rsid w:val="00D5432B"/>
    <w:rsid w:val="00D5494D"/>
    <w:rsid w:val="00D574CA"/>
    <w:rsid w:val="00D577AD"/>
    <w:rsid w:val="00D57819"/>
    <w:rsid w:val="00D57D26"/>
    <w:rsid w:val="00D57E50"/>
    <w:rsid w:val="00D6053E"/>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955"/>
    <w:rsid w:val="00D73E07"/>
    <w:rsid w:val="00D74654"/>
    <w:rsid w:val="00D74A52"/>
    <w:rsid w:val="00D74DE9"/>
    <w:rsid w:val="00D76F40"/>
    <w:rsid w:val="00D7707D"/>
    <w:rsid w:val="00D77E65"/>
    <w:rsid w:val="00D80A4F"/>
    <w:rsid w:val="00D8211B"/>
    <w:rsid w:val="00D826B4"/>
    <w:rsid w:val="00D83EEA"/>
    <w:rsid w:val="00D84566"/>
    <w:rsid w:val="00D8531D"/>
    <w:rsid w:val="00D92951"/>
    <w:rsid w:val="00D9485C"/>
    <w:rsid w:val="00D9489C"/>
    <w:rsid w:val="00D94B05"/>
    <w:rsid w:val="00D94DF3"/>
    <w:rsid w:val="00D9667F"/>
    <w:rsid w:val="00D979E1"/>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4F3E"/>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DF7FF8"/>
    <w:rsid w:val="00E006E4"/>
    <w:rsid w:val="00E01AA0"/>
    <w:rsid w:val="00E01B93"/>
    <w:rsid w:val="00E02800"/>
    <w:rsid w:val="00E02AAD"/>
    <w:rsid w:val="00E02D4E"/>
    <w:rsid w:val="00E03A21"/>
    <w:rsid w:val="00E03A4B"/>
    <w:rsid w:val="00E03C85"/>
    <w:rsid w:val="00E04621"/>
    <w:rsid w:val="00E051A1"/>
    <w:rsid w:val="00E051FD"/>
    <w:rsid w:val="00E0720C"/>
    <w:rsid w:val="00E0769B"/>
    <w:rsid w:val="00E07E4A"/>
    <w:rsid w:val="00E11083"/>
    <w:rsid w:val="00E11C34"/>
    <w:rsid w:val="00E12E9D"/>
    <w:rsid w:val="00E14A5E"/>
    <w:rsid w:val="00E14AFB"/>
    <w:rsid w:val="00E14CAF"/>
    <w:rsid w:val="00E163E8"/>
    <w:rsid w:val="00E16539"/>
    <w:rsid w:val="00E16650"/>
    <w:rsid w:val="00E17A16"/>
    <w:rsid w:val="00E20BEE"/>
    <w:rsid w:val="00E21BDE"/>
    <w:rsid w:val="00E245D5"/>
    <w:rsid w:val="00E2487B"/>
    <w:rsid w:val="00E264B0"/>
    <w:rsid w:val="00E31C35"/>
    <w:rsid w:val="00E32B50"/>
    <w:rsid w:val="00E32E38"/>
    <w:rsid w:val="00E332E8"/>
    <w:rsid w:val="00E33B8F"/>
    <w:rsid w:val="00E36F7C"/>
    <w:rsid w:val="00E4019C"/>
    <w:rsid w:val="00E40624"/>
    <w:rsid w:val="00E408BF"/>
    <w:rsid w:val="00E412B6"/>
    <w:rsid w:val="00E41D30"/>
    <w:rsid w:val="00E4329F"/>
    <w:rsid w:val="00E45568"/>
    <w:rsid w:val="00E46262"/>
    <w:rsid w:val="00E46D15"/>
    <w:rsid w:val="00E47DA6"/>
    <w:rsid w:val="00E5156F"/>
    <w:rsid w:val="00E53C1B"/>
    <w:rsid w:val="00E53EDE"/>
    <w:rsid w:val="00E544C1"/>
    <w:rsid w:val="00E54D26"/>
    <w:rsid w:val="00E55754"/>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85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2E0A"/>
    <w:rsid w:val="00EE34B6"/>
    <w:rsid w:val="00EE4C1C"/>
    <w:rsid w:val="00EE553E"/>
    <w:rsid w:val="00EE55B2"/>
    <w:rsid w:val="00EE682B"/>
    <w:rsid w:val="00EE7CAE"/>
    <w:rsid w:val="00EE7DA9"/>
    <w:rsid w:val="00EF214A"/>
    <w:rsid w:val="00EF3461"/>
    <w:rsid w:val="00EF34D3"/>
    <w:rsid w:val="00EF34F1"/>
    <w:rsid w:val="00EF38CF"/>
    <w:rsid w:val="00EF3C89"/>
    <w:rsid w:val="00EF6B49"/>
    <w:rsid w:val="00EF6B9E"/>
    <w:rsid w:val="00F02F18"/>
    <w:rsid w:val="00F047A1"/>
    <w:rsid w:val="00F04926"/>
    <w:rsid w:val="00F04FF6"/>
    <w:rsid w:val="00F0504C"/>
    <w:rsid w:val="00F100D0"/>
    <w:rsid w:val="00F109FC"/>
    <w:rsid w:val="00F13B84"/>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480"/>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9A4"/>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57A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0A1"/>
    <w:rsid w:val="00FD24F1"/>
    <w:rsid w:val="00FD33DE"/>
    <w:rsid w:val="00FD4F3B"/>
    <w:rsid w:val="00FD554D"/>
    <w:rsid w:val="00FD5B24"/>
    <w:rsid w:val="00FD5ED8"/>
    <w:rsid w:val="00FE1231"/>
    <w:rsid w:val="00FE1734"/>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5DEF99-6F92-4D27-AEF9-B13D1625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0628148">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942568">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D53A-739E-4379-8530-F670B21D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802.11-17/0056r0</vt:lpstr>
    </vt:vector>
  </TitlesOfParts>
  <Company>Huawei Technologies Co.,Ltd.</Company>
  <LinksUpToDate>false</LinksUpToDate>
  <CharactersWithSpaces>8166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cp:lastModifiedBy>Junghoon Suh</cp:lastModifiedBy>
  <cp:revision>11</cp:revision>
  <cp:lastPrinted>2010-05-04T03:47:00Z</cp:lastPrinted>
  <dcterms:created xsi:type="dcterms:W3CDTF">2017-05-05T05:01:00Z</dcterms:created>
  <dcterms:modified xsi:type="dcterms:W3CDTF">2017-05-05T05:03:00Z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1493046483</vt:lpwstr>
  </property>
</Properties>
</file>