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CB76726" w:rsidR="00C723BC" w:rsidRPr="00183F4C" w:rsidRDefault="005500B4" w:rsidP="00586FC6">
            <w:pPr>
              <w:pStyle w:val="T2"/>
            </w:pPr>
            <w:r>
              <w:rPr>
                <w:lang w:eastAsia="ko-KR"/>
              </w:rPr>
              <w:t xml:space="preserve">Comment resolution for </w:t>
            </w:r>
            <w:r w:rsidR="00720FFA">
              <w:rPr>
                <w:lang w:eastAsia="ko-KR"/>
              </w:rPr>
              <w:t xml:space="preserve">OBSS_PD spatial reuse </w:t>
            </w:r>
            <w:r w:rsidR="00586FC6">
              <w:rPr>
                <w:lang w:eastAsia="ko-KR"/>
              </w:rPr>
              <w:t>Disallow</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0EAD7B9D"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7369C">
              <w:rPr>
                <w:b w:val="0"/>
                <w:sz w:val="20"/>
                <w:lang w:eastAsia="ko-KR"/>
              </w:rPr>
              <w:t>3-16</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067067" w:rsidRPr="00183F4C" w14:paraId="0251993C" w14:textId="77777777" w:rsidTr="00D74DE9">
        <w:trPr>
          <w:trHeight w:val="359"/>
          <w:jc w:val="center"/>
        </w:trPr>
        <w:tc>
          <w:tcPr>
            <w:tcW w:w="1548" w:type="dxa"/>
            <w:vAlign w:val="center"/>
          </w:tcPr>
          <w:p w14:paraId="0B96DE0A" w14:textId="0F703E69" w:rsidR="00067067" w:rsidRDefault="00067067" w:rsidP="005500B4">
            <w:pPr>
              <w:pStyle w:val="T2"/>
              <w:spacing w:after="0"/>
              <w:ind w:left="0" w:right="0"/>
              <w:jc w:val="left"/>
              <w:rPr>
                <w:b w:val="0"/>
                <w:sz w:val="18"/>
                <w:szCs w:val="18"/>
                <w:lang w:eastAsia="ko-KR"/>
              </w:rPr>
            </w:pPr>
            <w:r>
              <w:rPr>
                <w:b w:val="0"/>
                <w:sz w:val="18"/>
                <w:szCs w:val="18"/>
                <w:lang w:eastAsia="ko-KR"/>
              </w:rPr>
              <w:t>Sean Coffey</w:t>
            </w:r>
          </w:p>
        </w:tc>
        <w:tc>
          <w:tcPr>
            <w:tcW w:w="1440" w:type="dxa"/>
            <w:vAlign w:val="center"/>
          </w:tcPr>
          <w:p w14:paraId="35D0D0B8" w14:textId="6016EAAE" w:rsidR="00067067" w:rsidRPr="000A26E7" w:rsidRDefault="00067067" w:rsidP="005500B4">
            <w:pPr>
              <w:pStyle w:val="T2"/>
              <w:spacing w:after="0"/>
              <w:ind w:left="0" w:right="0"/>
              <w:jc w:val="left"/>
              <w:rPr>
                <w:b w:val="0"/>
                <w:sz w:val="18"/>
                <w:szCs w:val="18"/>
                <w:lang w:eastAsia="ko-KR"/>
              </w:rPr>
            </w:pPr>
            <w:r>
              <w:rPr>
                <w:b w:val="0"/>
                <w:sz w:val="18"/>
                <w:szCs w:val="18"/>
                <w:lang w:eastAsia="ko-KR"/>
              </w:rPr>
              <w:t>Realtek</w:t>
            </w:r>
          </w:p>
        </w:tc>
        <w:tc>
          <w:tcPr>
            <w:tcW w:w="2610" w:type="dxa"/>
            <w:vAlign w:val="center"/>
          </w:tcPr>
          <w:p w14:paraId="26E3E754" w14:textId="08D420D0" w:rsidR="00067067" w:rsidRPr="000A26E7" w:rsidRDefault="009C6BB0" w:rsidP="009C6BB0">
            <w:pPr>
              <w:pStyle w:val="T2"/>
              <w:spacing w:after="0"/>
              <w:ind w:left="0" w:right="0"/>
              <w:rPr>
                <w:b w:val="0"/>
                <w:sz w:val="18"/>
                <w:szCs w:val="18"/>
                <w:lang w:eastAsia="ko-KR"/>
              </w:rPr>
            </w:pPr>
            <w:r>
              <w:rPr>
                <w:b w:val="0"/>
                <w:sz w:val="18"/>
                <w:szCs w:val="18"/>
                <w:lang w:eastAsia="ko-KR"/>
              </w:rPr>
              <w:t xml:space="preserve">9120 Irvine </w:t>
            </w:r>
            <w:proofErr w:type="spellStart"/>
            <w:r w:rsidRPr="009C6BB0">
              <w:rPr>
                <w:b w:val="0"/>
                <w:sz w:val="18"/>
                <w:szCs w:val="18"/>
                <w:lang w:eastAsia="ko-KR"/>
              </w:rPr>
              <w:t>Center</w:t>
            </w:r>
            <w:proofErr w:type="spellEnd"/>
            <w:r w:rsidRPr="009C6BB0">
              <w:rPr>
                <w:b w:val="0"/>
                <w:sz w:val="18"/>
                <w:szCs w:val="18"/>
                <w:lang w:eastAsia="ko-KR"/>
              </w:rPr>
              <w:t xml:space="preserve"> D</w:t>
            </w:r>
            <w:r>
              <w:rPr>
                <w:b w:val="0"/>
                <w:sz w:val="18"/>
                <w:szCs w:val="18"/>
                <w:lang w:eastAsia="ko-KR"/>
              </w:rPr>
              <w:t>rive, Ste.200, Irvine, CA 92618</w:t>
            </w:r>
          </w:p>
        </w:tc>
        <w:tc>
          <w:tcPr>
            <w:tcW w:w="1620" w:type="dxa"/>
            <w:vAlign w:val="center"/>
          </w:tcPr>
          <w:p w14:paraId="102E5C1B" w14:textId="52CFF143" w:rsidR="00067067" w:rsidRDefault="009C6BB0" w:rsidP="005500B4">
            <w:pPr>
              <w:pStyle w:val="T2"/>
              <w:spacing w:after="0"/>
              <w:ind w:left="0" w:right="0"/>
              <w:jc w:val="left"/>
              <w:rPr>
                <w:b w:val="0"/>
                <w:sz w:val="18"/>
                <w:szCs w:val="18"/>
                <w:lang w:eastAsia="ko-KR"/>
              </w:rPr>
            </w:pPr>
            <w:r>
              <w:rPr>
                <w:b w:val="0"/>
                <w:sz w:val="18"/>
                <w:szCs w:val="18"/>
                <w:lang w:eastAsia="ko-KR"/>
              </w:rPr>
              <w:t>+ 1 415-572-6221</w:t>
            </w:r>
          </w:p>
        </w:tc>
        <w:tc>
          <w:tcPr>
            <w:tcW w:w="2358" w:type="dxa"/>
            <w:vAlign w:val="center"/>
          </w:tcPr>
          <w:p w14:paraId="5D904270" w14:textId="6A361051" w:rsidR="00067067" w:rsidRDefault="00067067" w:rsidP="005500B4">
            <w:pPr>
              <w:pStyle w:val="T2"/>
              <w:spacing w:after="0"/>
              <w:ind w:left="0" w:right="0"/>
              <w:jc w:val="left"/>
              <w:rPr>
                <w:b w:val="0"/>
                <w:sz w:val="16"/>
                <w:szCs w:val="18"/>
                <w:lang w:eastAsia="ko-KR"/>
              </w:rPr>
            </w:pPr>
            <w:r>
              <w:rPr>
                <w:b w:val="0"/>
                <w:sz w:val="16"/>
                <w:szCs w:val="18"/>
                <w:lang w:eastAsia="ko-KR"/>
              </w:rPr>
              <w:t>coffey@realtek.com</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25615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25615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E1B9A7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20FFA">
        <w:rPr>
          <w:lang w:eastAsia="ko-KR"/>
        </w:rPr>
        <w:t xml:space="preserve"> (</w:t>
      </w:r>
      <w:r w:rsidR="00A5107B">
        <w:rPr>
          <w:lang w:eastAsia="ko-KR"/>
        </w:rPr>
        <w:t>1</w:t>
      </w:r>
      <w:r w:rsidR="005500B4">
        <w:rPr>
          <w:lang w:eastAsia="ko-KR"/>
        </w:rPr>
        <w:t xml:space="preserve"> CID)</w:t>
      </w:r>
      <w:r w:rsidR="00E920E1">
        <w:rPr>
          <w:lang w:eastAsia="ko-KR"/>
        </w:rPr>
        <w:t>:</w:t>
      </w:r>
    </w:p>
    <w:p w14:paraId="345B4480" w14:textId="6C06E29F" w:rsidR="00A5107B" w:rsidRDefault="00A5107B" w:rsidP="007E41CB">
      <w:pPr>
        <w:jc w:val="both"/>
        <w:rPr>
          <w:lang w:eastAsia="ko-KR"/>
        </w:rPr>
      </w:pPr>
    </w:p>
    <w:p w14:paraId="5F30F0F6" w14:textId="63A176B4" w:rsidR="00A5107B" w:rsidRDefault="00A5107B" w:rsidP="007E41CB">
      <w:pPr>
        <w:jc w:val="both"/>
        <w:rPr>
          <w:lang w:eastAsia="ko-KR"/>
        </w:rPr>
      </w:pPr>
      <w:r>
        <w:rPr>
          <w:lang w:eastAsia="ko-KR"/>
        </w:rPr>
        <w:t>6768.</w:t>
      </w:r>
    </w:p>
    <w:p w14:paraId="0E9DF9D0" w14:textId="13B705EE" w:rsidR="003D4DAA" w:rsidRDefault="005500B4" w:rsidP="00C56B81">
      <w:pPr>
        <w:pStyle w:val="ListParagraph"/>
        <w:numPr>
          <w:ilvl w:val="0"/>
          <w:numId w:val="10"/>
        </w:numPr>
        <w:ind w:leftChars="0"/>
        <w:rPr>
          <w:lang w:eastAsia="ko-KR"/>
        </w:rPr>
      </w:pPr>
      <w:r w:rsidRPr="005500B4">
        <w:rPr>
          <w:lang w:eastAsia="ko-KR"/>
        </w:rPr>
        <w:t xml:space="preserve"> </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02FCFA2B" w:rsidR="0053566B" w:rsidRDefault="00067067" w:rsidP="0079373D">
      <w:pPr>
        <w:pStyle w:val="Heading1"/>
      </w:pPr>
      <w:r>
        <w:rPr>
          <w:lang w:eastAsia="ko-KR"/>
        </w:rPr>
        <w:t xml:space="preserve">OBSS_PD </w:t>
      </w:r>
      <w:r w:rsidR="00586FC6">
        <w:rPr>
          <w:lang w:eastAsia="ko-KR"/>
        </w:rPr>
        <w:t xml:space="preserve">Spatial Reuse </w:t>
      </w:r>
      <w:r>
        <w:rPr>
          <w:lang w:eastAsia="ko-KR"/>
        </w:rPr>
        <w:t>Disallow</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C9D" w:rsidRPr="001F620B" w14:paraId="44503791" w14:textId="77777777" w:rsidTr="00DB0818">
        <w:trPr>
          <w:trHeight w:val="216"/>
        </w:trPr>
        <w:tc>
          <w:tcPr>
            <w:tcW w:w="967" w:type="dxa"/>
            <w:shd w:val="clear" w:color="auto" w:fill="auto"/>
            <w:noWrap/>
          </w:tcPr>
          <w:p w14:paraId="40FB842A" w14:textId="457B0461"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6768</w:t>
            </w:r>
          </w:p>
        </w:tc>
        <w:tc>
          <w:tcPr>
            <w:tcW w:w="1080" w:type="dxa"/>
            <w:shd w:val="clear" w:color="auto" w:fill="auto"/>
            <w:noWrap/>
          </w:tcPr>
          <w:p w14:paraId="0C0A0A44" w14:textId="003198A3"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John Coffey</w:t>
            </w:r>
          </w:p>
        </w:tc>
        <w:tc>
          <w:tcPr>
            <w:tcW w:w="900" w:type="dxa"/>
            <w:shd w:val="clear" w:color="auto" w:fill="auto"/>
            <w:noWrap/>
          </w:tcPr>
          <w:p w14:paraId="78387F5B" w14:textId="164D82AC" w:rsidR="008C6C9D" w:rsidRPr="00A5107B" w:rsidRDefault="008C6C9D" w:rsidP="008C6C9D">
            <w:pPr>
              <w:jc w:val="both"/>
              <w:rPr>
                <w:rFonts w:eastAsia="Times New Roman"/>
                <w:b/>
                <w:bCs/>
                <w:color w:val="000000"/>
                <w:szCs w:val="18"/>
                <w:lang w:val="en-US"/>
              </w:rPr>
            </w:pPr>
          </w:p>
        </w:tc>
        <w:tc>
          <w:tcPr>
            <w:tcW w:w="2610" w:type="dxa"/>
            <w:shd w:val="clear" w:color="auto" w:fill="auto"/>
            <w:noWrap/>
          </w:tcPr>
          <w:p w14:paraId="2A7AD027" w14:textId="157B19C3"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 xml:space="preserve">The adjustments in OBSS_PD shown in this diagram represent a great increase in the level of interference that will be seen by the intended receiver of the frame that is currently under way. *Every* device that is permitted to transmit under current rules will still be allowed to transmit under the rule in the diagram. In addition, many more devices will be allowed to transmit. Even worse, *every* new device that is allowed to transmit will be allowed to do so at a transmit power level that results in the maximum level of interference that would apply under the existing rules: essentially the rule requires the new, interfering transmitter to reduce its transmit power, but only by just enough to get the interference down to that existing maximum. The justifications that have been given for this radical departure from prior practice seem extraordinarily weak, and essentially seem to boil down to (a) a misconception that the current rules constitute a safe harbor, at which the interference caused can be treated as if it didn't exist, and/or (b) the argument that other wireless standards, with entirely different deployment models and a vastly different installed base, do the same thing. This is a reckless attack on the fundamental integrity of 802.11 and on the indispensable attribute of backward compatibility. No evidence has been presented that even </w:t>
            </w:r>
            <w:r w:rsidRPr="00A5107B">
              <w:rPr>
                <w:rFonts w:eastAsia="Times New Roman"/>
                <w:b/>
                <w:bCs/>
                <w:color w:val="000000"/>
                <w:szCs w:val="18"/>
                <w:lang w:val="en-US"/>
              </w:rPr>
              <w:lastRenderedPageBreak/>
              <w:t>begins to justify the changes that are being proposed.</w:t>
            </w:r>
          </w:p>
        </w:tc>
        <w:tc>
          <w:tcPr>
            <w:tcW w:w="2610" w:type="dxa"/>
            <w:shd w:val="clear" w:color="auto" w:fill="auto"/>
            <w:noWrap/>
          </w:tcPr>
          <w:p w14:paraId="44903904" w14:textId="78A8EC74" w:rsidR="008C6C9D"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lastRenderedPageBreak/>
              <w:t>Remove the entire OBSS_PD mode and all references to it and all modes that enable it in whole or in part from the draft.</w:t>
            </w:r>
          </w:p>
        </w:tc>
        <w:tc>
          <w:tcPr>
            <w:tcW w:w="3022" w:type="dxa"/>
            <w:shd w:val="clear" w:color="auto" w:fill="auto"/>
          </w:tcPr>
          <w:p w14:paraId="442199C2" w14:textId="357E0C4A" w:rsidR="0025615B"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t>Revised—</w:t>
            </w:r>
          </w:p>
          <w:p w14:paraId="4B2CBD74" w14:textId="77777777" w:rsidR="00244AE1" w:rsidRPr="00A5107B" w:rsidRDefault="00244AE1" w:rsidP="008C6C9D">
            <w:pPr>
              <w:jc w:val="both"/>
              <w:rPr>
                <w:rFonts w:eastAsia="Times New Roman"/>
                <w:b/>
                <w:bCs/>
                <w:color w:val="000000"/>
                <w:szCs w:val="18"/>
                <w:lang w:val="en-US"/>
              </w:rPr>
            </w:pPr>
          </w:p>
          <w:p w14:paraId="6BE827EA" w14:textId="27F3175B" w:rsidR="00244AE1"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t xml:space="preserve">The changes added in document 11/17-0xxx add additional safeguards to those previously approved. The net effect of these changes has been to enable the victim transmitter, subject to permission from the victim AP, to disallow OBSS_PD. The TG considers that the safeguards </w:t>
            </w:r>
            <w:r w:rsidR="003C3F4B">
              <w:rPr>
                <w:rFonts w:eastAsia="Times New Roman"/>
                <w:b/>
                <w:bCs/>
                <w:color w:val="000000"/>
                <w:szCs w:val="18"/>
                <w:lang w:val="en-US"/>
              </w:rPr>
              <w:t xml:space="preserve">available, including the ones provided </w:t>
            </w:r>
            <w:r w:rsidRPr="00A5107B">
              <w:rPr>
                <w:rFonts w:eastAsia="Times New Roman"/>
                <w:b/>
                <w:bCs/>
                <w:color w:val="000000"/>
                <w:szCs w:val="18"/>
                <w:lang w:val="en-US"/>
              </w:rPr>
              <w:t>in the above reference</w:t>
            </w:r>
            <w:r w:rsidR="003C3F4B" w:rsidRPr="00A5107B">
              <w:rPr>
                <w:rFonts w:eastAsia="Times New Roman"/>
                <w:b/>
                <w:bCs/>
                <w:color w:val="000000"/>
                <w:szCs w:val="18"/>
                <w:lang w:val="en-US"/>
              </w:rPr>
              <w:t xml:space="preserve">d document and others </w:t>
            </w:r>
            <w:r w:rsidR="003C3F4B">
              <w:rPr>
                <w:rFonts w:eastAsia="Times New Roman"/>
                <w:b/>
                <w:bCs/>
                <w:color w:val="000000"/>
                <w:szCs w:val="18"/>
                <w:lang w:val="en-US"/>
              </w:rPr>
              <w:t xml:space="preserve">(e.g., exclusion of TXOPs protected by CTS-to-self), </w:t>
            </w:r>
            <w:r w:rsidR="003C3F4B" w:rsidRPr="00B75524">
              <w:rPr>
                <w:rFonts w:eastAsia="Times New Roman"/>
                <w:b/>
                <w:bCs/>
                <w:color w:val="000000"/>
                <w:szCs w:val="18"/>
                <w:lang w:val="en-US"/>
              </w:rPr>
              <w:t>provide</w:t>
            </w:r>
            <w:r w:rsidR="003C3F4B" w:rsidRPr="00A5107B">
              <w:rPr>
                <w:rFonts w:eastAsia="Times New Roman"/>
                <w:b/>
                <w:bCs/>
                <w:color w:val="000000"/>
                <w:szCs w:val="18"/>
                <w:lang w:val="en-US"/>
              </w:rPr>
              <w:t xml:space="preserve"> fully adequate assurance of acceptable operation.</w:t>
            </w:r>
          </w:p>
        </w:tc>
      </w:tr>
    </w:tbl>
    <w:p w14:paraId="138FB54B" w14:textId="00AE1C3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327E01FD" w14:textId="27F1D7E9" w:rsidR="00BA100D" w:rsidRPr="00BA100D" w:rsidRDefault="00BA100D"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Document 17/458 describes the need and mechanism to disable OBSS_PD based spatial reuse. This document covers the specification text change required to enable the OBSS_PD spatial reuse feature.</w:t>
      </w:r>
    </w:p>
    <w:p w14:paraId="018BEE40" w14:textId="77777777" w:rsidR="008F06AA" w:rsidRDefault="008F06AA" w:rsidP="008F06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OBSS_PD spatial reuse disable setting to disable OBSS_PD spatial reuse on the transmitted packet, add to 28.16</w:t>
      </w:r>
      <w:r w:rsidRPr="001603D1">
        <w:rPr>
          <w:rFonts w:eastAsia="Times New Roman"/>
          <w:b/>
          <w:i/>
          <w:color w:val="000000"/>
          <w:sz w:val="20"/>
          <w:highlight w:val="yellow"/>
          <w:lang w:val="en-US"/>
        </w:rPr>
        <w:t>:</w:t>
      </w:r>
    </w:p>
    <w:tbl>
      <w:tblPr>
        <w:tblStyle w:val="TableGrid"/>
        <w:tblW w:w="0" w:type="auto"/>
        <w:tblLook w:val="04A0" w:firstRow="1" w:lastRow="0" w:firstColumn="1" w:lastColumn="0" w:noHBand="0" w:noVBand="1"/>
      </w:tblPr>
      <w:tblGrid>
        <w:gridCol w:w="1900"/>
        <w:gridCol w:w="3026"/>
        <w:gridCol w:w="739"/>
        <w:gridCol w:w="4189"/>
      </w:tblGrid>
      <w:tr w:rsidR="008F06AA" w14:paraId="785AD586" w14:textId="77777777" w:rsidTr="00BB24DD">
        <w:tc>
          <w:tcPr>
            <w:tcW w:w="1900" w:type="dxa"/>
          </w:tcPr>
          <w:p w14:paraId="703FBB7A" w14:textId="77777777" w:rsidR="008F06AA" w:rsidRDefault="008F06AA" w:rsidP="00BB24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B15-B18</w:t>
            </w:r>
          </w:p>
        </w:tc>
        <w:tc>
          <w:tcPr>
            <w:tcW w:w="3026" w:type="dxa"/>
          </w:tcPr>
          <w:p w14:paraId="58083A4C" w14:textId="77777777" w:rsidR="008F06AA" w:rsidRDefault="008F06AA" w:rsidP="00BB24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Spatial Reuse</w:t>
            </w:r>
          </w:p>
        </w:tc>
        <w:tc>
          <w:tcPr>
            <w:tcW w:w="739" w:type="dxa"/>
          </w:tcPr>
          <w:p w14:paraId="4EB1481B" w14:textId="77777777" w:rsidR="008F06AA" w:rsidRDefault="008F06AA" w:rsidP="00BB24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4</w:t>
            </w:r>
          </w:p>
        </w:tc>
        <w:tc>
          <w:tcPr>
            <w:tcW w:w="4189" w:type="dxa"/>
          </w:tcPr>
          <w:p w14:paraId="02280D21" w14:textId="70492333" w:rsidR="008F06AA" w:rsidRDefault="008F06AA" w:rsidP="00BB24DD">
            <w:pPr>
              <w:pStyle w:val="TableText"/>
              <w:rPr>
                <w:w w:val="100"/>
              </w:rPr>
            </w:pPr>
            <w:r>
              <w:rPr>
                <w:w w:val="100"/>
              </w:rPr>
              <w:t>Set to SR</w:t>
            </w:r>
            <w:r w:rsidR="00530C8D">
              <w:rPr>
                <w:w w:val="100"/>
              </w:rPr>
              <w:t>P</w:t>
            </w:r>
            <w:r>
              <w:rPr>
                <w:w w:val="100"/>
              </w:rPr>
              <w:t xml:space="preserve"> Disallowed to disallow SRP-based spatial reuse (see 27.9 (Spatial reuse operation) and 27.11.6 (SPATIAL_REUSE)).</w:t>
            </w:r>
          </w:p>
          <w:p w14:paraId="558C4BE1" w14:textId="77777777" w:rsidR="008F06AA" w:rsidRDefault="008F06AA" w:rsidP="00BB24DD">
            <w:pPr>
              <w:pStyle w:val="TableText"/>
              <w:rPr>
                <w:w w:val="100"/>
              </w:rPr>
            </w:pPr>
          </w:p>
          <w:p w14:paraId="0247ECFB" w14:textId="77777777" w:rsidR="008F06AA" w:rsidRDefault="008F06AA" w:rsidP="00BB24DD">
            <w:pPr>
              <w:pStyle w:val="TableText"/>
              <w:rPr>
                <w:w w:val="100"/>
              </w:rPr>
            </w:pPr>
            <w:r>
              <w:rPr>
                <w:w w:val="100"/>
              </w:rPr>
              <w:t>NOTE—This part needs further development.</w:t>
            </w:r>
          </w:p>
          <w:p w14:paraId="1C5B156E" w14:textId="77777777" w:rsidR="008F06AA" w:rsidRDefault="008F06AA" w:rsidP="00BB24DD">
            <w:pPr>
              <w:pStyle w:val="TableText"/>
              <w:rPr>
                <w:w w:val="100"/>
              </w:rPr>
            </w:pPr>
          </w:p>
          <w:p w14:paraId="6D51D1EF" w14:textId="77777777" w:rsidR="008F06AA" w:rsidRDefault="008F06AA" w:rsidP="00BB24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Set to </w:t>
            </w:r>
            <w:proofErr w:type="spellStart"/>
            <w:r>
              <w:t>SR_Delay</w:t>
            </w:r>
            <w:proofErr w:type="spellEnd"/>
            <w:r>
              <w:t xml:space="preserve"> to delay the starting time of spatial reuse transmission (see 27.9.2.1 (General) and 27.11a (TXVECTOR parameters SPATIAL_REUSE for an HE PPDU)).</w:t>
            </w:r>
          </w:p>
          <w:p w14:paraId="7057EE38" w14:textId="09359A6D" w:rsidR="008F06AA" w:rsidRPr="00A5107B" w:rsidRDefault="008F06AA" w:rsidP="00A5107B">
            <w:pPr>
              <w:pStyle w:val="TableText"/>
            </w:pPr>
            <w:r>
              <w:rPr>
                <w:w w:val="100"/>
              </w:rPr>
              <w:t xml:space="preserve">Set to </w:t>
            </w:r>
            <w:proofErr w:type="spellStart"/>
            <w:r>
              <w:rPr>
                <w:w w:val="100"/>
              </w:rPr>
              <w:t>SR</w:t>
            </w:r>
            <w:r w:rsidR="00E9280C">
              <w:rPr>
                <w:w w:val="100"/>
              </w:rPr>
              <w:t>P</w:t>
            </w:r>
            <w:r>
              <w:rPr>
                <w:w w:val="100"/>
              </w:rPr>
              <w:t>_and_</w:t>
            </w:r>
            <w:r w:rsidR="00530C8D">
              <w:rPr>
                <w:w w:val="100"/>
              </w:rPr>
              <w:t>NON</w:t>
            </w:r>
            <w:proofErr w:type="spellEnd"/>
            <w:r w:rsidR="00530C8D">
              <w:rPr>
                <w:w w:val="100"/>
              </w:rPr>
              <w:t xml:space="preserve"> SRG </w:t>
            </w:r>
            <w:r>
              <w:rPr>
                <w:w w:val="100"/>
              </w:rPr>
              <w:t xml:space="preserve">OBSS_PD SR Disallowed to disallow </w:t>
            </w:r>
            <w:r w:rsidR="00E9280C">
              <w:rPr>
                <w:w w:val="100"/>
              </w:rPr>
              <w:t xml:space="preserve">both </w:t>
            </w:r>
            <w:r>
              <w:rPr>
                <w:w w:val="100"/>
              </w:rPr>
              <w:t xml:space="preserve">SRP-based spatial reuse and </w:t>
            </w:r>
            <w:r w:rsidR="00530C8D">
              <w:rPr>
                <w:w w:val="100"/>
              </w:rPr>
              <w:t xml:space="preserve">NON SRG </w:t>
            </w:r>
            <w:r>
              <w:rPr>
                <w:w w:val="100"/>
              </w:rPr>
              <w:t xml:space="preserve">OBSS_PD based spatial reuse. </w:t>
            </w:r>
          </w:p>
        </w:tc>
      </w:tr>
    </w:tbl>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2340"/>
      </w:tblGrid>
      <w:tr w:rsidR="002D5574" w14:paraId="177691CA" w14:textId="77777777" w:rsidTr="002D5574">
        <w:trPr>
          <w:jc w:val="center"/>
        </w:trPr>
        <w:tc>
          <w:tcPr>
            <w:tcW w:w="3520" w:type="dxa"/>
            <w:gridSpan w:val="2"/>
            <w:tcBorders>
              <w:top w:val="nil"/>
              <w:left w:val="nil"/>
              <w:bottom w:val="nil"/>
              <w:right w:val="nil"/>
            </w:tcBorders>
            <w:tcMar>
              <w:top w:w="120" w:type="dxa"/>
              <w:left w:w="120" w:type="dxa"/>
              <w:bottom w:w="60" w:type="dxa"/>
              <w:right w:w="120" w:type="dxa"/>
            </w:tcMar>
            <w:vAlign w:val="center"/>
          </w:tcPr>
          <w:p w14:paraId="1126C595" w14:textId="77777777" w:rsidR="002D5574" w:rsidRDefault="002D5574" w:rsidP="002D5574">
            <w:pPr>
              <w:pStyle w:val="TableTitle"/>
              <w:numPr>
                <w:ilvl w:val="0"/>
                <w:numId w:val="16"/>
              </w:numPr>
            </w:pPr>
            <w:bookmarkStart w:id="0" w:name="RTF36333239363a205461626c65"/>
            <w:r>
              <w:rPr>
                <w:w w:val="100"/>
              </w:rPr>
              <w:t>Spatial Reuse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2D5574" w14:paraId="5257CC2D" w14:textId="77777777" w:rsidTr="002D5574">
        <w:trPr>
          <w:trHeight w:val="4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AC3AFC0" w14:textId="77777777" w:rsidR="002D5574" w:rsidRDefault="002D5574" w:rsidP="00BB24DD">
            <w:pPr>
              <w:pStyle w:val="TableText"/>
              <w:rPr>
                <w:b/>
                <w:bCs/>
              </w:rPr>
            </w:pPr>
            <w:r>
              <w:rPr>
                <w:b/>
                <w:bCs/>
                <w:w w:val="100"/>
              </w:rPr>
              <w:t xml:space="preserve">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03A2987" w14:textId="77777777" w:rsidR="002D5574" w:rsidRDefault="002D5574" w:rsidP="00BB24DD">
            <w:pPr>
              <w:pStyle w:val="TableText"/>
              <w:rPr>
                <w:b/>
                <w:bCs/>
              </w:rPr>
            </w:pPr>
            <w:r>
              <w:rPr>
                <w:b/>
                <w:bCs/>
                <w:w w:val="100"/>
              </w:rPr>
              <w:t>Meaning</w:t>
            </w:r>
          </w:p>
        </w:tc>
      </w:tr>
      <w:tr w:rsidR="002D5574" w14:paraId="60B4787F"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40B3AB" w14:textId="77777777" w:rsidR="002D5574" w:rsidRDefault="002D5574" w:rsidP="00BB24DD">
            <w:pPr>
              <w:pStyle w:val="CellBody"/>
            </w:pPr>
            <w:r>
              <w:rPr>
                <w:w w:val="100"/>
              </w:rPr>
              <w:t>0</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395668" w14:textId="29176904" w:rsidR="002D5574" w:rsidRDefault="002D5574" w:rsidP="00BB24DD">
            <w:pPr>
              <w:pStyle w:val="CellBody"/>
            </w:pPr>
            <w:r>
              <w:rPr>
                <w:w w:val="100"/>
              </w:rPr>
              <w:t>SR</w:t>
            </w:r>
            <w:r w:rsidR="00E33806">
              <w:rPr>
                <w:w w:val="100"/>
              </w:rPr>
              <w:t>P</w:t>
            </w:r>
            <w:r>
              <w:rPr>
                <w:w w:val="100"/>
              </w:rPr>
              <w:t xml:space="preserve"> disallow</w:t>
            </w:r>
          </w:p>
        </w:tc>
      </w:tr>
      <w:tr w:rsidR="002D5574" w14:paraId="4D0BB7F2"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7F7A21" w14:textId="77777777" w:rsidR="002D5574" w:rsidRDefault="002D5574" w:rsidP="00BB24DD">
            <w:pPr>
              <w:pStyle w:val="CellBody"/>
            </w:pPr>
            <w:r>
              <w:rPr>
                <w:w w:val="100"/>
              </w:rPr>
              <w:t>1</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FD3B" w14:textId="024B83B9" w:rsidR="002D5574" w:rsidRDefault="00A52FB6" w:rsidP="00BB24DD">
            <w:pPr>
              <w:pStyle w:val="CellBody"/>
            </w:pPr>
            <w:r>
              <w:rPr>
                <w:w w:val="100"/>
              </w:rPr>
              <w:t>SR</w:t>
            </w:r>
            <w:r w:rsidR="00582075">
              <w:rPr>
                <w:w w:val="100"/>
              </w:rPr>
              <w:t>P</w:t>
            </w:r>
            <w:r>
              <w:rPr>
                <w:w w:val="100"/>
              </w:rPr>
              <w:t>_</w:t>
            </w:r>
            <w:r w:rsidRPr="009023E6">
              <w:rPr>
                <w:w w:val="100"/>
              </w:rPr>
              <w:t xml:space="preserve"> </w:t>
            </w:r>
            <w:proofErr w:type="spellStart"/>
            <w:r>
              <w:rPr>
                <w:w w:val="100"/>
              </w:rPr>
              <w:t>and_</w:t>
            </w:r>
            <w:r w:rsidR="00530C8D">
              <w:rPr>
                <w:w w:val="100"/>
              </w:rPr>
              <w:t>NON</w:t>
            </w:r>
            <w:proofErr w:type="spellEnd"/>
            <w:r w:rsidR="00530C8D">
              <w:rPr>
                <w:w w:val="100"/>
              </w:rPr>
              <w:t xml:space="preserve"> SRG </w:t>
            </w:r>
            <w:r>
              <w:rPr>
                <w:w w:val="100"/>
              </w:rPr>
              <w:t>OBSS_PD SR Disallowed</w:t>
            </w:r>
          </w:p>
        </w:tc>
      </w:tr>
      <w:tr w:rsidR="002D5574" w14:paraId="71ABFF43"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9C8DE3" w14:textId="77777777" w:rsidR="002D5574" w:rsidRDefault="002D5574" w:rsidP="00BB24DD">
            <w:pPr>
              <w:pStyle w:val="CellBody"/>
            </w:pPr>
            <w:r>
              <w:rPr>
                <w:w w:val="100"/>
              </w:rPr>
              <w:t>2</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C2889" w14:textId="73B56F16" w:rsidR="002D5574" w:rsidRDefault="002D5574" w:rsidP="00BB24DD">
            <w:pPr>
              <w:pStyle w:val="CellBody"/>
            </w:pPr>
            <w:r>
              <w:rPr>
                <w:w w:val="100"/>
              </w:rPr>
              <w:t xml:space="preserve">SRP = </w:t>
            </w:r>
            <w:r>
              <w:rPr>
                <w:rFonts w:ascii="Symbol" w:hAnsi="Symbol" w:cs="Symbol"/>
                <w:w w:val="100"/>
              </w:rPr>
              <w:t></w:t>
            </w:r>
            <w:r>
              <w:rPr>
                <w:w w:val="100"/>
              </w:rPr>
              <w:t xml:space="preserve">74 </w:t>
            </w:r>
            <w:proofErr w:type="spellStart"/>
            <w:r>
              <w:rPr>
                <w:w w:val="100"/>
              </w:rPr>
              <w:t>dBm</w:t>
            </w:r>
            <w:proofErr w:type="spellEnd"/>
          </w:p>
        </w:tc>
      </w:tr>
      <w:tr w:rsidR="002D5574" w14:paraId="71C81630"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6C91F7" w14:textId="77777777" w:rsidR="002D5574" w:rsidRDefault="002D5574" w:rsidP="00BB24DD">
            <w:pPr>
              <w:pStyle w:val="CellBody"/>
            </w:pPr>
            <w:r>
              <w:rPr>
                <w:w w:val="100"/>
              </w:rPr>
              <w:t>3</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28AED5" w14:textId="77777777" w:rsidR="002D5574" w:rsidRDefault="002D5574" w:rsidP="00BB24DD">
            <w:pPr>
              <w:pStyle w:val="CellBody"/>
            </w:pPr>
            <w:r>
              <w:rPr>
                <w:w w:val="100"/>
              </w:rPr>
              <w:t xml:space="preserve">SRP = </w:t>
            </w:r>
            <w:r>
              <w:rPr>
                <w:rFonts w:ascii="Symbol" w:hAnsi="Symbol" w:cs="Symbol"/>
                <w:w w:val="100"/>
              </w:rPr>
              <w:t></w:t>
            </w:r>
            <w:r>
              <w:rPr>
                <w:w w:val="100"/>
              </w:rPr>
              <w:t xml:space="preserve">68 </w:t>
            </w:r>
            <w:proofErr w:type="spellStart"/>
            <w:r>
              <w:rPr>
                <w:w w:val="100"/>
              </w:rPr>
              <w:t>dBm</w:t>
            </w:r>
            <w:proofErr w:type="spellEnd"/>
          </w:p>
        </w:tc>
      </w:tr>
      <w:tr w:rsidR="002D5574" w14:paraId="1DD76C6F"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083676" w14:textId="77777777" w:rsidR="002D5574" w:rsidRDefault="002D5574" w:rsidP="00BB24DD">
            <w:pPr>
              <w:pStyle w:val="CellBody"/>
            </w:pPr>
            <w:r>
              <w:rPr>
                <w:w w:val="100"/>
              </w:rPr>
              <w:t>4</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E0CA1" w14:textId="77777777" w:rsidR="002D5574" w:rsidRDefault="002D5574" w:rsidP="00BB24DD">
            <w:pPr>
              <w:pStyle w:val="CellBody"/>
            </w:pPr>
            <w:r>
              <w:rPr>
                <w:w w:val="100"/>
              </w:rPr>
              <w:t xml:space="preserve">SRP = </w:t>
            </w:r>
            <w:r>
              <w:rPr>
                <w:rFonts w:ascii="Symbol" w:hAnsi="Symbol" w:cs="Symbol"/>
                <w:w w:val="100"/>
              </w:rPr>
              <w:t></w:t>
            </w:r>
            <w:r>
              <w:rPr>
                <w:w w:val="100"/>
              </w:rPr>
              <w:t xml:space="preserve">62 </w:t>
            </w:r>
            <w:proofErr w:type="spellStart"/>
            <w:r>
              <w:rPr>
                <w:w w:val="100"/>
              </w:rPr>
              <w:t>dBm</w:t>
            </w:r>
            <w:proofErr w:type="spellEnd"/>
          </w:p>
        </w:tc>
      </w:tr>
      <w:tr w:rsidR="002D5574" w14:paraId="0AFFF70F"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67A009" w14:textId="77777777" w:rsidR="002D5574" w:rsidRDefault="002D5574" w:rsidP="00BB24DD">
            <w:pPr>
              <w:pStyle w:val="CellBody"/>
            </w:pPr>
            <w:r>
              <w:rPr>
                <w:w w:val="100"/>
              </w:rPr>
              <w:t>5</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35E92" w14:textId="77777777" w:rsidR="002D5574" w:rsidRDefault="002D5574" w:rsidP="00BB24DD">
            <w:pPr>
              <w:pStyle w:val="CellBody"/>
            </w:pPr>
            <w:r>
              <w:rPr>
                <w:w w:val="100"/>
              </w:rPr>
              <w:t xml:space="preserve">SRP = </w:t>
            </w:r>
            <w:r>
              <w:rPr>
                <w:rFonts w:ascii="Symbol" w:hAnsi="Symbol" w:cs="Symbol"/>
                <w:w w:val="100"/>
              </w:rPr>
              <w:t></w:t>
            </w:r>
            <w:r>
              <w:rPr>
                <w:w w:val="100"/>
              </w:rPr>
              <w:t xml:space="preserve">56 </w:t>
            </w:r>
            <w:proofErr w:type="spellStart"/>
            <w:r>
              <w:rPr>
                <w:w w:val="100"/>
              </w:rPr>
              <w:t>dBm</w:t>
            </w:r>
            <w:proofErr w:type="spellEnd"/>
          </w:p>
        </w:tc>
      </w:tr>
      <w:tr w:rsidR="002D5574" w14:paraId="2A8C2404"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5C322" w14:textId="77777777" w:rsidR="002D5574" w:rsidRDefault="002D5574" w:rsidP="00BB24DD">
            <w:pPr>
              <w:pStyle w:val="CellBody"/>
            </w:pPr>
            <w:r>
              <w:rPr>
                <w:w w:val="100"/>
              </w:rPr>
              <w:t>6</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0BAA2C" w14:textId="77777777" w:rsidR="002D5574" w:rsidRDefault="002D5574" w:rsidP="00BB24DD">
            <w:pPr>
              <w:pStyle w:val="CellBody"/>
            </w:pPr>
            <w:r>
              <w:rPr>
                <w:w w:val="100"/>
              </w:rPr>
              <w:t xml:space="preserve">SRP = </w:t>
            </w:r>
            <w:r>
              <w:rPr>
                <w:rFonts w:ascii="Symbol" w:hAnsi="Symbol" w:cs="Symbol"/>
                <w:w w:val="100"/>
              </w:rPr>
              <w:t></w:t>
            </w:r>
            <w:r>
              <w:rPr>
                <w:w w:val="100"/>
              </w:rPr>
              <w:t xml:space="preserve">50 </w:t>
            </w:r>
            <w:proofErr w:type="spellStart"/>
            <w:r>
              <w:rPr>
                <w:w w:val="100"/>
              </w:rPr>
              <w:t>dBm</w:t>
            </w:r>
            <w:proofErr w:type="spellEnd"/>
          </w:p>
        </w:tc>
      </w:tr>
    </w:tbl>
    <w:p w14:paraId="4F0803F0" w14:textId="77777777" w:rsidR="008F06AA" w:rsidRDefault="008F06A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2A537B" w14:textId="17F0E45B" w:rsidR="00190E89" w:rsidRPr="00190E89" w:rsidRDefault="00190E89"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A100D">
        <w:rPr>
          <w:rFonts w:eastAsia="Times New Roman"/>
          <w:b/>
          <w:i/>
          <w:color w:val="000000"/>
          <w:sz w:val="20"/>
          <w:highlight w:val="yellow"/>
          <w:lang w:val="en-US"/>
        </w:rPr>
        <w:t xml:space="preserve">OBSS_PD </w:t>
      </w:r>
      <w:r w:rsidR="00755AC4">
        <w:rPr>
          <w:rFonts w:eastAsia="Times New Roman"/>
          <w:b/>
          <w:i/>
          <w:color w:val="000000"/>
          <w:sz w:val="20"/>
          <w:highlight w:val="yellow"/>
          <w:lang w:val="en-US"/>
        </w:rPr>
        <w:t>spatial reuse disable setting to disable OBSS_PD spatial reuse on the transmitted packet, add to 27.11.6</w:t>
      </w:r>
      <w:r w:rsidRPr="001603D1">
        <w:rPr>
          <w:rFonts w:eastAsia="Times New Roman"/>
          <w:b/>
          <w:i/>
          <w:color w:val="000000"/>
          <w:sz w:val="20"/>
          <w:highlight w:val="yellow"/>
          <w:lang w:val="en-US"/>
        </w:rPr>
        <w:t>:</w:t>
      </w:r>
    </w:p>
    <w:p w14:paraId="57CEFDAB" w14:textId="3C1AC2A9" w:rsidR="00755AC4" w:rsidRDefault="00755AC4" w:rsidP="00755A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A STA </w:t>
      </w:r>
      <w:r w:rsidR="00520E59">
        <w:t xml:space="preserve">may </w:t>
      </w:r>
      <w:r>
        <w:t xml:space="preserve">set the TXVECTOR parameter SPATIAL_REUSE of an HE PPDU to </w:t>
      </w:r>
      <w:proofErr w:type="spellStart"/>
      <w:r w:rsidR="00A52FB6">
        <w:t>SR</w:t>
      </w:r>
      <w:r w:rsidR="00B75524">
        <w:t>P</w:t>
      </w:r>
      <w:r w:rsidR="00A52FB6">
        <w:t>_and_</w:t>
      </w:r>
      <w:r w:rsidR="00530C8D">
        <w:t>NON</w:t>
      </w:r>
      <w:proofErr w:type="spellEnd"/>
      <w:r w:rsidR="00530C8D">
        <w:t xml:space="preserve"> SRG </w:t>
      </w:r>
      <w:r>
        <w:t xml:space="preserve">OBSS_PD_DISALLOW if the STA is an HE non-AP STA and the </w:t>
      </w:r>
      <w:r w:rsidR="00530C8D">
        <w:t xml:space="preserve">NON SRG </w:t>
      </w:r>
      <w:r>
        <w:t>OBSS_PD SR Disallowed subfield of the SR Control field of the most recently received Spatial Reuse Parameter Set element from its associated AP is equal to 1.</w:t>
      </w:r>
    </w:p>
    <w:p w14:paraId="4F8DF86B" w14:textId="260908C8" w:rsidR="00755AC4" w:rsidRDefault="00755AC4" w:rsidP="00755AC4">
      <w:pPr>
        <w:pStyle w:val="T"/>
        <w:rPr>
          <w:w w:val="100"/>
        </w:rPr>
      </w:pPr>
      <w:r>
        <w:rPr>
          <w:w w:val="100"/>
        </w:rPr>
        <w:t xml:space="preserve">An AP </w:t>
      </w:r>
      <w:r w:rsidR="00530C8D">
        <w:rPr>
          <w:w w:val="100"/>
        </w:rPr>
        <w:t xml:space="preserve">may </w:t>
      </w:r>
      <w:r>
        <w:rPr>
          <w:w w:val="100"/>
        </w:rPr>
        <w:t>set the following subfields of the Common Info field of a Trigger frame accordingly if an UL MU Response Scheduling A-Control subfield is carried in an MPDU within the same PPDU:</w:t>
      </w:r>
    </w:p>
    <w:p w14:paraId="14800D98" w14:textId="77777777" w:rsidR="00755AC4" w:rsidRDefault="00755AC4" w:rsidP="00755AC4">
      <w:pPr>
        <w:pStyle w:val="DL1"/>
        <w:numPr>
          <w:ilvl w:val="0"/>
          <w:numId w:val="14"/>
        </w:numPr>
        <w:ind w:left="640" w:hanging="440"/>
        <w:rPr>
          <w:w w:val="100"/>
        </w:rPr>
      </w:pPr>
      <w:r>
        <w:rPr>
          <w:w w:val="100"/>
        </w:rPr>
        <w:t>MU-MIMO LTF Mode and STBC are set to 0</w:t>
      </w:r>
    </w:p>
    <w:p w14:paraId="0F964934" w14:textId="77777777" w:rsidR="00755AC4" w:rsidRDefault="00755AC4" w:rsidP="00755AC4">
      <w:pPr>
        <w:pStyle w:val="DL1"/>
        <w:numPr>
          <w:ilvl w:val="0"/>
          <w:numId w:val="14"/>
        </w:numPr>
        <w:ind w:left="640" w:hanging="440"/>
        <w:rPr>
          <w:w w:val="100"/>
        </w:rPr>
      </w:pPr>
      <w:r>
        <w:rPr>
          <w:w w:val="100"/>
        </w:rPr>
        <w:t>Number of HE-LTF Symbols is set to 1</w:t>
      </w:r>
    </w:p>
    <w:p w14:paraId="2A5A1DA3" w14:textId="43A29974" w:rsidR="00763ACF" w:rsidRDefault="00755AC4" w:rsidP="00763ACF">
      <w:pPr>
        <w:pStyle w:val="T"/>
        <w:rPr>
          <w:w w:val="100"/>
        </w:rPr>
      </w:pPr>
      <w:r>
        <w:rPr>
          <w:w w:val="100"/>
        </w:rPr>
        <w:t xml:space="preserve">Spatial Reuse is set to </w:t>
      </w:r>
      <w:proofErr w:type="spellStart"/>
      <w:r>
        <w:rPr>
          <w:w w:val="100"/>
        </w:rPr>
        <w:t>SR</w:t>
      </w:r>
      <w:r w:rsidR="00B75524">
        <w:rPr>
          <w:w w:val="100"/>
        </w:rPr>
        <w:t>P</w:t>
      </w:r>
      <w:r>
        <w:rPr>
          <w:w w:val="100"/>
        </w:rPr>
        <w:t>_and_</w:t>
      </w:r>
      <w:r w:rsidR="00530C8D">
        <w:rPr>
          <w:w w:val="100"/>
        </w:rPr>
        <w:t>NON</w:t>
      </w:r>
      <w:proofErr w:type="spellEnd"/>
      <w:r w:rsidR="00530C8D">
        <w:rPr>
          <w:w w:val="100"/>
        </w:rPr>
        <w:t xml:space="preserve"> SRG </w:t>
      </w:r>
      <w:r>
        <w:rPr>
          <w:w w:val="100"/>
        </w:rPr>
        <w:t xml:space="preserve">OBSS_PD SR Disallowed </w:t>
      </w:r>
      <w:r w:rsidR="00763ACF">
        <w:rPr>
          <w:w w:val="100"/>
        </w:rPr>
        <w:t xml:space="preserve">A STA transmitting </w:t>
      </w:r>
      <w:proofErr w:type="spellStart"/>
      <w:r w:rsidR="00763ACF">
        <w:rPr>
          <w:w w:val="100"/>
        </w:rPr>
        <w:t>an</w:t>
      </w:r>
      <w:proofErr w:type="spellEnd"/>
      <w:r w:rsidR="00763ACF">
        <w:rPr>
          <w:w w:val="100"/>
        </w:rPr>
        <w:t xml:space="preserve"> HE trigger-based PPDU in response to soliciting MPDU(s), containing an UL MU Response Scheduling A-Control subfield, shall set the TXVECTOR parameters as follows:</w:t>
      </w:r>
    </w:p>
    <w:p w14:paraId="5E2FB96D" w14:textId="77777777" w:rsidR="00763ACF" w:rsidRDefault="00763ACF" w:rsidP="00763ACF">
      <w:pPr>
        <w:pStyle w:val="DL1"/>
        <w:numPr>
          <w:ilvl w:val="0"/>
          <w:numId w:val="14"/>
        </w:numPr>
        <w:ind w:left="640" w:hanging="440"/>
        <w:rPr>
          <w:w w:val="100"/>
        </w:rPr>
      </w:pPr>
      <w:r>
        <w:rPr>
          <w:i/>
          <w:iCs/>
          <w:w w:val="100"/>
        </w:rPr>
        <w:t>N</w:t>
      </w:r>
      <w:r>
        <w:rPr>
          <w:i/>
          <w:iCs/>
          <w:w w:val="100"/>
          <w:vertAlign w:val="subscript"/>
        </w:rPr>
        <w:t>SYM</w:t>
      </w:r>
      <w:r>
        <w:rPr>
          <w:w w:val="100"/>
        </w:rPr>
        <w:t xml:space="preserve"> shall be set to the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UL MU Response Scheduling subfield</w:t>
      </w:r>
    </w:p>
    <w:p w14:paraId="67E961D0" w14:textId="77777777" w:rsidR="00763ACF" w:rsidRDefault="00763ACF" w:rsidP="00763ACF">
      <w:pPr>
        <w:pStyle w:val="DL1"/>
        <w:numPr>
          <w:ilvl w:val="0"/>
          <w:numId w:val="14"/>
        </w:numPr>
        <w:ind w:left="640" w:hanging="440"/>
        <w:rPr>
          <w:w w:val="100"/>
        </w:rPr>
      </w:pPr>
      <w:r>
        <w:rPr>
          <w:w w:val="100"/>
        </w:rPr>
        <w:t>UL_TARGET_RSSI, DL_TX_POWER, RU_ALLOCATION, and MCS parameters shall be set to the values of UL Target RSSI, DL TX Power, RU Allocation, and UL MCS subfields of the UL MU Response Scheduling subfield, respectively.</w:t>
      </w:r>
    </w:p>
    <w:p w14:paraId="7F5A52E2" w14:textId="77777777" w:rsidR="00763ACF" w:rsidRDefault="00763ACF" w:rsidP="00763ACF">
      <w:pPr>
        <w:pStyle w:val="DL1"/>
        <w:numPr>
          <w:ilvl w:val="0"/>
          <w:numId w:val="14"/>
        </w:numPr>
        <w:ind w:left="640" w:hanging="440"/>
        <w:rPr>
          <w:w w:val="100"/>
        </w:rPr>
      </w:pPr>
      <w:r>
        <w:rPr>
          <w:w w:val="100"/>
        </w:rPr>
        <w:t>BW shall be equal to the bandwidth of the soliciting DL MU PPDU</w:t>
      </w:r>
    </w:p>
    <w:p w14:paraId="472A9EA3" w14:textId="77777777" w:rsidR="00763ACF" w:rsidRDefault="00763ACF" w:rsidP="00763ACF">
      <w:pPr>
        <w:pStyle w:val="DL1"/>
        <w:numPr>
          <w:ilvl w:val="0"/>
          <w:numId w:val="14"/>
        </w:numPr>
        <w:ind w:left="640" w:hanging="440"/>
        <w:rPr>
          <w:w w:val="100"/>
        </w:rPr>
      </w:pPr>
      <w:r>
        <w:rPr>
          <w:w w:val="100"/>
        </w:rPr>
        <w:t>BSS_COLOR, and DCM shall be set to the values of the RXVECTOR parameters BSS_COLOR, and DCM of the soliciting DL MU PPDU, respectively</w:t>
      </w:r>
    </w:p>
    <w:p w14:paraId="13B181B9" w14:textId="4FE5DBD8" w:rsidR="00C564ED" w:rsidRDefault="00763ACF" w:rsidP="00A5107B">
      <w:pPr>
        <w:pStyle w:val="DL1"/>
        <w:ind w:firstLine="0"/>
        <w:rPr>
          <w:w w:val="100"/>
        </w:rPr>
      </w:pPr>
      <w:r>
        <w:rPr>
          <w:w w:val="100"/>
        </w:rPr>
        <w:t>MU_MIMO_LTF_MODE, LDPC_EXTRA, NSTS, STBC, CODING TYPE, SS_ALLOCATION shall all be set to 0</w:t>
      </w:r>
    </w:p>
    <w:p w14:paraId="0CA57518" w14:textId="402FCC1A" w:rsidR="00F044EA" w:rsidRPr="00530C8D" w:rsidRDefault="00763ACF" w:rsidP="00530C8D">
      <w:pPr>
        <w:pStyle w:val="DL1"/>
        <w:numPr>
          <w:ilvl w:val="0"/>
          <w:numId w:val="14"/>
        </w:numPr>
        <w:ind w:left="640" w:hanging="440"/>
        <w:rPr>
          <w:w w:val="100"/>
        </w:rPr>
      </w:pPr>
      <w:r w:rsidRPr="00530C8D">
        <w:rPr>
          <w:w w:val="100"/>
        </w:rPr>
        <w:t xml:space="preserve">SPATIAL_REUSE </w:t>
      </w:r>
      <w:r w:rsidR="00530C8D">
        <w:rPr>
          <w:w w:val="100"/>
        </w:rPr>
        <w:t>may</w:t>
      </w:r>
      <w:r w:rsidR="00530C8D" w:rsidRPr="00530C8D">
        <w:rPr>
          <w:w w:val="100"/>
        </w:rPr>
        <w:t xml:space="preserve"> </w:t>
      </w:r>
      <w:r w:rsidRPr="00530C8D">
        <w:rPr>
          <w:w w:val="100"/>
        </w:rPr>
        <w:t>be set to the value indicating SR</w:t>
      </w:r>
      <w:r w:rsidR="00B75524" w:rsidRPr="00530C8D">
        <w:rPr>
          <w:w w:val="100"/>
        </w:rPr>
        <w:t>P</w:t>
      </w:r>
      <w:r w:rsidRPr="00530C8D">
        <w:rPr>
          <w:w w:val="100"/>
        </w:rPr>
        <w:t>_</w:t>
      </w:r>
      <w:r w:rsidR="009023E6" w:rsidRPr="00530C8D">
        <w:rPr>
          <w:w w:val="100"/>
        </w:rPr>
        <w:t xml:space="preserve"> </w:t>
      </w:r>
      <w:proofErr w:type="spellStart"/>
      <w:r w:rsidR="009023E6" w:rsidRPr="00530C8D">
        <w:rPr>
          <w:w w:val="100"/>
        </w:rPr>
        <w:t>and_</w:t>
      </w:r>
      <w:r w:rsidR="00530C8D">
        <w:rPr>
          <w:w w:val="100"/>
        </w:rPr>
        <w:t>NON</w:t>
      </w:r>
      <w:proofErr w:type="spellEnd"/>
      <w:r w:rsidR="00530C8D">
        <w:rPr>
          <w:w w:val="100"/>
        </w:rPr>
        <w:t xml:space="preserve"> SRG </w:t>
      </w:r>
      <w:r w:rsidR="009023E6" w:rsidRPr="00530C8D">
        <w:rPr>
          <w:w w:val="100"/>
        </w:rPr>
        <w:t xml:space="preserve">OBSS_PD SR </w:t>
      </w:r>
      <w:r w:rsidRPr="00530C8D">
        <w:rPr>
          <w:w w:val="100"/>
        </w:rPr>
        <w:t>Disallowed</w:t>
      </w:r>
    </w:p>
    <w:p w14:paraId="40BFD2F5" w14:textId="77777777" w:rsidR="00F044EA" w:rsidRPr="00F044EA" w:rsidRDefault="00F044EA" w:rsidP="00F044EA">
      <w:pPr>
        <w:pStyle w:val="DL1"/>
        <w:numPr>
          <w:ilvl w:val="0"/>
          <w:numId w:val="14"/>
        </w:numPr>
        <w:ind w:left="640" w:hanging="440"/>
        <w:rPr>
          <w:w w:val="100"/>
        </w:rPr>
      </w:pPr>
    </w:p>
    <w:p w14:paraId="5D4C979D" w14:textId="761BDC19" w:rsidR="00755AC4" w:rsidRDefault="00F044EA"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parameter </w:t>
      </w:r>
      <w:proofErr w:type="spellStart"/>
      <w:r>
        <w:rPr>
          <w:sz w:val="20"/>
        </w:rPr>
        <w:t>aOBSS_PDDisallowedWindow</w:t>
      </w:r>
      <w:proofErr w:type="spellEnd"/>
      <w:r>
        <w:rPr>
          <w:sz w:val="20"/>
        </w:rPr>
        <w:t xml:space="preserve"> shall have the value 128 for all HE STAs.</w:t>
      </w:r>
    </w:p>
    <w:p w14:paraId="25D7AAB0" w14:textId="77777777" w:rsidR="00F044EA" w:rsidRDefault="00F044EA"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77ACBACB" w14:textId="2B577669" w:rsidR="00937070" w:rsidRPr="00190E89" w:rsidRDefault="00937070" w:rsidP="009370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OBSS_PD spatial reuse disable based on received packet add to 27.9.2</w:t>
      </w:r>
      <w:r w:rsidRPr="001603D1">
        <w:rPr>
          <w:rFonts w:eastAsia="Times New Roman"/>
          <w:b/>
          <w:i/>
          <w:color w:val="000000"/>
          <w:sz w:val="20"/>
          <w:highlight w:val="yellow"/>
          <w:lang w:val="en-US"/>
        </w:rPr>
        <w:t>:</w:t>
      </w:r>
    </w:p>
    <w:p w14:paraId="5443AE2A" w14:textId="3229A1F1" w:rsidR="008F09E5" w:rsidRDefault="008F06AA" w:rsidP="008F06AA">
      <w:pPr>
        <w:pStyle w:val="T"/>
        <w:rPr>
          <w:w w:val="100"/>
        </w:rPr>
      </w:pPr>
      <w:r>
        <w:rPr>
          <w:w w:val="100"/>
        </w:rPr>
        <w:t>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and b) not update its NAV timers based on frames carried in the PPDU if all the following conditions are met:</w:t>
      </w:r>
    </w:p>
    <w:p w14:paraId="326FDE83" w14:textId="1BCA63FC" w:rsidR="008F09E5" w:rsidRDefault="008F09E5" w:rsidP="008F06AA">
      <w:pPr>
        <w:pStyle w:val="DL1"/>
        <w:numPr>
          <w:ilvl w:val="0"/>
          <w:numId w:val="14"/>
        </w:numPr>
        <w:ind w:left="640" w:hanging="440"/>
        <w:rPr>
          <w:w w:val="100"/>
        </w:rPr>
      </w:pPr>
      <w:r>
        <w:t>T</w:t>
      </w:r>
      <w:r w:rsidRPr="00BA49E5">
        <w:t xml:space="preserve">he STA has not set the TXVECTOR parameter SPATIAL_REUSE to the value </w:t>
      </w:r>
      <w:proofErr w:type="spellStart"/>
      <w:r>
        <w:t>SRP_and_</w:t>
      </w:r>
      <w:r w:rsidR="00C564ED">
        <w:t>NON_SRG_</w:t>
      </w:r>
      <w:r>
        <w:t>OBSS_PD</w:t>
      </w:r>
      <w:proofErr w:type="spellEnd"/>
      <w:r>
        <w:t xml:space="preserve"> SR Disallowed</w:t>
      </w:r>
      <w:r w:rsidRPr="00BA49E5">
        <w:t xml:space="preserve"> in any of the </w:t>
      </w:r>
      <w:r>
        <w:t xml:space="preserve">previous </w:t>
      </w:r>
      <w:proofErr w:type="spellStart"/>
      <w:r>
        <w:t>aOBSS_PDDisallowWindow</w:t>
      </w:r>
      <w:proofErr w:type="spellEnd"/>
      <w:r>
        <w:t xml:space="preserve"> </w:t>
      </w:r>
      <w:r w:rsidRPr="00BA49E5">
        <w:t>HE PPDUs it has transmitted</w:t>
      </w:r>
      <w:r>
        <w:rPr>
          <w:w w:val="100"/>
        </w:rPr>
        <w:t xml:space="preserve"> </w:t>
      </w:r>
    </w:p>
    <w:p w14:paraId="037791F6" w14:textId="15E94E5C" w:rsidR="008F06AA" w:rsidRDefault="008F06AA" w:rsidP="008F06AA">
      <w:pPr>
        <w:pStyle w:val="DL1"/>
        <w:numPr>
          <w:ilvl w:val="0"/>
          <w:numId w:val="14"/>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1D2746D6" w14:textId="77777777" w:rsidR="008F06AA" w:rsidRDefault="008F06AA" w:rsidP="008F06AA">
      <w:pPr>
        <w:pStyle w:val="DL1"/>
        <w:numPr>
          <w:ilvl w:val="0"/>
          <w:numId w:val="14"/>
        </w:numPr>
        <w:ind w:left="640" w:hanging="440"/>
        <w:rPr>
          <w:w w:val="100"/>
        </w:rPr>
      </w:pPr>
      <w:r>
        <w:rPr>
          <w:w w:val="100"/>
        </w:rPr>
        <w:t>The RXVECTOR parameter RSSI_LEGACY in the PHY-</w:t>
      </w:r>
      <w:proofErr w:type="spellStart"/>
      <w:r>
        <w:rPr>
          <w:w w:val="100"/>
        </w:rPr>
        <w:t>RXSTART.indication</w:t>
      </w:r>
      <w:proofErr w:type="spellEnd"/>
      <w:r>
        <w:rPr>
          <w:w w:val="100"/>
        </w:rPr>
        <w:t xml:space="preserve"> primitive, which defines the received power level measured from the legacy portion of the PPDU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r>
        <w:rPr>
          <w:w w:val="100"/>
        </w:rPr>
        <w:t>)</w:t>
      </w:r>
    </w:p>
    <w:p w14:paraId="06D549A0" w14:textId="77777777" w:rsidR="008F06AA" w:rsidRDefault="008F06AA" w:rsidP="008F06AA">
      <w:pPr>
        <w:pStyle w:val="DL1"/>
        <w:numPr>
          <w:ilvl w:val="0"/>
          <w:numId w:val="14"/>
        </w:numPr>
        <w:ind w:left="640" w:hanging="440"/>
        <w:rPr>
          <w:w w:val="100"/>
        </w:rPr>
      </w:pPr>
      <w:r>
        <w:rPr>
          <w:w w:val="100"/>
        </w:rPr>
        <w:t>The PPDU is not one of the following:</w:t>
      </w:r>
    </w:p>
    <w:p w14:paraId="3F763659" w14:textId="77777777" w:rsidR="008F06AA" w:rsidRDefault="008F06AA" w:rsidP="008F06AA">
      <w:pPr>
        <w:pStyle w:val="DL2"/>
        <w:numPr>
          <w:ilvl w:val="0"/>
          <w:numId w:val="15"/>
        </w:numPr>
        <w:ind w:left="920" w:hanging="280"/>
        <w:rPr>
          <w:w w:val="100"/>
        </w:rPr>
      </w:pPr>
      <w:r>
        <w:rPr>
          <w:w w:val="100"/>
        </w:rPr>
        <w:t>A non-HT PPDU that carries an individually addressed Public Action frame where the RA field is equal to the STA MAC address</w:t>
      </w:r>
    </w:p>
    <w:p w14:paraId="350FC927" w14:textId="77777777" w:rsidR="008F06AA" w:rsidRDefault="008F06AA" w:rsidP="008F06AA">
      <w:pPr>
        <w:pStyle w:val="DL2"/>
        <w:numPr>
          <w:ilvl w:val="0"/>
          <w:numId w:val="15"/>
        </w:numPr>
        <w:ind w:left="920" w:hanging="280"/>
        <w:rPr>
          <w:w w:val="100"/>
        </w:rPr>
      </w:pPr>
      <w:r>
        <w:rPr>
          <w:w w:val="100"/>
        </w:rPr>
        <w:t>A non-HT PPDU that carries a group addressed Public Action frame</w:t>
      </w:r>
    </w:p>
    <w:p w14:paraId="39A4A852" w14:textId="77777777" w:rsidR="008F06AA" w:rsidRDefault="008F06AA" w:rsidP="008F06AA">
      <w:pPr>
        <w:pStyle w:val="DL2"/>
        <w:numPr>
          <w:ilvl w:val="0"/>
          <w:numId w:val="15"/>
        </w:numPr>
        <w:ind w:left="920" w:hanging="280"/>
        <w:rPr>
          <w:w w:val="100"/>
        </w:rPr>
      </w:pPr>
      <w:r>
        <w:rPr>
          <w:w w:val="100"/>
        </w:rPr>
        <w:t>A non-HT PPDU that carries an NDP Announcement frame(#8111)</w:t>
      </w:r>
    </w:p>
    <w:p w14:paraId="7C921A71" w14:textId="1B057A72" w:rsidR="00B56819" w:rsidRPr="00B56819" w:rsidRDefault="00937070" w:rsidP="00A5107B">
      <w:pPr>
        <w:pStyle w:val="DL2"/>
        <w:numPr>
          <w:ilvl w:val="0"/>
          <w:numId w:val="15"/>
        </w:numPr>
        <w:ind w:left="280" w:hanging="280"/>
        <w:rPr>
          <w:w w:val="100"/>
        </w:rPr>
      </w:pPr>
      <w:r>
        <w:rPr>
          <w:w w:val="100"/>
        </w:rPr>
        <w:t>The SPATIAL_REUSE subfield in the HE-SIG of the received PPDU is not set to SR</w:t>
      </w:r>
      <w:r w:rsidR="00B75524">
        <w:rPr>
          <w:w w:val="100"/>
        </w:rPr>
        <w:t>P</w:t>
      </w:r>
      <w:r>
        <w:rPr>
          <w:w w:val="100"/>
        </w:rPr>
        <w:t>_</w:t>
      </w:r>
      <w:r w:rsidRPr="009023E6">
        <w:rPr>
          <w:w w:val="100"/>
        </w:rPr>
        <w:t xml:space="preserve"> </w:t>
      </w:r>
      <w:proofErr w:type="spellStart"/>
      <w:r>
        <w:rPr>
          <w:w w:val="100"/>
        </w:rPr>
        <w:t>and_</w:t>
      </w:r>
      <w:r w:rsidR="00530C8D">
        <w:rPr>
          <w:w w:val="100"/>
        </w:rPr>
        <w:t>NON</w:t>
      </w:r>
      <w:proofErr w:type="spellEnd"/>
      <w:r w:rsidR="00530C8D">
        <w:rPr>
          <w:w w:val="100"/>
        </w:rPr>
        <w:t xml:space="preserve"> SRG </w:t>
      </w:r>
      <w:r>
        <w:rPr>
          <w:w w:val="100"/>
        </w:rPr>
        <w:t>OBSS_PD SR Disallowed</w:t>
      </w:r>
    </w:p>
    <w:p w14:paraId="4C6C2B79" w14:textId="3E6A82DA" w:rsidR="008F06AA" w:rsidRPr="00A5107B" w:rsidRDefault="00B56819" w:rsidP="00B56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lastRenderedPageBreak/>
        <w:t xml:space="preserve">A STA that takes actions (a) or (b) under the conditions of this paragraph is deemed to perform </w:t>
      </w:r>
      <w:r w:rsidR="00C564ED">
        <w:rPr>
          <w:sz w:val="20"/>
        </w:rPr>
        <w:t xml:space="preserve">NON SRG </w:t>
      </w:r>
      <w:r w:rsidRPr="00A5107B">
        <w:rPr>
          <w:sz w:val="20"/>
        </w:rPr>
        <w:t>OBSS_PD-based spatial reuse (see 27.11.16).</w:t>
      </w:r>
    </w:p>
    <w:p w14:paraId="14087604" w14:textId="77777777" w:rsidR="00B56819" w:rsidRDefault="00B56819"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FFFF00"/>
          <w:sz w:val="20"/>
          <w:highlight w:val="yellow"/>
          <w:lang w:val="en-US"/>
        </w:rPr>
      </w:pPr>
    </w:p>
    <w:p w14:paraId="6EFCFD33" w14:textId="1CCA32B8"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rPr>
      </w:pPr>
      <w:proofErr w:type="spellStart"/>
      <w:r w:rsidRPr="00A5107B">
        <w:rPr>
          <w:rFonts w:eastAsia="Times New Roman"/>
          <w:b/>
          <w:color w:val="FFFF00"/>
          <w:sz w:val="20"/>
          <w:highlight w:val="yellow"/>
          <w:lang w:val="en-US"/>
        </w:rPr>
        <w:t>TGax</w:t>
      </w:r>
      <w:proofErr w:type="spellEnd"/>
      <w:r w:rsidRPr="00A5107B">
        <w:rPr>
          <w:rFonts w:eastAsia="Times New Roman"/>
          <w:b/>
          <w:color w:val="FFFF00"/>
          <w:sz w:val="20"/>
          <w:highlight w:val="yellow"/>
          <w:lang w:val="en-US"/>
        </w:rPr>
        <w:t xml:space="preserve"> Editor: add </w:t>
      </w:r>
      <w:r>
        <w:rPr>
          <w:rFonts w:eastAsia="Times New Roman"/>
          <w:b/>
          <w:color w:val="FFFF00"/>
          <w:sz w:val="20"/>
          <w:highlight w:val="yellow"/>
          <w:lang w:val="en-US"/>
        </w:rPr>
        <w:t xml:space="preserve">new entry </w:t>
      </w:r>
      <w:r w:rsidRPr="00A5107B">
        <w:rPr>
          <w:rFonts w:eastAsia="Times New Roman"/>
          <w:b/>
          <w:color w:val="FFFF00"/>
          <w:sz w:val="20"/>
          <w:highlight w:val="yellow"/>
          <w:lang w:val="en-US"/>
        </w:rPr>
        <w:t xml:space="preserve">to </w:t>
      </w:r>
      <w:r>
        <w:rPr>
          <w:rFonts w:eastAsia="Times New Roman"/>
          <w:b/>
          <w:color w:val="FFFF00"/>
          <w:sz w:val="20"/>
          <w:highlight w:val="yellow"/>
          <w:lang w:val="en-US"/>
        </w:rPr>
        <w:t xml:space="preserve">table in </w:t>
      </w:r>
      <w:r w:rsidRPr="00A5107B">
        <w:rPr>
          <w:b/>
          <w:color w:val="FFFF00"/>
          <w:sz w:val="20"/>
          <w:highlight w:val="yellow"/>
        </w:rPr>
        <w:t>Section 6.5.4.2 (Semantics of the service primitive)</w:t>
      </w:r>
    </w:p>
    <w:p w14:paraId="7A8A8C74" w14:textId="7777777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Name</w:t>
      </w:r>
      <w:r w:rsidRPr="00A5107B">
        <w:rPr>
          <w:sz w:val="20"/>
        </w:rPr>
        <w:tab/>
      </w:r>
      <w:r w:rsidRPr="00A5107B">
        <w:rPr>
          <w:sz w:val="20"/>
        </w:rPr>
        <w:tab/>
      </w:r>
      <w:proofErr w:type="spellStart"/>
      <w:r w:rsidRPr="00A5107B">
        <w:rPr>
          <w:sz w:val="20"/>
        </w:rPr>
        <w:t>aOBSS_PDDisallowWindow</w:t>
      </w:r>
      <w:proofErr w:type="spellEnd"/>
    </w:p>
    <w:p w14:paraId="303B49E2" w14:textId="7777777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Type</w:t>
      </w:r>
      <w:r w:rsidRPr="00A5107B">
        <w:rPr>
          <w:sz w:val="20"/>
        </w:rPr>
        <w:tab/>
      </w:r>
      <w:r w:rsidRPr="00A5107B">
        <w:rPr>
          <w:sz w:val="20"/>
        </w:rPr>
        <w:tab/>
        <w:t>integer</w:t>
      </w:r>
    </w:p>
    <w:p w14:paraId="1484D3CF" w14:textId="1018544E"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Description</w:t>
      </w:r>
      <w:r w:rsidRPr="00A5107B">
        <w:rPr>
          <w:sz w:val="20"/>
        </w:rPr>
        <w:tab/>
        <w:t xml:space="preserve">The </w:t>
      </w:r>
      <w:r w:rsidR="00233641">
        <w:rPr>
          <w:sz w:val="20"/>
        </w:rPr>
        <w:t xml:space="preserve">time in ms </w:t>
      </w:r>
      <w:r w:rsidRPr="00A5107B">
        <w:rPr>
          <w:sz w:val="20"/>
        </w:rPr>
        <w:t xml:space="preserve">required to be transmitted by an HE  STA without </w:t>
      </w:r>
      <w:proofErr w:type="spellStart"/>
      <w:r w:rsidRPr="00A5107B">
        <w:rPr>
          <w:sz w:val="20"/>
        </w:rPr>
        <w:t>SRP_and_</w:t>
      </w:r>
      <w:r w:rsidR="00530C8D">
        <w:rPr>
          <w:sz w:val="20"/>
        </w:rPr>
        <w:t>NON</w:t>
      </w:r>
      <w:proofErr w:type="spellEnd"/>
      <w:r w:rsidR="00530C8D">
        <w:rPr>
          <w:sz w:val="20"/>
        </w:rPr>
        <w:t xml:space="preserve"> SRG </w:t>
      </w:r>
      <w:r w:rsidRPr="00A5107B">
        <w:rPr>
          <w:sz w:val="20"/>
        </w:rPr>
        <w:t>OBSS_PD disallowed before a STA may perform OBSS_PD-based spatial reuse. See 27.11.16.</w:t>
      </w:r>
    </w:p>
    <w:p w14:paraId="13479F96" w14:textId="3DC20426" w:rsidR="00755AC4" w:rsidRDefault="00755AC4" w:rsidP="00755A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61D8D05F" w14:textId="77777777" w:rsidR="00755AC4" w:rsidRDefault="00755AC4"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bookmarkStart w:id="1" w:name="_GoBack"/>
      <w:bookmarkEnd w:id="1"/>
    </w:p>
    <w:sectPr w:rsidR="00755A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8B0B6" w14:textId="77777777" w:rsidR="00B54A50" w:rsidRDefault="00B54A50">
      <w:r>
        <w:separator/>
      </w:r>
    </w:p>
  </w:endnote>
  <w:endnote w:type="continuationSeparator" w:id="0">
    <w:p w14:paraId="4EA2B747" w14:textId="77777777" w:rsidR="00B54A50" w:rsidRDefault="00B5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79E877A" w:rsidR="0025615B" w:rsidRDefault="00B54A50">
    <w:pPr>
      <w:pStyle w:val="Footer"/>
      <w:tabs>
        <w:tab w:val="clear" w:pos="6480"/>
        <w:tab w:val="center" w:pos="4680"/>
        <w:tab w:val="right" w:pos="9360"/>
      </w:tabs>
    </w:pPr>
    <w:r>
      <w:fldChar w:fldCharType="begin"/>
    </w:r>
    <w:r>
      <w:instrText xml:space="preserve"> SUBJECT  \* MERGEFORMAT </w:instrText>
    </w:r>
    <w:r>
      <w:fldChar w:fldCharType="separate"/>
    </w:r>
    <w:r w:rsidR="0025615B">
      <w:t>Submission</w:t>
    </w:r>
    <w:r>
      <w:fldChar w:fldCharType="end"/>
    </w:r>
    <w:r w:rsidR="0025615B">
      <w:tab/>
      <w:t xml:space="preserve">page </w:t>
    </w:r>
    <w:r w:rsidR="0025615B">
      <w:fldChar w:fldCharType="begin"/>
    </w:r>
    <w:r w:rsidR="0025615B">
      <w:instrText xml:space="preserve">page </w:instrText>
    </w:r>
    <w:r w:rsidR="0025615B">
      <w:fldChar w:fldCharType="separate"/>
    </w:r>
    <w:r w:rsidR="00A13469">
      <w:rPr>
        <w:noProof/>
      </w:rPr>
      <w:t>1</w:t>
    </w:r>
    <w:r w:rsidR="0025615B">
      <w:rPr>
        <w:noProof/>
      </w:rPr>
      <w:fldChar w:fldCharType="end"/>
    </w:r>
    <w:r w:rsidR="00A13469">
      <w:t xml:space="preserve"> Sean Coffey, Realtek</w:t>
    </w:r>
  </w:p>
  <w:p w14:paraId="78B10FFF" w14:textId="77777777" w:rsidR="0025615B" w:rsidRDefault="0025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1F25" w14:textId="77777777" w:rsidR="00B54A50" w:rsidRDefault="00B54A50">
      <w:r>
        <w:separator/>
      </w:r>
    </w:p>
  </w:footnote>
  <w:footnote w:type="continuationSeparator" w:id="0">
    <w:p w14:paraId="30A61AFB" w14:textId="77777777" w:rsidR="00B54A50" w:rsidRDefault="00B5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1F3CF68" w:rsidR="0025615B" w:rsidRDefault="00F7369C">
    <w:pPr>
      <w:pStyle w:val="Header"/>
      <w:tabs>
        <w:tab w:val="clear" w:pos="6480"/>
        <w:tab w:val="center" w:pos="4680"/>
        <w:tab w:val="right" w:pos="9360"/>
      </w:tabs>
    </w:pPr>
    <w:r>
      <w:rPr>
        <w:lang w:eastAsia="ko-KR"/>
      </w:rPr>
      <w:t>March</w:t>
    </w:r>
    <w:r w:rsidR="0025615B">
      <w:rPr>
        <w:lang w:eastAsia="ko-KR"/>
      </w:rPr>
      <w:t xml:space="preserve"> 2017</w:t>
    </w:r>
    <w:r w:rsidR="0025615B">
      <w:tab/>
    </w:r>
    <w:r w:rsidR="0025615B">
      <w:tab/>
    </w:r>
    <w:r w:rsidR="0025615B">
      <w:fldChar w:fldCharType="begin"/>
    </w:r>
    <w:r w:rsidR="0025615B">
      <w:instrText xml:space="preserve"> TITLE  \* MERGEFORMAT </w:instrText>
    </w:r>
    <w:r w:rsidR="0025615B">
      <w:fldChar w:fldCharType="end"/>
    </w:r>
    <w:fldSimple w:instr=" TITLE   \* MERGEFORMAT ">
      <w:r>
        <w:t>doc.: IEEE 802.11-16/0500r0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9B"/>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067"/>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0886"/>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0E8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3641"/>
    <w:rsid w:val="00234C13"/>
    <w:rsid w:val="002369FD"/>
    <w:rsid w:val="00236A7E"/>
    <w:rsid w:val="0023760F"/>
    <w:rsid w:val="00237985"/>
    <w:rsid w:val="00240895"/>
    <w:rsid w:val="00241AD7"/>
    <w:rsid w:val="00244AE1"/>
    <w:rsid w:val="002470AC"/>
    <w:rsid w:val="0024720B"/>
    <w:rsid w:val="00252D47"/>
    <w:rsid w:val="002539AB"/>
    <w:rsid w:val="002545F7"/>
    <w:rsid w:val="00255A8B"/>
    <w:rsid w:val="0025615B"/>
    <w:rsid w:val="00261337"/>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574"/>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2706"/>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16EA"/>
    <w:rsid w:val="003C2B82"/>
    <w:rsid w:val="003C315D"/>
    <w:rsid w:val="003C32E2"/>
    <w:rsid w:val="003C3F4B"/>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3D9"/>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3CE"/>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0E59"/>
    <w:rsid w:val="0052151C"/>
    <w:rsid w:val="00522A49"/>
    <w:rsid w:val="005235B6"/>
    <w:rsid w:val="005243B4"/>
    <w:rsid w:val="00527489"/>
    <w:rsid w:val="00527BB3"/>
    <w:rsid w:val="00530C8D"/>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2075"/>
    <w:rsid w:val="00583212"/>
    <w:rsid w:val="00585D8F"/>
    <w:rsid w:val="00586072"/>
    <w:rsid w:val="0058644C"/>
    <w:rsid w:val="005868C2"/>
    <w:rsid w:val="00586FC6"/>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2F67"/>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0FFA"/>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AC4"/>
    <w:rsid w:val="00755D22"/>
    <w:rsid w:val="00756DE8"/>
    <w:rsid w:val="007571C4"/>
    <w:rsid w:val="00760099"/>
    <w:rsid w:val="0076096A"/>
    <w:rsid w:val="00760E8D"/>
    <w:rsid w:val="0076196C"/>
    <w:rsid w:val="00763ACF"/>
    <w:rsid w:val="00765718"/>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51D"/>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27E"/>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BC4"/>
    <w:rsid w:val="008C5D4E"/>
    <w:rsid w:val="008C607E"/>
    <w:rsid w:val="008C6711"/>
    <w:rsid w:val="008C6C9D"/>
    <w:rsid w:val="008C7A4B"/>
    <w:rsid w:val="008D0060"/>
    <w:rsid w:val="008D0C05"/>
    <w:rsid w:val="008D5651"/>
    <w:rsid w:val="008D668D"/>
    <w:rsid w:val="008D71CE"/>
    <w:rsid w:val="008E0E94"/>
    <w:rsid w:val="008E1234"/>
    <w:rsid w:val="008E197A"/>
    <w:rsid w:val="008E444B"/>
    <w:rsid w:val="008E5787"/>
    <w:rsid w:val="008F039B"/>
    <w:rsid w:val="008F06AA"/>
    <w:rsid w:val="008F09E5"/>
    <w:rsid w:val="008F1C67"/>
    <w:rsid w:val="008F238D"/>
    <w:rsid w:val="008F2611"/>
    <w:rsid w:val="008F4312"/>
    <w:rsid w:val="009023E6"/>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3707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C6BB0"/>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469"/>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07B"/>
    <w:rsid w:val="00A51BD6"/>
    <w:rsid w:val="00A52FB6"/>
    <w:rsid w:val="00A5337D"/>
    <w:rsid w:val="00A54A6E"/>
    <w:rsid w:val="00A55079"/>
    <w:rsid w:val="00A5564B"/>
    <w:rsid w:val="00A57C2D"/>
    <w:rsid w:val="00A57CE8"/>
    <w:rsid w:val="00A61F48"/>
    <w:rsid w:val="00A62DE2"/>
    <w:rsid w:val="00A6389A"/>
    <w:rsid w:val="00A63DC8"/>
    <w:rsid w:val="00A66CBC"/>
    <w:rsid w:val="00A7025D"/>
    <w:rsid w:val="00A70990"/>
    <w:rsid w:val="00A74D47"/>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AA8"/>
    <w:rsid w:val="00B52374"/>
    <w:rsid w:val="00B5292B"/>
    <w:rsid w:val="00B5499F"/>
    <w:rsid w:val="00B54A50"/>
    <w:rsid w:val="00B54BCB"/>
    <w:rsid w:val="00B56819"/>
    <w:rsid w:val="00B56B13"/>
    <w:rsid w:val="00B5776D"/>
    <w:rsid w:val="00B60DD2"/>
    <w:rsid w:val="00B6166F"/>
    <w:rsid w:val="00B6199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524"/>
    <w:rsid w:val="00B77BB8"/>
    <w:rsid w:val="00B8242B"/>
    <w:rsid w:val="00B83455"/>
    <w:rsid w:val="00B844E8"/>
    <w:rsid w:val="00B92315"/>
    <w:rsid w:val="00B9272C"/>
    <w:rsid w:val="00B936F0"/>
    <w:rsid w:val="00B94B98"/>
    <w:rsid w:val="00B94C5A"/>
    <w:rsid w:val="00B94CAC"/>
    <w:rsid w:val="00B96C04"/>
    <w:rsid w:val="00BA0244"/>
    <w:rsid w:val="00BA06B3"/>
    <w:rsid w:val="00BA100D"/>
    <w:rsid w:val="00BA32BA"/>
    <w:rsid w:val="00BA32CA"/>
    <w:rsid w:val="00BA477A"/>
    <w:rsid w:val="00BA6C7C"/>
    <w:rsid w:val="00BA7016"/>
    <w:rsid w:val="00BA787B"/>
    <w:rsid w:val="00BB20F2"/>
    <w:rsid w:val="00BB5178"/>
    <w:rsid w:val="00BB67AE"/>
    <w:rsid w:val="00BB728B"/>
    <w:rsid w:val="00BB7702"/>
    <w:rsid w:val="00BB7718"/>
    <w:rsid w:val="00BC049F"/>
    <w:rsid w:val="00BC2DD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47E9"/>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64ED"/>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42"/>
    <w:rsid w:val="00D05F32"/>
    <w:rsid w:val="00D07ABE"/>
    <w:rsid w:val="00D10338"/>
    <w:rsid w:val="00D10F21"/>
    <w:rsid w:val="00D13972"/>
    <w:rsid w:val="00D152E1"/>
    <w:rsid w:val="00D15DEC"/>
    <w:rsid w:val="00D17833"/>
    <w:rsid w:val="00D202C0"/>
    <w:rsid w:val="00D22352"/>
    <w:rsid w:val="00D239E7"/>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1D7"/>
    <w:rsid w:val="00DA122F"/>
    <w:rsid w:val="00DA3576"/>
    <w:rsid w:val="00DA3D06"/>
    <w:rsid w:val="00DA3D0C"/>
    <w:rsid w:val="00DA3EDB"/>
    <w:rsid w:val="00DA63CC"/>
    <w:rsid w:val="00DA7631"/>
    <w:rsid w:val="00DA7F0D"/>
    <w:rsid w:val="00DB0818"/>
    <w:rsid w:val="00DB11B2"/>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581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2D26"/>
    <w:rsid w:val="00E332E8"/>
    <w:rsid w:val="00E33806"/>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280C"/>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2BC"/>
    <w:rsid w:val="00EF34D3"/>
    <w:rsid w:val="00EF38CF"/>
    <w:rsid w:val="00EF3C89"/>
    <w:rsid w:val="00EF6B9E"/>
    <w:rsid w:val="00F02F18"/>
    <w:rsid w:val="00F044EA"/>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B6D"/>
    <w:rsid w:val="00F45E7C"/>
    <w:rsid w:val="00F5458D"/>
    <w:rsid w:val="00F54F3A"/>
    <w:rsid w:val="00F55028"/>
    <w:rsid w:val="00F5670E"/>
    <w:rsid w:val="00F60892"/>
    <w:rsid w:val="00F61E6F"/>
    <w:rsid w:val="00F653A1"/>
    <w:rsid w:val="00F659E1"/>
    <w:rsid w:val="00F668FF"/>
    <w:rsid w:val="00F670F7"/>
    <w:rsid w:val="00F71FAA"/>
    <w:rsid w:val="00F73385"/>
    <w:rsid w:val="00F7369C"/>
    <w:rsid w:val="00F73D6B"/>
    <w:rsid w:val="00F741B8"/>
    <w:rsid w:val="00F7677E"/>
    <w:rsid w:val="00F76F3C"/>
    <w:rsid w:val="00F808C5"/>
    <w:rsid w:val="00F809E3"/>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5CE"/>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7070"/>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493E-A581-4090-A890-E8B3776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8263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802.11-17/0500r0</dc:title>
  <dc:subject>Submission</dc:subject>
  <dc:creator>Alfred Asterjadhi</dc:creator>
  <cp:keywords>March 2017</cp:keywords>
  <dc:description/>
  <cp:lastModifiedBy>Sean Coffey</cp:lastModifiedBy>
  <cp:revision>5</cp:revision>
  <cp:lastPrinted>2010-05-04T03:47:00Z</cp:lastPrinted>
  <dcterms:created xsi:type="dcterms:W3CDTF">2017-03-16T17:29:00Z</dcterms:created>
  <dcterms:modified xsi:type="dcterms:W3CDTF">2017-03-16T17:34:00Z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