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EB57BF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F222F">
        <w:rPr>
          <w:lang w:eastAsia="ko-KR"/>
        </w:rPr>
        <w:t xml:space="preserve"> (</w:t>
      </w:r>
      <w:r w:rsidR="000C1267">
        <w:rPr>
          <w:lang w:eastAsia="ko-KR"/>
        </w:rPr>
        <w:t>x</w:t>
      </w:r>
      <w:r w:rsidR="00FF222F">
        <w:rPr>
          <w:lang w:eastAsia="ko-KR"/>
        </w:rPr>
        <w:t xml:space="preserve"> CIDs)</w:t>
      </w:r>
      <w:r w:rsidR="00E920E1">
        <w:rPr>
          <w:lang w:eastAsia="ko-KR"/>
        </w:rPr>
        <w:t>:</w:t>
      </w:r>
    </w:p>
    <w:p w14:paraId="07BFE9C2" w14:textId="66CD5A85" w:rsidR="00E920E1" w:rsidRPr="002F2E6D" w:rsidRDefault="000C1267" w:rsidP="009B303F">
      <w:pPr>
        <w:pStyle w:val="ListParagraph"/>
        <w:numPr>
          <w:ilvl w:val="0"/>
          <w:numId w:val="10"/>
        </w:numPr>
        <w:ind w:leftChars="0"/>
        <w:jc w:val="both"/>
        <w:rPr>
          <w:lang w:eastAsia="ko-KR"/>
        </w:rPr>
      </w:pPr>
      <w:r>
        <w:rPr>
          <w:lang w:eastAsia="ko-KR"/>
        </w:rPr>
        <w:t>5050</w:t>
      </w:r>
      <w:r w:rsidR="002C0D19" w:rsidRPr="002F2E6D">
        <w:rPr>
          <w:lang w:eastAsia="ko-KR"/>
        </w:rPr>
        <w:t xml:space="preserve"> (5 </w:t>
      </w:r>
      <w:r w:rsidR="005E04F7" w:rsidRPr="002F2E6D">
        <w:rPr>
          <w:lang w:eastAsia="ko-KR"/>
        </w:rPr>
        <w:t>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 xml:space="preserve">In IEEE 802.11-2016 publication, 10.13.3, page 1368, it's stated that </w:t>
            </w:r>
            <w:proofErr w:type="spellStart"/>
            <w:r w:rsidRPr="00D4199D">
              <w:rPr>
                <w:sz w:val="16"/>
                <w:szCs w:val="16"/>
              </w:rPr>
              <w:t>QoS</w:t>
            </w:r>
            <w:proofErr w:type="spellEnd"/>
            <w:r w:rsidRPr="00D4199D">
              <w:rPr>
                <w:sz w:val="16"/>
                <w:szCs w:val="16"/>
              </w:rPr>
              <w:t xml:space="preserve"> Null frame transmitted by DMG STA are not subject to this spacing, i.e., no MPDU delimiters with zero length need to be inserted after the MPDU immediately preceding the </w:t>
            </w:r>
            <w:proofErr w:type="spellStart"/>
            <w:r w:rsidRPr="00D4199D">
              <w:rPr>
                <w:sz w:val="16"/>
                <w:szCs w:val="16"/>
              </w:rPr>
              <w:t>QoS</w:t>
            </w:r>
            <w:proofErr w:type="spellEnd"/>
            <w:r w:rsidRPr="00D4199D">
              <w:rPr>
                <w:sz w:val="16"/>
                <w:szCs w:val="16"/>
              </w:rPr>
              <w:t xml:space="preserve"> Null frame in an A-MPDU. 11ax allows certain control and management frames to be aggregated with DATA frames. BAR/ACK/BA/MBA/Action/Trigger frame in A-MPDU doesn't need to comply the minimum MPDU spacing time following this </w:t>
            </w:r>
            <w:proofErr w:type="spellStart"/>
            <w:r w:rsidRPr="00D4199D">
              <w:rPr>
                <w:sz w:val="16"/>
                <w:szCs w:val="16"/>
              </w:rPr>
              <w:t>QoS</w:t>
            </w:r>
            <w:proofErr w:type="spellEnd"/>
            <w:r w:rsidRPr="00D4199D">
              <w:rPr>
                <w:sz w:val="16"/>
                <w:szCs w:val="16"/>
              </w:rPr>
              <w:t>-Null example.</w:t>
            </w:r>
          </w:p>
        </w:tc>
        <w:tc>
          <w:tcPr>
            <w:tcW w:w="1710" w:type="dxa"/>
            <w:shd w:val="clear" w:color="auto" w:fill="auto"/>
            <w:noWrap/>
          </w:tcPr>
          <w:p w14:paraId="5F6FC3B6" w14:textId="43729179" w:rsidR="00D4199D" w:rsidRPr="00A44BEC" w:rsidRDefault="00D4199D" w:rsidP="00A44BEC">
            <w:pPr>
              <w:jc w:val="both"/>
              <w:rPr>
                <w:sz w:val="16"/>
                <w:szCs w:val="16"/>
              </w:rPr>
            </w:pPr>
            <w:proofErr w:type="spellStart"/>
            <w:r w:rsidRPr="00D4199D">
              <w:rPr>
                <w:sz w:val="16"/>
                <w:szCs w:val="16"/>
              </w:rPr>
              <w:t>Shuold</w:t>
            </w:r>
            <w:proofErr w:type="spellEnd"/>
            <w:r w:rsidRPr="00D4199D">
              <w:rPr>
                <w:sz w:val="16"/>
                <w:szCs w:val="16"/>
              </w:rPr>
              <w:t xml:space="preserve"> be </w:t>
            </w:r>
            <w:proofErr w:type="spellStart"/>
            <w:r w:rsidRPr="00D4199D">
              <w:rPr>
                <w:sz w:val="16"/>
                <w:szCs w:val="16"/>
              </w:rPr>
              <w:t>ammended</w:t>
            </w:r>
            <w:proofErr w:type="spellEnd"/>
            <w:r w:rsidRPr="00D4199D">
              <w:rPr>
                <w:sz w:val="16"/>
                <w:szCs w:val="16"/>
              </w:rPr>
              <w:t xml:space="preserve"> to 10.13</w:t>
            </w:r>
          </w:p>
        </w:tc>
        <w:tc>
          <w:tcPr>
            <w:tcW w:w="3301" w:type="dxa"/>
            <w:shd w:val="clear" w:color="auto" w:fill="auto"/>
            <w:vAlign w:val="center"/>
          </w:tcPr>
          <w:p w14:paraId="16F2BA9C" w14:textId="77777777" w:rsidR="00D4199D" w:rsidRDefault="00D4199D" w:rsidP="00A44BEC">
            <w:pPr>
              <w:jc w:val="both"/>
              <w:rPr>
                <w:sz w:val="16"/>
                <w:szCs w:val="16"/>
              </w:rPr>
            </w:pPr>
            <w:r>
              <w:rPr>
                <w:sz w:val="16"/>
                <w:szCs w:val="16"/>
              </w:rPr>
              <w:t>Accepted-</w:t>
            </w:r>
          </w:p>
          <w:p w14:paraId="78EDB1E9" w14:textId="77777777" w:rsidR="00D4199D" w:rsidRDefault="00D4199D" w:rsidP="00A44BEC">
            <w:pPr>
              <w:jc w:val="both"/>
              <w:rPr>
                <w:sz w:val="16"/>
                <w:szCs w:val="16"/>
              </w:rPr>
            </w:pPr>
          </w:p>
          <w:p w14:paraId="5DB3F801" w14:textId="3C3570A8" w:rsidR="00D4199D" w:rsidRPr="00D4199D" w:rsidRDefault="00D4199D" w:rsidP="00A44BEC">
            <w:pPr>
              <w:jc w:val="both"/>
              <w:rPr>
                <w:sz w:val="16"/>
                <w:szCs w:val="16"/>
              </w:rPr>
            </w:pPr>
            <w:proofErr w:type="spellStart"/>
            <w:r w:rsidRPr="00D4199D">
              <w:rPr>
                <w:sz w:val="16"/>
                <w:szCs w:val="16"/>
              </w:rPr>
              <w:t>TGax</w:t>
            </w:r>
            <w:proofErr w:type="spellEnd"/>
            <w:r w:rsidRPr="00D4199D">
              <w:rPr>
                <w:sz w:val="16"/>
                <w:szCs w:val="16"/>
              </w:rPr>
              <w:t xml:space="preserve"> editor to make t</w:t>
            </w:r>
            <w:r w:rsidR="00277C12">
              <w:rPr>
                <w:sz w:val="16"/>
                <w:szCs w:val="16"/>
              </w:rPr>
              <w:t>he changes shown in 11-17/0363r0</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 xml:space="preserve">A-MPDU aggregation was </w:t>
      </w:r>
      <w:proofErr w:type="spellStart"/>
      <w:r>
        <w:rPr>
          <w:lang w:val="en-US" w:eastAsia="ko-KR"/>
        </w:rPr>
        <w:t>introcued</w:t>
      </w:r>
      <w:proofErr w:type="spellEnd"/>
      <w:r>
        <w:rPr>
          <w:lang w:val="en-US" w:eastAsia="ko-KR"/>
        </w:rPr>
        <w:t xml:space="preserve">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w:t>
      </w:r>
      <w:proofErr w:type="spellStart"/>
      <w:r w:rsidR="00CD574F">
        <w:rPr>
          <w:lang w:val="en-US" w:eastAsia="ko-KR"/>
        </w:rPr>
        <w:t>throuput</w:t>
      </w:r>
      <w:proofErr w:type="spellEnd"/>
      <w:r w:rsidR="00CD574F">
        <w:rPr>
          <w:lang w:val="en-US" w:eastAsia="ko-KR"/>
        </w:rPr>
        <w:t xml:space="preserve">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MPDU type, encryption/</w:t>
      </w:r>
      <w:proofErr w:type="spellStart"/>
      <w:r w:rsidR="00CF6592">
        <w:rPr>
          <w:lang w:val="en-US" w:eastAsia="ko-KR"/>
        </w:rPr>
        <w:t>decription</w:t>
      </w:r>
      <w:proofErr w:type="spellEnd"/>
      <w:r w:rsidR="00CF6592">
        <w:rPr>
          <w:lang w:val="en-US" w:eastAsia="ko-KR"/>
        </w:rPr>
        <w:t xml:space="preserve"> and </w:t>
      </w:r>
      <w:proofErr w:type="spellStart"/>
      <w:r w:rsidR="00CF6592">
        <w:rPr>
          <w:lang w:val="en-US" w:eastAsia="ko-KR"/>
        </w:rPr>
        <w:t>Ack</w:t>
      </w:r>
      <w:proofErr w:type="spellEnd"/>
      <w:r w:rsidR="00CF6592">
        <w:rPr>
          <w:lang w:val="en-US" w:eastAsia="ko-KR"/>
        </w:rPr>
        <w:t xml:space="preserve">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proofErr w:type="spellStart"/>
      <w:r w:rsidR="00CF6592">
        <w:rPr>
          <w:lang w:val="en-US" w:eastAsia="ko-KR"/>
        </w:rPr>
        <w:t>Ack</w:t>
      </w:r>
      <w:proofErr w:type="spellEnd"/>
      <w:r w:rsidR="00CF6592">
        <w:rPr>
          <w:lang w:val="en-US" w:eastAsia="ko-KR"/>
        </w:rPr>
        <w:t>/</w:t>
      </w:r>
      <w:proofErr w:type="spellStart"/>
      <w:r w:rsidR="00CF6592">
        <w:rPr>
          <w:lang w:val="en-US" w:eastAsia="ko-KR"/>
        </w:rPr>
        <w:t>BlockAck</w:t>
      </w:r>
      <w:proofErr w:type="spellEnd"/>
      <w:r w:rsidR="00CF6592">
        <w:rPr>
          <w:lang w:val="en-US" w:eastAsia="ko-KR"/>
        </w:rPr>
        <w:t xml:space="preserve">/Multi-STA </w:t>
      </w:r>
      <w:proofErr w:type="spellStart"/>
      <w:r w:rsidR="00CF6592">
        <w:rPr>
          <w:lang w:val="en-US" w:eastAsia="ko-KR"/>
        </w:rPr>
        <w:t>BlockAck</w:t>
      </w:r>
      <w:proofErr w:type="spellEnd"/>
      <w:r w:rsidR="00CF6592">
        <w:rPr>
          <w:lang w:val="en-US" w:eastAsia="ko-KR"/>
        </w:rPr>
        <w:t xml:space="preserve"> need no </w:t>
      </w:r>
      <w:r w:rsidR="00F23403">
        <w:rPr>
          <w:lang w:val="en-US" w:eastAsia="ko-KR"/>
        </w:rPr>
        <w:t xml:space="preserve">decryption and </w:t>
      </w:r>
      <w:proofErr w:type="gramStart"/>
      <w:r w:rsidR="00F23403">
        <w:rPr>
          <w:lang w:val="en-US" w:eastAsia="ko-KR"/>
        </w:rPr>
        <w:t>require</w:t>
      </w:r>
      <w:proofErr w:type="gramEnd"/>
      <w:r w:rsidR="00F23403">
        <w:rPr>
          <w:lang w:val="en-US" w:eastAsia="ko-KR"/>
        </w:rPr>
        <w:t xml:space="preserv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w:t>
      </w:r>
      <w:proofErr w:type="spellStart"/>
      <w:r w:rsidR="00F23403">
        <w:rPr>
          <w:lang w:val="en-US" w:eastAsia="ko-KR"/>
        </w:rPr>
        <w:t>dely</w:t>
      </w:r>
      <w:proofErr w:type="spellEnd"/>
      <w:r w:rsidR="00F23403">
        <w:rPr>
          <w:lang w:val="en-US" w:eastAsia="ko-KR"/>
        </w:rPr>
        <w:t xml:space="preserve"> for these MPDUs is relatively short.</w:t>
      </w:r>
    </w:p>
    <w:p w14:paraId="4DA4979E" w14:textId="77777777" w:rsidR="00CF6592" w:rsidRDefault="00CF6592" w:rsidP="008C4679">
      <w:pPr>
        <w:jc w:val="both"/>
        <w:rPr>
          <w:lang w:val="en-US" w:eastAsia="ko-KR"/>
        </w:rPr>
      </w:pPr>
    </w:p>
    <w:p w14:paraId="097BC8E9" w14:textId="1BFE2DD3"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w:t>
      </w:r>
      <w:proofErr w:type="spellStart"/>
      <w:r>
        <w:rPr>
          <w:lang w:val="en-US" w:eastAsia="ko-KR"/>
        </w:rPr>
        <w:t>Ack</w:t>
      </w:r>
      <w:proofErr w:type="spellEnd"/>
      <w:r>
        <w:rPr>
          <w:lang w:val="en-US" w:eastAsia="ko-KR"/>
        </w:rPr>
        <w:t>/</w:t>
      </w:r>
      <w:proofErr w:type="spellStart"/>
      <w:r>
        <w:rPr>
          <w:lang w:val="en-US" w:eastAsia="ko-KR"/>
        </w:rPr>
        <w:t>BlockAck</w:t>
      </w:r>
      <w:proofErr w:type="spellEnd"/>
      <w:r>
        <w:rPr>
          <w:lang w:val="en-US" w:eastAsia="ko-KR"/>
        </w:rPr>
        <w:t xml:space="preserve">/Multi-STA </w:t>
      </w:r>
      <w:proofErr w:type="spellStart"/>
      <w:r>
        <w:rPr>
          <w:lang w:val="en-US" w:eastAsia="ko-KR"/>
        </w:rPr>
        <w:t>BlockAck</w:t>
      </w:r>
      <w:r w:rsidR="00F23403">
        <w:rPr>
          <w:lang w:val="en-US" w:eastAsia="ko-KR"/>
        </w:rPr>
        <w:t>s</w:t>
      </w:r>
      <w:proofErr w:type="spellEnd"/>
      <w:r>
        <w:rPr>
          <w:lang w:val="en-US" w:eastAsia="ko-KR"/>
        </w:rPr>
        <w:t xml:space="preserve"> </w:t>
      </w:r>
      <w:r w:rsidR="00F23403">
        <w:rPr>
          <w:lang w:val="en-US" w:eastAsia="ko-KR"/>
        </w:rPr>
        <w:t xml:space="preserve">should be </w:t>
      </w:r>
      <w:proofErr w:type="spellStart"/>
      <w:r w:rsidR="00F23403">
        <w:rPr>
          <w:lang w:val="en-US" w:eastAsia="ko-KR"/>
        </w:rPr>
        <w:t>exmempted</w:t>
      </w:r>
      <w:proofErr w:type="spellEnd"/>
      <w:r w:rsidR="00F23403">
        <w:rPr>
          <w:lang w:val="en-US" w:eastAsia="ko-KR"/>
        </w:rPr>
        <w:t xml:space="preserve"> from </w:t>
      </w:r>
      <w:r>
        <w:rPr>
          <w:lang w:val="en-US" w:eastAsia="ko-KR"/>
        </w:rPr>
        <w:t>the MPDU spacing constrain</w:t>
      </w:r>
      <w:r w:rsidR="00F23403">
        <w:rPr>
          <w:lang w:val="en-US" w:eastAsia="ko-KR"/>
        </w:rPr>
        <w:t>t</w:t>
      </w:r>
      <w:r>
        <w:rPr>
          <w:lang w:val="en-US" w:eastAsia="ko-KR"/>
        </w:rPr>
        <w:t xml:space="preserve">. </w:t>
      </w:r>
      <w:r w:rsidR="00590175">
        <w:rPr>
          <w:lang w:val="en-US" w:eastAsia="ko-KR"/>
        </w:rPr>
        <w:t xml:space="preserve">We also propose that Action frame and Management frame should be </w:t>
      </w:r>
      <w:proofErr w:type="spellStart"/>
      <w:r w:rsidR="00590175">
        <w:rPr>
          <w:lang w:val="en-US" w:eastAsia="ko-KR"/>
        </w:rPr>
        <w:t>exmempted</w:t>
      </w:r>
      <w:proofErr w:type="spellEnd"/>
      <w:r w:rsidR="00590175">
        <w:rPr>
          <w:lang w:val="en-US" w:eastAsia="ko-KR"/>
        </w:rPr>
        <w:t xml:space="preserve"> from the MPDU spacing constraint because of the same rationale.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0" w:name="RTF36393535333a2048342c312e"/>
      <w:r w:rsidRPr="004B1720">
        <w:rPr>
          <w:w w:val="100"/>
        </w:rPr>
        <w:t>10.13 A-MPDU operation</w:t>
      </w:r>
    </w:p>
    <w:p w14:paraId="5C93F248" w14:textId="06D3EECC" w:rsidR="004B1720" w:rsidRDefault="004B1720" w:rsidP="004B1720">
      <w:pPr>
        <w:pStyle w:val="H5"/>
        <w:rPr>
          <w:w w:val="100"/>
        </w:rPr>
      </w:pPr>
      <w:r w:rsidRPr="004B1720">
        <w:rPr>
          <w:w w:val="100"/>
        </w:rPr>
        <w:t>10.13.3 Minimum MPDU Start Spacing field</w:t>
      </w:r>
    </w:p>
    <w:p w14:paraId="66730F47" w14:textId="4981CCC6" w:rsidR="004B1720" w:rsidRDefault="004B1720" w:rsidP="004B1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2C309223" w14:textId="77777777" w:rsidR="00314B1B" w:rsidRDefault="004B1720" w:rsidP="004B1720">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to or greater than</w:t>
      </w: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8F53AD"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where</w:t>
      </w:r>
      <w:proofErr w:type="gramEnd"/>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8F53AD"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466C4CEA"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 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 xml:space="preserve">length need to be inserted after the MPDU immediately preceding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in an A-MPDU.</w:t>
      </w:r>
    </w:p>
    <w:p w14:paraId="727381A0" w14:textId="64E96993" w:rsidR="004B1720" w:rsidRPr="00470D07" w:rsidRDefault="00470D07" w:rsidP="004B1720">
      <w:pPr>
        <w:pStyle w:val="T"/>
        <w:rPr>
          <w:u w:val="single"/>
          <w:lang w:eastAsia="en-US"/>
        </w:rPr>
      </w:pPr>
      <w:r w:rsidRPr="00470D07">
        <w:rPr>
          <w:u w:val="single"/>
          <w:lang w:eastAsia="en-US"/>
        </w:rPr>
        <w:t xml:space="preserve">Trigger frame, </w:t>
      </w:r>
      <w:r>
        <w:rPr>
          <w:u w:val="single"/>
          <w:lang w:eastAsia="en-US"/>
        </w:rPr>
        <w:t>ACK/</w:t>
      </w:r>
      <w:proofErr w:type="spellStart"/>
      <w:r>
        <w:rPr>
          <w:u w:val="single"/>
          <w:lang w:eastAsia="en-US"/>
        </w:rPr>
        <w:t>BlockAck</w:t>
      </w:r>
      <w:proofErr w:type="spellEnd"/>
      <w:r w:rsidRPr="00470D07">
        <w:rPr>
          <w:u w:val="single"/>
          <w:lang w:eastAsia="en-US"/>
        </w:rPr>
        <w:t>/M</w:t>
      </w:r>
      <w:r>
        <w:rPr>
          <w:u w:val="single"/>
          <w:lang w:eastAsia="en-US"/>
        </w:rPr>
        <w:t>ulti-</w:t>
      </w:r>
      <w:proofErr w:type="spellStart"/>
      <w:r>
        <w:rPr>
          <w:u w:val="single"/>
          <w:lang w:eastAsia="en-US"/>
        </w:rPr>
        <w:t>STABlockAck</w:t>
      </w:r>
      <w:proofErr w:type="spellEnd"/>
      <w:r w:rsidRPr="00470D07">
        <w:rPr>
          <w:u w:val="single"/>
          <w:lang w:eastAsia="en-US"/>
        </w:rPr>
        <w:t>, Action frame</w:t>
      </w:r>
      <w:r w:rsidR="008C0A6F">
        <w:rPr>
          <w:u w:val="single"/>
          <w:lang w:eastAsia="en-US"/>
        </w:rPr>
        <w:t>, Management frame</w:t>
      </w:r>
      <w:bookmarkStart w:id="1" w:name="_GoBack"/>
      <w:bookmarkEnd w:id="1"/>
      <w:r w:rsidRPr="00470D07">
        <w:rPr>
          <w:u w:val="single"/>
          <w:lang w:eastAsia="en-US"/>
        </w:rPr>
        <w:t xml:space="preserve"> transmitted by HE STAs in an A-MPDU are not subject to the </w:t>
      </w:r>
      <w:proofErr w:type="spellStart"/>
      <w:r w:rsidRPr="00470D07">
        <w:rPr>
          <w:u w:val="single"/>
          <w:lang w:eastAsia="en-US"/>
        </w:rPr>
        <w:t>minum</w:t>
      </w:r>
      <w:proofErr w:type="spellEnd"/>
      <w:r w:rsidRPr="00470D07">
        <w:rPr>
          <w:u w:val="single"/>
          <w:lang w:eastAsia="en-US"/>
        </w:rPr>
        <w:t xml:space="preserve"> MPDU start spacing as defined in this </w:t>
      </w:r>
      <w:proofErr w:type="spellStart"/>
      <w:r w:rsidRPr="00470D07">
        <w:rPr>
          <w:u w:val="single"/>
          <w:lang w:eastAsia="en-US"/>
        </w:rPr>
        <w:t>subcause</w:t>
      </w:r>
      <w:proofErr w:type="spellEnd"/>
      <w:r w:rsidRPr="00470D07">
        <w:rPr>
          <w:u w:val="single"/>
          <w:lang w:eastAsia="en-US"/>
        </w:rPr>
        <w:t xml:space="preserve">. </w:t>
      </w:r>
      <w:proofErr w:type="gramStart"/>
      <w:r w:rsidRPr="00470D07">
        <w:rPr>
          <w:u w:val="single"/>
          <w:lang w:eastAsia="en-US"/>
        </w:rPr>
        <w:t>i.e</w:t>
      </w:r>
      <w:proofErr w:type="gramEnd"/>
      <w:r w:rsidRPr="00470D07">
        <w:rPr>
          <w:u w:val="single"/>
          <w:lang w:eastAsia="en-US"/>
        </w:rPr>
        <w:t xml:space="preserve">. no MPDU </w:t>
      </w:r>
      <w:proofErr w:type="spellStart"/>
      <w:r w:rsidRPr="00470D07">
        <w:rPr>
          <w:u w:val="single"/>
          <w:lang w:eastAsia="en-US"/>
        </w:rPr>
        <w:t>delimeters</w:t>
      </w:r>
      <w:proofErr w:type="spellEnd"/>
      <w:r w:rsidRPr="00470D07">
        <w:rPr>
          <w:u w:val="single"/>
          <w:lang w:eastAsia="en-US"/>
        </w:rPr>
        <w:t xml:space="preserve"> with zero length need to be inserted after the MPDU immediately preceding the trigger frame, ACK/BA/M-BA or Action frame in an A-MPDU. </w:t>
      </w:r>
    </w:p>
    <w:p w14:paraId="5440BAC7" w14:textId="77777777" w:rsidR="004B1720" w:rsidRDefault="004B1720" w:rsidP="004B1720">
      <w:pPr>
        <w:pStyle w:val="T"/>
        <w:rPr>
          <w:lang w:eastAsia="en-US"/>
        </w:rPr>
      </w:pPr>
    </w:p>
    <w:bookmarkEnd w:id="0"/>
    <w:p w14:paraId="524A5476" w14:textId="77777777" w:rsidR="004B1720" w:rsidRDefault="004B1720" w:rsidP="004B1720">
      <w:pPr>
        <w:pStyle w:val="T"/>
        <w:rPr>
          <w:lang w:eastAsia="en-US"/>
        </w:rPr>
      </w:pPr>
    </w:p>
    <w:sectPr w:rsidR="004B172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22C9D" w14:textId="77777777" w:rsidR="008F53AD" w:rsidRDefault="008F53AD">
      <w:r>
        <w:separator/>
      </w:r>
    </w:p>
  </w:endnote>
  <w:endnote w:type="continuationSeparator" w:id="0">
    <w:p w14:paraId="66F86433" w14:textId="77777777" w:rsidR="008F53AD" w:rsidRDefault="008F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8659BD">
    <w:pPr>
      <w:pStyle w:val="Footer"/>
      <w:tabs>
        <w:tab w:val="clear" w:pos="6480"/>
        <w:tab w:val="center" w:pos="4680"/>
        <w:tab w:val="right" w:pos="9360"/>
      </w:tabs>
    </w:pPr>
    <w:fldSimple w:instr=" SUBJECT  \* MERGEFORMAT ">
      <w:r w:rsidR="000F504C">
        <w:t>Submission</w:t>
      </w:r>
    </w:fldSimple>
    <w:r w:rsidR="000F504C">
      <w:tab/>
      <w:t xml:space="preserve">page </w:t>
    </w:r>
    <w:r w:rsidR="000F504C">
      <w:fldChar w:fldCharType="begin"/>
    </w:r>
    <w:r w:rsidR="000F504C">
      <w:instrText xml:space="preserve">page </w:instrText>
    </w:r>
    <w:r w:rsidR="000F504C">
      <w:fldChar w:fldCharType="separate"/>
    </w:r>
    <w:r w:rsidR="008C0A6F">
      <w:rPr>
        <w:noProof/>
      </w:rPr>
      <w:t>3</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0CF3" w14:textId="77777777" w:rsidR="008F53AD" w:rsidRDefault="008F53AD">
      <w:r>
        <w:separator/>
      </w:r>
    </w:p>
  </w:footnote>
  <w:footnote w:type="continuationSeparator" w:id="0">
    <w:p w14:paraId="31374619" w14:textId="77777777" w:rsidR="008F53AD" w:rsidRDefault="008F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8C6DCBD"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E432EF">
        <w:rPr>
          <w:lang w:eastAsia="ko-KR"/>
        </w:rPr>
        <w:t>0363</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8F53AD"/>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B20"/>
    <w:rsid w:val="00AE7BCF"/>
    <w:rsid w:val="00AE7D6D"/>
    <w:rsid w:val="00AF0C22"/>
    <w:rsid w:val="00AF1B15"/>
    <w:rsid w:val="00AF1C91"/>
    <w:rsid w:val="00AF1D18"/>
    <w:rsid w:val="00AF476B"/>
    <w:rsid w:val="00AF490A"/>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2E2B"/>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AB83-3498-44CE-B845-8653614B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6010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7</cp:revision>
  <cp:lastPrinted>2010-05-04T03:47:00Z</cp:lastPrinted>
  <dcterms:created xsi:type="dcterms:W3CDTF">2017-03-08T21:39:00Z</dcterms:created>
  <dcterms:modified xsi:type="dcterms:W3CDTF">2017-03-08T21:51:00Z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