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FD2F990" w:rsidR="00C723BC" w:rsidRPr="00183F4C" w:rsidRDefault="00473F40" w:rsidP="007D1D7C">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7D1D7C">
              <w:rPr>
                <w:lang w:eastAsia="ko-KR"/>
              </w:rPr>
              <w:t>17.2.2.1 and 17.3.9.10</w:t>
            </w:r>
          </w:p>
        </w:tc>
      </w:tr>
      <w:tr w:rsidR="00C723BC" w:rsidRPr="00183F4C" w14:paraId="609B60F1" w14:textId="77777777" w:rsidTr="00B034CE">
        <w:trPr>
          <w:trHeight w:val="359"/>
          <w:jc w:val="center"/>
        </w:trPr>
        <w:tc>
          <w:tcPr>
            <w:tcW w:w="9576" w:type="dxa"/>
            <w:gridSpan w:val="5"/>
            <w:vAlign w:val="center"/>
          </w:tcPr>
          <w:p w14:paraId="14FD9DCC" w14:textId="74C4FF83"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F5719">
              <w:rPr>
                <w:b w:val="0"/>
                <w:sz w:val="20"/>
                <w:lang w:eastAsia="ko-KR"/>
              </w:rPr>
              <w:t>02</w:t>
            </w:r>
            <w:r>
              <w:rPr>
                <w:rFonts w:hint="eastAsia"/>
                <w:b w:val="0"/>
                <w:sz w:val="20"/>
                <w:lang w:eastAsia="ko-KR"/>
              </w:rPr>
              <w:t>-</w:t>
            </w:r>
            <w:r w:rsidR="006F5719">
              <w:rPr>
                <w:b w:val="0"/>
                <w:sz w:val="20"/>
                <w:lang w:eastAsia="ko-KR"/>
              </w:rPr>
              <w:t>19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Rev 1: Ediotrial revision based on the feedback from Alfred</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Rev 1: Ediotrial revision based on the feedback from Alfred</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C5344" w:rsidRPr="00F74EB9" w14:paraId="1E1794A9" w14:textId="77777777" w:rsidTr="00473F40">
        <w:trPr>
          <w:trHeight w:val="1002"/>
        </w:trPr>
        <w:tc>
          <w:tcPr>
            <w:tcW w:w="541" w:type="dxa"/>
          </w:tcPr>
          <w:p w14:paraId="504D0DA2" w14:textId="46F1AB99" w:rsidR="000C5344" w:rsidRPr="007D1D7C" w:rsidRDefault="000C5344" w:rsidP="000C5344">
            <w:pPr>
              <w:rPr>
                <w:sz w:val="16"/>
                <w:szCs w:val="16"/>
              </w:rPr>
            </w:pPr>
            <w:r w:rsidRPr="007D1D7C">
              <w:rPr>
                <w:sz w:val="16"/>
                <w:szCs w:val="16"/>
              </w:rPr>
              <w:t>9683</w:t>
            </w:r>
          </w:p>
        </w:tc>
        <w:tc>
          <w:tcPr>
            <w:tcW w:w="1080" w:type="dxa"/>
          </w:tcPr>
          <w:p w14:paraId="3710E66E" w14:textId="4050D7A9" w:rsidR="000C5344" w:rsidRPr="007D1D7C" w:rsidRDefault="000C5344" w:rsidP="000C5344">
            <w:pPr>
              <w:rPr>
                <w:sz w:val="16"/>
                <w:szCs w:val="16"/>
              </w:rPr>
            </w:pPr>
            <w:r w:rsidRPr="007D1D7C">
              <w:rPr>
                <w:sz w:val="16"/>
                <w:szCs w:val="16"/>
              </w:rPr>
              <w:t>Yongho Seok</w:t>
            </w:r>
          </w:p>
        </w:tc>
        <w:tc>
          <w:tcPr>
            <w:tcW w:w="630" w:type="dxa"/>
          </w:tcPr>
          <w:p w14:paraId="1E64D6FD" w14:textId="786E4861" w:rsidR="000C5344" w:rsidRPr="007D1D7C" w:rsidRDefault="000C5344" w:rsidP="000C5344">
            <w:pPr>
              <w:rPr>
                <w:sz w:val="16"/>
                <w:szCs w:val="16"/>
              </w:rPr>
            </w:pPr>
            <w:r w:rsidRPr="007D1D7C">
              <w:rPr>
                <w:sz w:val="16"/>
                <w:szCs w:val="16"/>
              </w:rPr>
              <w:t>118.34</w:t>
            </w:r>
          </w:p>
        </w:tc>
        <w:tc>
          <w:tcPr>
            <w:tcW w:w="990" w:type="dxa"/>
          </w:tcPr>
          <w:p w14:paraId="1D987743" w14:textId="39DBB736" w:rsidR="000C5344" w:rsidRPr="007D1D7C" w:rsidRDefault="000C5344" w:rsidP="000C5344">
            <w:pPr>
              <w:rPr>
                <w:sz w:val="16"/>
                <w:szCs w:val="16"/>
              </w:rPr>
            </w:pPr>
            <w:r w:rsidRPr="007D1D7C">
              <w:rPr>
                <w:sz w:val="16"/>
                <w:szCs w:val="16"/>
              </w:rPr>
              <w:t>10.3.2.8a.3</w:t>
            </w:r>
          </w:p>
        </w:tc>
        <w:tc>
          <w:tcPr>
            <w:tcW w:w="2875" w:type="dxa"/>
          </w:tcPr>
          <w:p w14:paraId="7D240686" w14:textId="3D1063C4" w:rsidR="000C5344" w:rsidRPr="007D1D7C" w:rsidRDefault="000C5344" w:rsidP="000C5344">
            <w:pPr>
              <w:rPr>
                <w:sz w:val="16"/>
                <w:szCs w:val="16"/>
              </w:rPr>
            </w:pPr>
            <w:r w:rsidRPr="007D1D7C">
              <w:rPr>
                <w:sz w:val="16"/>
                <w:szCs w:val="16"/>
              </w:rPr>
              <w:t>Current TGax D1.0 is not indicating when TXVECTOR parameter TRIGGER_RESPONDING is present. Add the following sentence at the end of subclause 10.3.2.8a.3. "The TXVECTOR parameter TRIGGER_RESPONDING shall be present in a non-HT or non-HT duplicate PPDU transmitted by an HE STA. It is set to true if the non-HT or non-HT duplicate PPDU carries a CTS frame sent in response to an MU-RTS frame. Otherwise, it is set to false."</w:t>
            </w:r>
          </w:p>
        </w:tc>
        <w:tc>
          <w:tcPr>
            <w:tcW w:w="1613" w:type="dxa"/>
          </w:tcPr>
          <w:p w14:paraId="6A1B43EE" w14:textId="38D0252E" w:rsidR="000C5344" w:rsidRPr="007D1D7C" w:rsidRDefault="000C5344" w:rsidP="000C5344">
            <w:pPr>
              <w:rPr>
                <w:sz w:val="16"/>
                <w:szCs w:val="16"/>
              </w:rPr>
            </w:pPr>
            <w:r w:rsidRPr="007D1D7C">
              <w:rPr>
                <w:sz w:val="16"/>
                <w:szCs w:val="16"/>
              </w:rPr>
              <w:t>As per comment.</w:t>
            </w:r>
          </w:p>
        </w:tc>
        <w:tc>
          <w:tcPr>
            <w:tcW w:w="3219" w:type="dxa"/>
          </w:tcPr>
          <w:p w14:paraId="1D6FA44F" w14:textId="1824C3FE"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Revised –</w:t>
            </w:r>
          </w:p>
          <w:p w14:paraId="557FA7F0" w14:textId="77777777" w:rsidR="000C5344" w:rsidRDefault="000C5344" w:rsidP="000C5344">
            <w:pPr>
              <w:autoSpaceDE w:val="0"/>
              <w:autoSpaceDN w:val="0"/>
              <w:adjustRightInd w:val="0"/>
              <w:rPr>
                <w:rFonts w:ascii="Calibri" w:hAnsi="Calibri" w:cs="Arial"/>
                <w:sz w:val="16"/>
                <w:szCs w:val="16"/>
              </w:rPr>
            </w:pPr>
          </w:p>
          <w:p w14:paraId="3B62900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After discussing with the editor, it is better to move the new paramters of TXVECTOR for HE STA to </w:t>
            </w:r>
            <w:r w:rsidRPr="000C5344">
              <w:rPr>
                <w:rFonts w:ascii="Calibri" w:hAnsi="Calibri" w:cs="Arial"/>
                <w:sz w:val="16"/>
                <w:szCs w:val="16"/>
              </w:rPr>
              <w:t>Table 28-1—TXVECTOR and RXVECTOR parameters</w:t>
            </w:r>
            <w:r>
              <w:rPr>
                <w:rFonts w:ascii="Calibri" w:hAnsi="Calibri" w:cs="Arial"/>
                <w:sz w:val="16"/>
                <w:szCs w:val="16"/>
              </w:rPr>
              <w:t>.</w:t>
            </w:r>
          </w:p>
          <w:p w14:paraId="31D128F1" w14:textId="77777777" w:rsidR="000C5344" w:rsidRDefault="000C5344" w:rsidP="000C5344">
            <w:pPr>
              <w:autoSpaceDE w:val="0"/>
              <w:autoSpaceDN w:val="0"/>
              <w:adjustRightInd w:val="0"/>
              <w:rPr>
                <w:rFonts w:ascii="Calibri" w:hAnsi="Calibri" w:cs="Arial"/>
                <w:sz w:val="16"/>
                <w:szCs w:val="16"/>
              </w:rPr>
            </w:pPr>
          </w:p>
          <w:p w14:paraId="63F7BBA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We revise correspondingly and add description in Table 28-1.</w:t>
            </w:r>
          </w:p>
          <w:p w14:paraId="31E5FF0F" w14:textId="77777777" w:rsidR="000C5344" w:rsidRDefault="000C5344" w:rsidP="000C5344">
            <w:pPr>
              <w:autoSpaceDE w:val="0"/>
              <w:autoSpaceDN w:val="0"/>
              <w:adjustRightInd w:val="0"/>
              <w:rPr>
                <w:rFonts w:ascii="Calibri" w:hAnsi="Calibri" w:cs="Arial"/>
                <w:sz w:val="16"/>
                <w:szCs w:val="16"/>
              </w:rPr>
            </w:pPr>
          </w:p>
          <w:p w14:paraId="3309E80A" w14:textId="633BDA34" w:rsidR="000C5344" w:rsidRPr="009A626B" w:rsidRDefault="000C5344" w:rsidP="000C5344">
            <w:pPr>
              <w:autoSpaceDE w:val="0"/>
              <w:autoSpaceDN w:val="0"/>
              <w:adjustRightInd w:val="0"/>
              <w:rPr>
                <w:rFonts w:ascii="Calibri" w:hAnsi="Calibri" w:cs="Arial"/>
                <w:sz w:val="16"/>
                <w:szCs w:val="16"/>
              </w:rPr>
            </w:pPr>
            <w:r>
              <w:rPr>
                <w:bCs/>
                <w:sz w:val="16"/>
                <w:szCs w:val="18"/>
                <w:lang w:eastAsia="ko-KR"/>
              </w:rPr>
              <w:t>TGax editor to make</w:t>
            </w:r>
            <w:r w:rsidR="006F5719">
              <w:rPr>
                <w:bCs/>
                <w:sz w:val="16"/>
                <w:szCs w:val="18"/>
                <w:lang w:eastAsia="ko-KR"/>
              </w:rPr>
              <w:t xml:space="preserve"> the changes shown in 11-17/0271</w:t>
            </w:r>
            <w:r w:rsidR="00467AAC">
              <w:rPr>
                <w:bCs/>
                <w:sz w:val="16"/>
                <w:szCs w:val="18"/>
                <w:lang w:eastAsia="ko-KR"/>
              </w:rPr>
              <w:t>r1</w:t>
            </w:r>
            <w:r>
              <w:rPr>
                <w:bCs/>
                <w:sz w:val="16"/>
                <w:szCs w:val="18"/>
                <w:lang w:eastAsia="ko-KR"/>
              </w:rPr>
              <w:t xml:space="preserve"> under all headings that include CID 9683.</w:t>
            </w:r>
          </w:p>
        </w:tc>
      </w:tr>
      <w:tr w:rsidR="00FA52AD" w:rsidRPr="00F74EB9" w14:paraId="1F093400" w14:textId="77777777" w:rsidTr="00473F40">
        <w:trPr>
          <w:trHeight w:val="1002"/>
        </w:trPr>
        <w:tc>
          <w:tcPr>
            <w:tcW w:w="541" w:type="dxa"/>
          </w:tcPr>
          <w:p w14:paraId="13F093A5" w14:textId="00DB735B" w:rsidR="00FA52AD" w:rsidRPr="007D1D7C" w:rsidRDefault="00FA52AD" w:rsidP="00FA52AD">
            <w:pPr>
              <w:rPr>
                <w:sz w:val="16"/>
                <w:szCs w:val="16"/>
              </w:rPr>
            </w:pPr>
            <w:r w:rsidRPr="007D1D7C">
              <w:rPr>
                <w:sz w:val="16"/>
                <w:szCs w:val="16"/>
              </w:rPr>
              <w:t>8690</w:t>
            </w:r>
          </w:p>
        </w:tc>
        <w:tc>
          <w:tcPr>
            <w:tcW w:w="1080" w:type="dxa"/>
          </w:tcPr>
          <w:p w14:paraId="0F5CEA4D" w14:textId="7DE52075" w:rsidR="00FA52AD" w:rsidRPr="007D1D7C" w:rsidRDefault="00FA52AD" w:rsidP="00FA52AD">
            <w:pPr>
              <w:rPr>
                <w:sz w:val="16"/>
                <w:szCs w:val="16"/>
              </w:rPr>
            </w:pPr>
            <w:r w:rsidRPr="007D1D7C">
              <w:rPr>
                <w:sz w:val="16"/>
                <w:szCs w:val="16"/>
              </w:rPr>
              <w:t>Sigurd Schelstraete</w:t>
            </w:r>
          </w:p>
        </w:tc>
        <w:tc>
          <w:tcPr>
            <w:tcW w:w="630" w:type="dxa"/>
          </w:tcPr>
          <w:p w14:paraId="7A9538C7" w14:textId="5A1B1465" w:rsidR="00FA52AD" w:rsidRPr="007D1D7C" w:rsidRDefault="00FA52AD" w:rsidP="00FA52AD">
            <w:pPr>
              <w:rPr>
                <w:sz w:val="16"/>
                <w:szCs w:val="16"/>
              </w:rPr>
            </w:pPr>
            <w:r w:rsidRPr="007D1D7C">
              <w:rPr>
                <w:sz w:val="16"/>
                <w:szCs w:val="16"/>
              </w:rPr>
              <w:t>145.24</w:t>
            </w:r>
          </w:p>
        </w:tc>
        <w:tc>
          <w:tcPr>
            <w:tcW w:w="990" w:type="dxa"/>
          </w:tcPr>
          <w:p w14:paraId="49B01BF5" w14:textId="5BEA4314" w:rsidR="00FA52AD" w:rsidRPr="007D1D7C" w:rsidRDefault="00FA52AD" w:rsidP="00FA52AD">
            <w:pPr>
              <w:rPr>
                <w:sz w:val="16"/>
                <w:szCs w:val="16"/>
              </w:rPr>
            </w:pPr>
            <w:r w:rsidRPr="007D1D7C">
              <w:rPr>
                <w:sz w:val="16"/>
                <w:szCs w:val="16"/>
              </w:rPr>
              <w:t>17.2.2.1</w:t>
            </w:r>
          </w:p>
        </w:tc>
        <w:tc>
          <w:tcPr>
            <w:tcW w:w="2875" w:type="dxa"/>
          </w:tcPr>
          <w:p w14:paraId="042D74FA" w14:textId="451C2EAE" w:rsidR="00FA52AD" w:rsidRPr="007D1D7C" w:rsidRDefault="00FA52AD" w:rsidP="00FA52AD">
            <w:pPr>
              <w:rPr>
                <w:sz w:val="16"/>
                <w:szCs w:val="16"/>
              </w:rPr>
            </w:pPr>
            <w:r w:rsidRPr="007D1D7C">
              <w:rPr>
                <w:sz w:val="16"/>
                <w:szCs w:val="16"/>
              </w:rPr>
              <w:t>In Table 17-1, it says that a value of "false" for "TRIGGER_RESPONDING" means that "the MAC entity requests that the PHY entity does not have to do synchronization". In 17.2.2.6 it says that "false" means that "the MAC sublayer is requesting that the PHY entity does not do synchronization". In other words: in one case, the MAC does not require (but presumably permits) timing correction, in the other case, the MAC does not allow synchronization. It's not clear why the MAC would forbid synchronization, even if it doesn't explicitly request it.</w:t>
            </w:r>
          </w:p>
        </w:tc>
        <w:tc>
          <w:tcPr>
            <w:tcW w:w="1613" w:type="dxa"/>
          </w:tcPr>
          <w:p w14:paraId="5EED4EAB" w14:textId="6537AFF0" w:rsidR="00FA52AD" w:rsidRPr="007D1D7C" w:rsidRDefault="00FA52AD" w:rsidP="00FA52AD">
            <w:pPr>
              <w:rPr>
                <w:sz w:val="16"/>
                <w:szCs w:val="16"/>
              </w:rPr>
            </w:pPr>
            <w:r w:rsidRPr="007D1D7C">
              <w:rPr>
                <w:sz w:val="16"/>
                <w:szCs w:val="16"/>
              </w:rPr>
              <w:t>Change definition of "TRIGGER_RESPONDING" such that it indicates that the MAC does not require synchronization, but does not forbid it either.</w:t>
            </w:r>
          </w:p>
        </w:tc>
        <w:tc>
          <w:tcPr>
            <w:tcW w:w="3219" w:type="dxa"/>
          </w:tcPr>
          <w:p w14:paraId="0510212F"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6D5BB40" w14:textId="77777777" w:rsidR="00FA52AD" w:rsidRDefault="00FA52AD" w:rsidP="00FA52AD">
            <w:pPr>
              <w:autoSpaceDE w:val="0"/>
              <w:autoSpaceDN w:val="0"/>
              <w:adjustRightInd w:val="0"/>
              <w:rPr>
                <w:rFonts w:ascii="Calibri" w:hAnsi="Calibri" w:cs="Arial"/>
                <w:sz w:val="16"/>
                <w:szCs w:val="16"/>
              </w:rPr>
            </w:pPr>
          </w:p>
          <w:p w14:paraId="607D6269"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45354005" w14:textId="77777777" w:rsidR="00FA52AD" w:rsidRDefault="00FA52AD" w:rsidP="00FA52AD">
            <w:pPr>
              <w:autoSpaceDE w:val="0"/>
              <w:autoSpaceDN w:val="0"/>
              <w:adjustRightInd w:val="0"/>
              <w:rPr>
                <w:rFonts w:ascii="Calibri" w:hAnsi="Calibri" w:cs="Arial"/>
                <w:sz w:val="16"/>
                <w:szCs w:val="16"/>
              </w:rPr>
            </w:pPr>
          </w:p>
          <w:p w14:paraId="50EFEAA2" w14:textId="4423FC42" w:rsidR="00FA52AD" w:rsidRDefault="00FA52AD" w:rsidP="00FA52AD">
            <w:pPr>
              <w:autoSpaceDE w:val="0"/>
              <w:autoSpaceDN w:val="0"/>
              <w:adjustRightInd w:val="0"/>
              <w:rPr>
                <w:rFonts w:ascii="Calibri" w:hAnsi="Calibri" w:cs="Arial"/>
                <w:sz w:val="16"/>
                <w:szCs w:val="16"/>
              </w:rPr>
            </w:pPr>
            <w:r>
              <w:rPr>
                <w:bCs/>
                <w:sz w:val="16"/>
                <w:szCs w:val="18"/>
                <w:lang w:eastAsia="ko-KR"/>
              </w:rPr>
              <w:t>TGax editor to make</w:t>
            </w:r>
            <w:r w:rsidR="006F5719">
              <w:rPr>
                <w:bCs/>
                <w:sz w:val="16"/>
                <w:szCs w:val="18"/>
                <w:lang w:eastAsia="ko-KR"/>
              </w:rPr>
              <w:t xml:space="preserve"> the changes shown in 11-17/0271</w:t>
            </w:r>
            <w:r w:rsidR="00467AAC">
              <w:rPr>
                <w:bCs/>
                <w:sz w:val="16"/>
                <w:szCs w:val="18"/>
                <w:lang w:eastAsia="ko-KR"/>
              </w:rPr>
              <w:t>r1</w:t>
            </w:r>
            <w:r>
              <w:rPr>
                <w:bCs/>
                <w:sz w:val="16"/>
                <w:szCs w:val="18"/>
                <w:lang w:eastAsia="ko-KR"/>
              </w:rPr>
              <w:t xml:space="preserve"> under all headings that include CID 9683.</w:t>
            </w:r>
          </w:p>
        </w:tc>
      </w:tr>
      <w:tr w:rsidR="00FA52AD" w:rsidRPr="00F74EB9" w14:paraId="61BF31B4" w14:textId="77777777" w:rsidTr="00473F40">
        <w:trPr>
          <w:trHeight w:val="1002"/>
        </w:trPr>
        <w:tc>
          <w:tcPr>
            <w:tcW w:w="541" w:type="dxa"/>
          </w:tcPr>
          <w:p w14:paraId="7A5C4614" w14:textId="4B202923" w:rsidR="00FA52AD" w:rsidRPr="007D1D7C" w:rsidRDefault="00FA52AD" w:rsidP="00FA52AD">
            <w:pPr>
              <w:rPr>
                <w:sz w:val="16"/>
                <w:szCs w:val="16"/>
              </w:rPr>
            </w:pPr>
            <w:r w:rsidRPr="007D1D7C">
              <w:rPr>
                <w:sz w:val="16"/>
                <w:szCs w:val="16"/>
              </w:rPr>
              <w:t>10192</w:t>
            </w:r>
          </w:p>
        </w:tc>
        <w:tc>
          <w:tcPr>
            <w:tcW w:w="1080" w:type="dxa"/>
          </w:tcPr>
          <w:p w14:paraId="40F95424" w14:textId="2BD6FD08" w:rsidR="00FA52AD" w:rsidRPr="007D1D7C" w:rsidRDefault="00FA52AD" w:rsidP="00FA52AD">
            <w:pPr>
              <w:rPr>
                <w:sz w:val="16"/>
                <w:szCs w:val="16"/>
              </w:rPr>
            </w:pPr>
            <w:r w:rsidRPr="007D1D7C">
              <w:rPr>
                <w:sz w:val="16"/>
                <w:szCs w:val="16"/>
              </w:rPr>
              <w:t>Yusuke Asai</w:t>
            </w:r>
          </w:p>
        </w:tc>
        <w:tc>
          <w:tcPr>
            <w:tcW w:w="630" w:type="dxa"/>
          </w:tcPr>
          <w:p w14:paraId="381DD20E" w14:textId="71B5E329" w:rsidR="00FA52AD" w:rsidRPr="007D1D7C" w:rsidRDefault="00FA52AD" w:rsidP="00FA52AD">
            <w:pPr>
              <w:rPr>
                <w:sz w:val="16"/>
                <w:szCs w:val="16"/>
              </w:rPr>
            </w:pPr>
            <w:r w:rsidRPr="007D1D7C">
              <w:rPr>
                <w:sz w:val="16"/>
                <w:szCs w:val="16"/>
              </w:rPr>
              <w:t>145.22</w:t>
            </w:r>
          </w:p>
        </w:tc>
        <w:tc>
          <w:tcPr>
            <w:tcW w:w="990" w:type="dxa"/>
          </w:tcPr>
          <w:p w14:paraId="6B1028EB" w14:textId="69D89221" w:rsidR="00FA52AD" w:rsidRPr="007D1D7C" w:rsidRDefault="00FA52AD" w:rsidP="00FA52AD">
            <w:pPr>
              <w:rPr>
                <w:sz w:val="16"/>
                <w:szCs w:val="16"/>
              </w:rPr>
            </w:pPr>
            <w:r w:rsidRPr="007D1D7C">
              <w:rPr>
                <w:sz w:val="16"/>
                <w:szCs w:val="16"/>
              </w:rPr>
              <w:t>17.2.2.1</w:t>
            </w:r>
          </w:p>
        </w:tc>
        <w:tc>
          <w:tcPr>
            <w:tcW w:w="2875" w:type="dxa"/>
          </w:tcPr>
          <w:p w14:paraId="65FEA44C" w14:textId="346AEE1B" w:rsidR="00FA52AD" w:rsidRPr="007D1D7C" w:rsidRDefault="00FA52AD" w:rsidP="00FA52AD">
            <w:pPr>
              <w:rPr>
                <w:sz w:val="16"/>
                <w:szCs w:val="16"/>
              </w:rPr>
            </w:pPr>
            <w:r w:rsidRPr="007D1D7C">
              <w:rPr>
                <w:sz w:val="16"/>
                <w:szCs w:val="16"/>
              </w:rPr>
              <w:t>In Clause 17, a TXVECTOR parameter "TRIGGER_RESPONDING" and the corresponding requirement of pre-correction accuracy are defined. It is seemed that this TXVECTOR parameter is true when an STA respond to a trigger frame; however, there is no definition about it.</w:t>
            </w:r>
          </w:p>
        </w:tc>
        <w:tc>
          <w:tcPr>
            <w:tcW w:w="1613" w:type="dxa"/>
          </w:tcPr>
          <w:p w14:paraId="74F1EB39" w14:textId="053D4DCA" w:rsidR="00FA52AD" w:rsidRPr="007D1D7C" w:rsidRDefault="00FA52AD" w:rsidP="00FA52AD">
            <w:pPr>
              <w:rPr>
                <w:sz w:val="16"/>
                <w:szCs w:val="16"/>
              </w:rPr>
            </w:pPr>
            <w:r w:rsidRPr="007D1D7C">
              <w:rPr>
                <w:sz w:val="16"/>
                <w:szCs w:val="16"/>
              </w:rPr>
              <w:t>Clarify it and add some normative text.</w:t>
            </w:r>
          </w:p>
        </w:tc>
        <w:tc>
          <w:tcPr>
            <w:tcW w:w="3219" w:type="dxa"/>
          </w:tcPr>
          <w:p w14:paraId="653EAAA4"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30255076" w14:textId="77777777" w:rsidR="00FA52AD" w:rsidRDefault="00FA52AD" w:rsidP="00FA52AD">
            <w:pPr>
              <w:autoSpaceDE w:val="0"/>
              <w:autoSpaceDN w:val="0"/>
              <w:adjustRightInd w:val="0"/>
              <w:rPr>
                <w:rFonts w:ascii="Calibri" w:hAnsi="Calibri" w:cs="Arial"/>
                <w:sz w:val="16"/>
                <w:szCs w:val="16"/>
              </w:rPr>
            </w:pPr>
          </w:p>
          <w:p w14:paraId="228C9483"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062A30AC" w14:textId="77777777" w:rsidR="00FA52AD" w:rsidRDefault="00FA52AD" w:rsidP="00FA52AD">
            <w:pPr>
              <w:autoSpaceDE w:val="0"/>
              <w:autoSpaceDN w:val="0"/>
              <w:adjustRightInd w:val="0"/>
              <w:rPr>
                <w:rFonts w:ascii="Calibri" w:hAnsi="Calibri" w:cs="Arial"/>
                <w:sz w:val="16"/>
                <w:szCs w:val="16"/>
              </w:rPr>
            </w:pPr>
          </w:p>
          <w:p w14:paraId="7FD9CDF5" w14:textId="6767ECFE" w:rsidR="00FA52AD" w:rsidRDefault="00FA52AD" w:rsidP="00FA52AD">
            <w:pPr>
              <w:autoSpaceDE w:val="0"/>
              <w:autoSpaceDN w:val="0"/>
              <w:adjustRightInd w:val="0"/>
              <w:rPr>
                <w:rFonts w:ascii="Calibri" w:hAnsi="Calibri" w:cs="Arial"/>
                <w:sz w:val="16"/>
                <w:szCs w:val="16"/>
              </w:rPr>
            </w:pPr>
            <w:r>
              <w:rPr>
                <w:bCs/>
                <w:sz w:val="16"/>
                <w:szCs w:val="18"/>
                <w:lang w:eastAsia="ko-KR"/>
              </w:rPr>
              <w:t>TGax editor to make</w:t>
            </w:r>
            <w:r w:rsidR="006F5719">
              <w:rPr>
                <w:bCs/>
                <w:sz w:val="16"/>
                <w:szCs w:val="18"/>
                <w:lang w:eastAsia="ko-KR"/>
              </w:rPr>
              <w:t xml:space="preserve"> the changes shown in 11-17/0271</w:t>
            </w:r>
            <w:r w:rsidR="00467AAC">
              <w:rPr>
                <w:bCs/>
                <w:sz w:val="16"/>
                <w:szCs w:val="18"/>
                <w:lang w:eastAsia="ko-KR"/>
              </w:rPr>
              <w:t>r1</w:t>
            </w:r>
            <w:r>
              <w:rPr>
                <w:bCs/>
                <w:sz w:val="16"/>
                <w:szCs w:val="18"/>
                <w:lang w:eastAsia="ko-KR"/>
              </w:rPr>
              <w:t xml:space="preserve"> under all headings that include CID 9683.</w:t>
            </w:r>
          </w:p>
        </w:tc>
      </w:tr>
      <w:tr w:rsidR="007D1D7C" w:rsidRPr="00F74EB9" w14:paraId="21062B42" w14:textId="77777777" w:rsidTr="00473F40">
        <w:trPr>
          <w:trHeight w:val="1002"/>
        </w:trPr>
        <w:tc>
          <w:tcPr>
            <w:tcW w:w="541" w:type="dxa"/>
          </w:tcPr>
          <w:p w14:paraId="285727B1" w14:textId="3A83FF3C" w:rsidR="007D1D7C" w:rsidRPr="007D1D7C" w:rsidRDefault="007D1D7C" w:rsidP="007D1D7C">
            <w:pPr>
              <w:rPr>
                <w:sz w:val="16"/>
                <w:szCs w:val="16"/>
              </w:rPr>
            </w:pPr>
            <w:r w:rsidRPr="007D1D7C">
              <w:rPr>
                <w:sz w:val="16"/>
                <w:szCs w:val="16"/>
              </w:rPr>
              <w:t>7791</w:t>
            </w:r>
          </w:p>
        </w:tc>
        <w:tc>
          <w:tcPr>
            <w:tcW w:w="1080" w:type="dxa"/>
          </w:tcPr>
          <w:p w14:paraId="329A8958" w14:textId="17BA1B17" w:rsidR="007D1D7C" w:rsidRPr="007D1D7C" w:rsidRDefault="007D1D7C" w:rsidP="007D1D7C">
            <w:pPr>
              <w:rPr>
                <w:sz w:val="16"/>
                <w:szCs w:val="16"/>
              </w:rPr>
            </w:pPr>
            <w:r w:rsidRPr="007D1D7C">
              <w:rPr>
                <w:sz w:val="16"/>
                <w:szCs w:val="16"/>
              </w:rPr>
              <w:t>Mark Hamilton</w:t>
            </w:r>
          </w:p>
        </w:tc>
        <w:tc>
          <w:tcPr>
            <w:tcW w:w="630" w:type="dxa"/>
          </w:tcPr>
          <w:p w14:paraId="6D93B8DA" w14:textId="59ADF13C" w:rsidR="007D1D7C" w:rsidRPr="007D1D7C" w:rsidRDefault="007D1D7C" w:rsidP="007D1D7C">
            <w:pPr>
              <w:rPr>
                <w:sz w:val="16"/>
                <w:szCs w:val="16"/>
              </w:rPr>
            </w:pPr>
            <w:r w:rsidRPr="007D1D7C">
              <w:rPr>
                <w:sz w:val="16"/>
                <w:szCs w:val="16"/>
              </w:rPr>
              <w:t>145.64</w:t>
            </w:r>
          </w:p>
        </w:tc>
        <w:tc>
          <w:tcPr>
            <w:tcW w:w="990" w:type="dxa"/>
          </w:tcPr>
          <w:p w14:paraId="572772C3" w14:textId="010C6743" w:rsidR="007D1D7C" w:rsidRPr="007D1D7C" w:rsidRDefault="007D1D7C" w:rsidP="007D1D7C">
            <w:pPr>
              <w:rPr>
                <w:sz w:val="16"/>
                <w:szCs w:val="16"/>
              </w:rPr>
            </w:pPr>
            <w:r w:rsidRPr="007D1D7C">
              <w:rPr>
                <w:sz w:val="16"/>
                <w:szCs w:val="16"/>
              </w:rPr>
              <w:t>17.3.9.10</w:t>
            </w:r>
          </w:p>
        </w:tc>
        <w:tc>
          <w:tcPr>
            <w:tcW w:w="2875" w:type="dxa"/>
          </w:tcPr>
          <w:p w14:paraId="1F6A8E84" w14:textId="53E22E5C" w:rsidR="007D1D7C" w:rsidRPr="007D1D7C" w:rsidRDefault="007D1D7C" w:rsidP="007D1D7C">
            <w:pPr>
              <w:rPr>
                <w:sz w:val="16"/>
                <w:szCs w:val="16"/>
              </w:rPr>
            </w:pPr>
            <w:r w:rsidRPr="007D1D7C">
              <w:rPr>
                <w:sz w:val="16"/>
                <w:szCs w:val="16"/>
              </w:rPr>
              <w:t>This sentence should be a NOTE, as it is not adding normative requirements</w:t>
            </w:r>
          </w:p>
        </w:tc>
        <w:tc>
          <w:tcPr>
            <w:tcW w:w="1613" w:type="dxa"/>
          </w:tcPr>
          <w:p w14:paraId="55EA121A" w14:textId="27196208" w:rsidR="007D1D7C" w:rsidRPr="007D1D7C" w:rsidRDefault="007D1D7C" w:rsidP="007D1D7C">
            <w:pPr>
              <w:rPr>
                <w:sz w:val="16"/>
                <w:szCs w:val="16"/>
              </w:rPr>
            </w:pPr>
            <w:r w:rsidRPr="007D1D7C">
              <w:rPr>
                <w:sz w:val="16"/>
                <w:szCs w:val="16"/>
              </w:rPr>
              <w:t>Change the sentence starting "This requirement is the same ..." to be a NOTE.</w:t>
            </w:r>
          </w:p>
        </w:tc>
        <w:tc>
          <w:tcPr>
            <w:tcW w:w="3219" w:type="dxa"/>
          </w:tcPr>
          <w:p w14:paraId="52E8C86F" w14:textId="621A6678" w:rsidR="007D1D7C" w:rsidRDefault="00E31BCB" w:rsidP="007D1D7C">
            <w:pPr>
              <w:autoSpaceDE w:val="0"/>
              <w:autoSpaceDN w:val="0"/>
              <w:adjustRightInd w:val="0"/>
              <w:rPr>
                <w:rFonts w:ascii="Calibri" w:hAnsi="Calibri" w:cs="Arial"/>
                <w:sz w:val="16"/>
                <w:szCs w:val="16"/>
              </w:rPr>
            </w:pPr>
            <w:r>
              <w:rPr>
                <w:rFonts w:ascii="Calibri" w:hAnsi="Calibri" w:cs="Arial"/>
                <w:sz w:val="16"/>
                <w:szCs w:val="16"/>
              </w:rPr>
              <w:t xml:space="preserve">Revised </w:t>
            </w:r>
            <w:r w:rsidR="00343B75">
              <w:rPr>
                <w:rFonts w:ascii="Calibri" w:hAnsi="Calibri" w:cs="Arial"/>
                <w:sz w:val="16"/>
                <w:szCs w:val="16"/>
              </w:rPr>
              <w:t xml:space="preserve">– </w:t>
            </w:r>
          </w:p>
          <w:p w14:paraId="238D495D" w14:textId="77777777" w:rsidR="00343B75" w:rsidRDefault="00343B75" w:rsidP="007D1D7C">
            <w:pPr>
              <w:autoSpaceDE w:val="0"/>
              <w:autoSpaceDN w:val="0"/>
              <w:adjustRightInd w:val="0"/>
              <w:rPr>
                <w:rFonts w:ascii="Calibri" w:hAnsi="Calibri" w:cs="Arial"/>
                <w:sz w:val="16"/>
                <w:szCs w:val="16"/>
              </w:rPr>
            </w:pPr>
          </w:p>
          <w:p w14:paraId="44A1FFC7" w14:textId="32CC9909" w:rsidR="00343B75" w:rsidRDefault="00343B75" w:rsidP="007D1D7C">
            <w:pPr>
              <w:autoSpaceDE w:val="0"/>
              <w:autoSpaceDN w:val="0"/>
              <w:adjustRightInd w:val="0"/>
              <w:rPr>
                <w:rFonts w:ascii="Calibri" w:hAnsi="Calibri" w:cs="Arial"/>
                <w:sz w:val="16"/>
                <w:szCs w:val="16"/>
              </w:rPr>
            </w:pPr>
            <w:r>
              <w:rPr>
                <w:rFonts w:ascii="Calibri" w:hAnsi="Calibri" w:cs="Arial"/>
                <w:sz w:val="16"/>
                <w:szCs w:val="16"/>
              </w:rPr>
              <w:t xml:space="preserve">Agree </w:t>
            </w:r>
            <w:r w:rsidR="00E31BCB">
              <w:rPr>
                <w:rFonts w:ascii="Calibri" w:hAnsi="Calibri" w:cs="Arial"/>
                <w:sz w:val="16"/>
                <w:szCs w:val="16"/>
              </w:rPr>
              <w:t xml:space="preserve">in principle </w:t>
            </w:r>
            <w:r>
              <w:rPr>
                <w:rFonts w:ascii="Calibri" w:hAnsi="Calibri" w:cs="Arial"/>
                <w:sz w:val="16"/>
                <w:szCs w:val="16"/>
              </w:rPr>
              <w:t>with the commenter.</w:t>
            </w:r>
            <w:r w:rsidR="00E31BCB">
              <w:rPr>
                <w:rFonts w:ascii="Calibri" w:hAnsi="Calibri" w:cs="Arial"/>
                <w:sz w:val="16"/>
                <w:szCs w:val="16"/>
              </w:rPr>
              <w:t xml:space="preserve"> We change the sentence to the note. We also follow the revision in 11-17-0261 to use the same style of describing the requirement.</w:t>
            </w:r>
          </w:p>
          <w:p w14:paraId="0EE1A242" w14:textId="77777777" w:rsidR="00343B75" w:rsidRDefault="00343B75" w:rsidP="007D1D7C">
            <w:pPr>
              <w:autoSpaceDE w:val="0"/>
              <w:autoSpaceDN w:val="0"/>
              <w:adjustRightInd w:val="0"/>
              <w:rPr>
                <w:rFonts w:ascii="Calibri" w:hAnsi="Calibri" w:cs="Arial"/>
                <w:sz w:val="16"/>
                <w:szCs w:val="16"/>
              </w:rPr>
            </w:pPr>
          </w:p>
          <w:p w14:paraId="75C70F13" w14:textId="0CCF4DCB" w:rsidR="00343B75" w:rsidRDefault="00343B75" w:rsidP="00343B75">
            <w:pPr>
              <w:autoSpaceDE w:val="0"/>
              <w:autoSpaceDN w:val="0"/>
              <w:adjustRightInd w:val="0"/>
              <w:rPr>
                <w:rFonts w:ascii="Calibri" w:hAnsi="Calibri" w:cs="Arial"/>
                <w:sz w:val="16"/>
                <w:szCs w:val="16"/>
              </w:rPr>
            </w:pPr>
            <w:r>
              <w:rPr>
                <w:bCs/>
                <w:sz w:val="16"/>
                <w:szCs w:val="18"/>
                <w:lang w:eastAsia="ko-KR"/>
              </w:rPr>
              <w:t>TGax editor to make the changes shown in 11-17</w:t>
            </w:r>
            <w:r w:rsidR="006F5719">
              <w:rPr>
                <w:bCs/>
                <w:sz w:val="16"/>
                <w:szCs w:val="18"/>
                <w:lang w:eastAsia="ko-KR"/>
              </w:rPr>
              <w:t>/0271</w:t>
            </w:r>
            <w:r w:rsidR="00467AAC">
              <w:rPr>
                <w:bCs/>
                <w:sz w:val="16"/>
                <w:szCs w:val="18"/>
                <w:lang w:eastAsia="ko-KR"/>
              </w:rPr>
              <w:t>r1</w:t>
            </w:r>
            <w:r>
              <w:rPr>
                <w:bCs/>
                <w:sz w:val="16"/>
                <w:szCs w:val="18"/>
                <w:lang w:eastAsia="ko-KR"/>
              </w:rPr>
              <w:t xml:space="preserve"> under all headings that include CID 7791.</w:t>
            </w:r>
          </w:p>
          <w:p w14:paraId="0FC55979" w14:textId="1D32E5AE" w:rsidR="00343B75" w:rsidRPr="009A626B" w:rsidRDefault="00343B75" w:rsidP="007D1D7C">
            <w:pPr>
              <w:autoSpaceDE w:val="0"/>
              <w:autoSpaceDN w:val="0"/>
              <w:adjustRightInd w:val="0"/>
              <w:rPr>
                <w:rFonts w:ascii="Calibri" w:hAnsi="Calibri" w:cs="Arial"/>
                <w:sz w:val="16"/>
                <w:szCs w:val="16"/>
              </w:rPr>
            </w:pPr>
          </w:p>
        </w:tc>
      </w:tr>
      <w:tr w:rsidR="00FA52AD" w:rsidRPr="00F74EB9" w14:paraId="791A34BB" w14:textId="77777777" w:rsidTr="00473F40">
        <w:trPr>
          <w:trHeight w:val="1002"/>
        </w:trPr>
        <w:tc>
          <w:tcPr>
            <w:tcW w:w="541" w:type="dxa"/>
          </w:tcPr>
          <w:p w14:paraId="597107F4" w14:textId="15D19280" w:rsidR="00FA52AD" w:rsidRPr="007D1D7C" w:rsidRDefault="00FA52AD" w:rsidP="00FA52AD">
            <w:pPr>
              <w:rPr>
                <w:sz w:val="16"/>
                <w:szCs w:val="16"/>
              </w:rPr>
            </w:pPr>
            <w:r w:rsidRPr="007D1D7C">
              <w:rPr>
                <w:sz w:val="16"/>
                <w:szCs w:val="16"/>
              </w:rPr>
              <w:lastRenderedPageBreak/>
              <w:t>8691</w:t>
            </w:r>
          </w:p>
        </w:tc>
        <w:tc>
          <w:tcPr>
            <w:tcW w:w="1080" w:type="dxa"/>
          </w:tcPr>
          <w:p w14:paraId="604AF8B3" w14:textId="23EDF558" w:rsidR="00FA52AD" w:rsidRPr="007D1D7C" w:rsidRDefault="00FA52AD" w:rsidP="00FA52AD">
            <w:pPr>
              <w:rPr>
                <w:sz w:val="16"/>
                <w:szCs w:val="16"/>
              </w:rPr>
            </w:pPr>
            <w:r w:rsidRPr="007D1D7C">
              <w:rPr>
                <w:sz w:val="16"/>
                <w:szCs w:val="16"/>
              </w:rPr>
              <w:t>Sigurd Schelstraete</w:t>
            </w:r>
          </w:p>
        </w:tc>
        <w:tc>
          <w:tcPr>
            <w:tcW w:w="630" w:type="dxa"/>
          </w:tcPr>
          <w:p w14:paraId="3733E742" w14:textId="7AE9F753" w:rsidR="00FA52AD" w:rsidRPr="007D1D7C" w:rsidRDefault="00FA52AD" w:rsidP="00FA52AD">
            <w:pPr>
              <w:rPr>
                <w:sz w:val="16"/>
                <w:szCs w:val="16"/>
              </w:rPr>
            </w:pPr>
            <w:r w:rsidRPr="007D1D7C">
              <w:rPr>
                <w:sz w:val="16"/>
                <w:szCs w:val="16"/>
              </w:rPr>
              <w:t>145.53</w:t>
            </w:r>
          </w:p>
        </w:tc>
        <w:tc>
          <w:tcPr>
            <w:tcW w:w="990" w:type="dxa"/>
          </w:tcPr>
          <w:p w14:paraId="5D3BAEF5" w14:textId="7CC21A7E" w:rsidR="00FA52AD" w:rsidRPr="007D1D7C" w:rsidRDefault="00FA52AD" w:rsidP="00FA52AD">
            <w:pPr>
              <w:rPr>
                <w:sz w:val="16"/>
                <w:szCs w:val="16"/>
              </w:rPr>
            </w:pPr>
            <w:r w:rsidRPr="007D1D7C">
              <w:rPr>
                <w:sz w:val="16"/>
                <w:szCs w:val="16"/>
              </w:rPr>
              <w:t>17.2.2.1</w:t>
            </w:r>
          </w:p>
        </w:tc>
        <w:tc>
          <w:tcPr>
            <w:tcW w:w="2875" w:type="dxa"/>
          </w:tcPr>
          <w:p w14:paraId="55B3E0FE" w14:textId="3D7F50FB" w:rsidR="00FA52AD" w:rsidRPr="007D1D7C" w:rsidRDefault="00FA52AD" w:rsidP="00FA52AD">
            <w:pPr>
              <w:rPr>
                <w:sz w:val="16"/>
                <w:szCs w:val="16"/>
              </w:rPr>
            </w:pPr>
            <w:r w:rsidRPr="007D1D7C">
              <w:rPr>
                <w:sz w:val="16"/>
                <w:szCs w:val="16"/>
              </w:rPr>
              <w:t>"pre-compensate for carrier frequency offset (CFO) error and symbol clock error". Relative to what?</w:t>
            </w:r>
          </w:p>
        </w:tc>
        <w:tc>
          <w:tcPr>
            <w:tcW w:w="1613" w:type="dxa"/>
          </w:tcPr>
          <w:p w14:paraId="70CB5101" w14:textId="585274BD" w:rsidR="00FA52AD" w:rsidRPr="007D1D7C" w:rsidRDefault="00FA52AD" w:rsidP="00FA52AD">
            <w:pPr>
              <w:rPr>
                <w:sz w:val="16"/>
                <w:szCs w:val="16"/>
              </w:rPr>
            </w:pPr>
            <w:r w:rsidRPr="007D1D7C">
              <w:rPr>
                <w:sz w:val="16"/>
                <w:szCs w:val="16"/>
              </w:rPr>
              <w:t>Indicate that correction is done relative to the reference provided by the trigger frame.</w:t>
            </w:r>
          </w:p>
        </w:tc>
        <w:tc>
          <w:tcPr>
            <w:tcW w:w="3219" w:type="dxa"/>
          </w:tcPr>
          <w:p w14:paraId="0DAC8CB6" w14:textId="45FB9DCD"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D031440" w14:textId="77777777" w:rsidR="00FA52AD" w:rsidRDefault="00FA52AD" w:rsidP="00FA52AD">
            <w:pPr>
              <w:autoSpaceDE w:val="0"/>
              <w:autoSpaceDN w:val="0"/>
              <w:adjustRightInd w:val="0"/>
              <w:rPr>
                <w:rFonts w:ascii="Calibri" w:hAnsi="Calibri" w:cs="Arial"/>
                <w:sz w:val="16"/>
                <w:szCs w:val="16"/>
              </w:rPr>
            </w:pPr>
          </w:p>
          <w:p w14:paraId="1C2BCA56" w14:textId="4D5ACA63"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We add description to clarify that the compenstation is done relative to the PPDU carrying the soliciting MU-RTS Trigger frame.</w:t>
            </w:r>
          </w:p>
          <w:p w14:paraId="785DDCA3" w14:textId="77777777" w:rsidR="00FA52AD" w:rsidRDefault="00FA52AD" w:rsidP="00FA52AD">
            <w:pPr>
              <w:autoSpaceDE w:val="0"/>
              <w:autoSpaceDN w:val="0"/>
              <w:adjustRightInd w:val="0"/>
              <w:rPr>
                <w:rFonts w:ascii="TimesNewRomanPSMT" w:hAnsi="TimesNewRomanPSMT" w:hint="eastAsia"/>
                <w:color w:val="000000"/>
                <w:sz w:val="20"/>
              </w:rPr>
            </w:pPr>
          </w:p>
          <w:p w14:paraId="43E652AC" w14:textId="6C8BE4AC" w:rsidR="00FA52AD" w:rsidRDefault="00FA52AD" w:rsidP="00FA52AD">
            <w:pPr>
              <w:autoSpaceDE w:val="0"/>
              <w:autoSpaceDN w:val="0"/>
              <w:adjustRightInd w:val="0"/>
              <w:rPr>
                <w:rFonts w:ascii="Calibri" w:hAnsi="Calibri" w:cs="Arial"/>
                <w:sz w:val="16"/>
                <w:szCs w:val="16"/>
              </w:rPr>
            </w:pPr>
            <w:r>
              <w:rPr>
                <w:bCs/>
                <w:sz w:val="16"/>
                <w:szCs w:val="18"/>
                <w:lang w:eastAsia="ko-KR"/>
              </w:rPr>
              <w:t>TGax editor to make</w:t>
            </w:r>
            <w:r w:rsidR="006F5719">
              <w:rPr>
                <w:bCs/>
                <w:sz w:val="16"/>
                <w:szCs w:val="18"/>
                <w:lang w:eastAsia="ko-KR"/>
              </w:rPr>
              <w:t xml:space="preserve"> the changes shown in 11-17/0271</w:t>
            </w:r>
            <w:r w:rsidR="00467AAC">
              <w:rPr>
                <w:bCs/>
                <w:sz w:val="16"/>
                <w:szCs w:val="18"/>
                <w:lang w:eastAsia="ko-KR"/>
              </w:rPr>
              <w:t>r1</w:t>
            </w:r>
            <w:r>
              <w:rPr>
                <w:bCs/>
                <w:sz w:val="16"/>
                <w:szCs w:val="18"/>
                <w:lang w:eastAsia="ko-KR"/>
              </w:rPr>
              <w:t xml:space="preserve"> under all headings that include CID 8691.</w:t>
            </w:r>
          </w:p>
          <w:p w14:paraId="42EF804F" w14:textId="40FF58A4" w:rsidR="00FA52AD" w:rsidRDefault="00FA52AD" w:rsidP="00FA52AD">
            <w:pPr>
              <w:autoSpaceDE w:val="0"/>
              <w:autoSpaceDN w:val="0"/>
              <w:adjustRightInd w:val="0"/>
              <w:rPr>
                <w:rFonts w:ascii="Calibri" w:hAnsi="Calibri" w:cs="Arial"/>
                <w:sz w:val="16"/>
                <w:szCs w:val="16"/>
              </w:rPr>
            </w:pPr>
          </w:p>
        </w:tc>
      </w:tr>
      <w:tr w:rsidR="00406701" w:rsidRPr="00F74EB9" w14:paraId="4EC65358" w14:textId="77777777" w:rsidTr="00473F40">
        <w:trPr>
          <w:trHeight w:val="1002"/>
        </w:trPr>
        <w:tc>
          <w:tcPr>
            <w:tcW w:w="541" w:type="dxa"/>
          </w:tcPr>
          <w:p w14:paraId="25B9566D" w14:textId="508946B3" w:rsidR="00406701" w:rsidRPr="007D1D7C" w:rsidRDefault="00406701" w:rsidP="00406701">
            <w:pPr>
              <w:rPr>
                <w:sz w:val="16"/>
                <w:szCs w:val="16"/>
              </w:rPr>
            </w:pPr>
            <w:r w:rsidRPr="007D1D7C">
              <w:rPr>
                <w:sz w:val="16"/>
                <w:szCs w:val="16"/>
              </w:rPr>
              <w:t>7790</w:t>
            </w:r>
          </w:p>
        </w:tc>
        <w:tc>
          <w:tcPr>
            <w:tcW w:w="1080" w:type="dxa"/>
          </w:tcPr>
          <w:p w14:paraId="52355B87" w14:textId="3D6A12C6" w:rsidR="00406701" w:rsidRPr="007D1D7C" w:rsidRDefault="00406701" w:rsidP="00406701">
            <w:pPr>
              <w:rPr>
                <w:sz w:val="16"/>
                <w:szCs w:val="16"/>
              </w:rPr>
            </w:pPr>
            <w:r w:rsidRPr="007D1D7C">
              <w:rPr>
                <w:sz w:val="16"/>
                <w:szCs w:val="16"/>
              </w:rPr>
              <w:t>Mark Hamilton</w:t>
            </w:r>
          </w:p>
        </w:tc>
        <w:tc>
          <w:tcPr>
            <w:tcW w:w="630" w:type="dxa"/>
          </w:tcPr>
          <w:p w14:paraId="64053244" w14:textId="295F164A" w:rsidR="00406701" w:rsidRPr="007D1D7C" w:rsidRDefault="00406701" w:rsidP="00406701">
            <w:pPr>
              <w:rPr>
                <w:sz w:val="16"/>
                <w:szCs w:val="16"/>
              </w:rPr>
            </w:pPr>
            <w:r w:rsidRPr="007D1D7C">
              <w:rPr>
                <w:sz w:val="16"/>
                <w:szCs w:val="16"/>
              </w:rPr>
              <w:t>145.63</w:t>
            </w:r>
          </w:p>
        </w:tc>
        <w:tc>
          <w:tcPr>
            <w:tcW w:w="990" w:type="dxa"/>
          </w:tcPr>
          <w:p w14:paraId="36664DF2" w14:textId="3FE6DEFD" w:rsidR="00406701" w:rsidRPr="007D1D7C" w:rsidRDefault="00406701" w:rsidP="00406701">
            <w:pPr>
              <w:rPr>
                <w:sz w:val="16"/>
                <w:szCs w:val="16"/>
              </w:rPr>
            </w:pPr>
            <w:r w:rsidRPr="007D1D7C">
              <w:rPr>
                <w:sz w:val="16"/>
                <w:szCs w:val="16"/>
              </w:rPr>
              <w:t>17.3.9.10</w:t>
            </w:r>
          </w:p>
        </w:tc>
        <w:tc>
          <w:tcPr>
            <w:tcW w:w="2875" w:type="dxa"/>
          </w:tcPr>
          <w:p w14:paraId="0DC8FE54" w14:textId="17055C0A" w:rsidR="00406701" w:rsidRPr="007D1D7C" w:rsidRDefault="00406701" w:rsidP="00406701">
            <w:pPr>
              <w:rPr>
                <w:sz w:val="16"/>
                <w:szCs w:val="16"/>
              </w:rPr>
            </w:pPr>
            <w:r w:rsidRPr="007D1D7C">
              <w:rPr>
                <w:sz w:val="16"/>
                <w:szCs w:val="16"/>
              </w:rPr>
              <w:t>Confusing sentence.  Doesn't seem necessary.</w:t>
            </w:r>
          </w:p>
        </w:tc>
        <w:tc>
          <w:tcPr>
            <w:tcW w:w="1613" w:type="dxa"/>
          </w:tcPr>
          <w:p w14:paraId="72D1A5F1" w14:textId="43A8B417" w:rsidR="00406701" w:rsidRPr="007D1D7C" w:rsidRDefault="00406701" w:rsidP="00406701">
            <w:pPr>
              <w:rPr>
                <w:sz w:val="16"/>
                <w:szCs w:val="16"/>
              </w:rPr>
            </w:pPr>
            <w:r w:rsidRPr="007D1D7C">
              <w:rPr>
                <w:sz w:val="16"/>
                <w:szCs w:val="16"/>
              </w:rPr>
              <w:t>Delete the sentence "This requirement does not include round trip delay."</w:t>
            </w:r>
          </w:p>
        </w:tc>
        <w:tc>
          <w:tcPr>
            <w:tcW w:w="3219" w:type="dxa"/>
          </w:tcPr>
          <w:p w14:paraId="3A11A2A2"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Rejected –</w:t>
            </w:r>
          </w:p>
          <w:p w14:paraId="5198F73E" w14:textId="77777777" w:rsidR="00406701" w:rsidRDefault="00406701" w:rsidP="00406701">
            <w:pPr>
              <w:autoSpaceDE w:val="0"/>
              <w:autoSpaceDN w:val="0"/>
              <w:adjustRightInd w:val="0"/>
              <w:rPr>
                <w:rFonts w:ascii="Calibri" w:hAnsi="Calibri" w:cs="Arial"/>
                <w:sz w:val="16"/>
                <w:szCs w:val="16"/>
              </w:rPr>
            </w:pPr>
          </w:p>
          <w:p w14:paraId="7451EFEB"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the same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 because the timing requirement for responding MU-RTS follows the same timing requirement for responding to a basic variant Trigger frame. </w:t>
            </w:r>
          </w:p>
          <w:p w14:paraId="066E07E1" w14:textId="77777777" w:rsidR="00406701" w:rsidRDefault="00406701" w:rsidP="00406701">
            <w:pPr>
              <w:autoSpaceDE w:val="0"/>
              <w:autoSpaceDN w:val="0"/>
              <w:adjustRightInd w:val="0"/>
              <w:rPr>
                <w:rFonts w:ascii="Calibri" w:hAnsi="Calibri" w:cs="Arial"/>
                <w:sz w:val="16"/>
                <w:szCs w:val="16"/>
              </w:rPr>
            </w:pPr>
          </w:p>
          <w:p w14:paraId="4630FFCE" w14:textId="77777777" w:rsidR="00406701" w:rsidRDefault="00406701" w:rsidP="00406701">
            <w:pPr>
              <w:autoSpaceDE w:val="0"/>
              <w:autoSpaceDN w:val="0"/>
              <w:adjustRightInd w:val="0"/>
              <w:rPr>
                <w:rFonts w:ascii="Calibri" w:hAnsi="Calibri" w:cs="Arial"/>
                <w:i/>
                <w:sz w:val="16"/>
                <w:szCs w:val="16"/>
              </w:rPr>
            </w:pPr>
            <w:r w:rsidRPr="00343B75">
              <w:rPr>
                <w:rFonts w:ascii="Calibri" w:hAnsi="Calibri" w:cs="Arial"/>
                <w:i/>
                <w:sz w:val="16"/>
                <w:szCs w:val="16"/>
              </w:rPr>
              <w:t>A STA that transmits an HE trigger-based PPDU shall have timing accuracy of ±0.4 µs relative to the actual ending time of the PPDU carrying the Trigger frame. This requirement does not include round trip delay.</w:t>
            </w:r>
          </w:p>
          <w:p w14:paraId="60D25D19" w14:textId="77777777" w:rsidR="00406701" w:rsidRDefault="00406701" w:rsidP="00406701">
            <w:pPr>
              <w:autoSpaceDE w:val="0"/>
              <w:autoSpaceDN w:val="0"/>
              <w:adjustRightInd w:val="0"/>
              <w:rPr>
                <w:rFonts w:ascii="Calibri" w:hAnsi="Calibri" w:cs="Arial"/>
                <w:i/>
                <w:sz w:val="16"/>
                <w:szCs w:val="16"/>
              </w:rPr>
            </w:pPr>
          </w:p>
          <w:p w14:paraId="5B1E3AEC" w14:textId="7E3565CF" w:rsidR="00E31BCB" w:rsidRDefault="00406701" w:rsidP="00E31BCB">
            <w:pPr>
              <w:autoSpaceDE w:val="0"/>
              <w:autoSpaceDN w:val="0"/>
              <w:adjustRightInd w:val="0"/>
              <w:rPr>
                <w:rFonts w:ascii="Calibri" w:hAnsi="Calibri" w:cs="Arial"/>
                <w:sz w:val="16"/>
                <w:szCs w:val="16"/>
              </w:rPr>
            </w:pPr>
            <w:r>
              <w:rPr>
                <w:rFonts w:ascii="Calibri" w:hAnsi="Calibri" w:cs="Arial"/>
                <w:sz w:val="16"/>
                <w:szCs w:val="16"/>
              </w:rPr>
              <w:t xml:space="preserve">Further, </w:t>
            </w:r>
            <w:r w:rsidR="00E31BCB" w:rsidRPr="00E31BCB">
              <w:rPr>
                <w:rFonts w:ascii="Calibri" w:hAnsi="Calibri" w:cs="Arial"/>
                <w:sz w:val="16"/>
                <w:szCs w:val="16"/>
              </w:rPr>
              <w:t>this sentence is very important and provides guidance for testing.</w:t>
            </w:r>
            <w:r w:rsidR="00E31BCB">
              <w:rPr>
                <w:rFonts w:ascii="Calibri" w:hAnsi="Calibri" w:cs="Arial"/>
                <w:sz w:val="16"/>
                <w:szCs w:val="16"/>
              </w:rPr>
              <w:t xml:space="preserve"> </w:t>
            </w:r>
            <w:r w:rsidR="00E31BCB" w:rsidRPr="00E31BCB">
              <w:rPr>
                <w:rFonts w:ascii="Calibri" w:hAnsi="Calibri" w:cs="Arial"/>
                <w:sz w:val="16"/>
                <w:szCs w:val="16"/>
              </w:rPr>
              <w:t>If two STAs are located at very different distances from the AP then the trigger frame and the immediately following HE Trigger-based PPDU are off in timing due to round trip delay.</w:t>
            </w:r>
          </w:p>
          <w:p w14:paraId="31C754E4" w14:textId="77777777" w:rsidR="00E31BCB" w:rsidRDefault="00E31BCB" w:rsidP="00406701">
            <w:pPr>
              <w:autoSpaceDE w:val="0"/>
              <w:autoSpaceDN w:val="0"/>
              <w:adjustRightInd w:val="0"/>
              <w:rPr>
                <w:rFonts w:ascii="Calibri" w:hAnsi="Calibri" w:cs="Arial"/>
                <w:sz w:val="16"/>
                <w:szCs w:val="16"/>
              </w:rPr>
            </w:pPr>
          </w:p>
          <w:p w14:paraId="6FD80F0D" w14:textId="77777777" w:rsidR="00406701" w:rsidRDefault="00406701" w:rsidP="00406701">
            <w:pPr>
              <w:autoSpaceDE w:val="0"/>
              <w:autoSpaceDN w:val="0"/>
              <w:adjustRightInd w:val="0"/>
              <w:rPr>
                <w:rFonts w:ascii="Calibri" w:hAnsi="Calibri" w:cs="Arial"/>
                <w:sz w:val="16"/>
                <w:szCs w:val="16"/>
              </w:rPr>
            </w:pPr>
          </w:p>
        </w:tc>
      </w:tr>
      <w:tr w:rsidR="00FA52AD" w:rsidRPr="00F74EB9" w14:paraId="02540885" w14:textId="77777777" w:rsidTr="00473F40">
        <w:trPr>
          <w:trHeight w:val="1002"/>
        </w:trPr>
        <w:tc>
          <w:tcPr>
            <w:tcW w:w="541" w:type="dxa"/>
          </w:tcPr>
          <w:p w14:paraId="7F586303" w14:textId="0A681475" w:rsidR="00FA52AD" w:rsidRPr="007D1D7C" w:rsidRDefault="00FA52AD" w:rsidP="00FA52AD">
            <w:pPr>
              <w:rPr>
                <w:sz w:val="16"/>
                <w:szCs w:val="16"/>
              </w:rPr>
            </w:pPr>
            <w:r w:rsidRPr="007D1D7C">
              <w:rPr>
                <w:sz w:val="16"/>
                <w:szCs w:val="16"/>
              </w:rPr>
              <w:t>6569</w:t>
            </w:r>
          </w:p>
        </w:tc>
        <w:tc>
          <w:tcPr>
            <w:tcW w:w="1080" w:type="dxa"/>
          </w:tcPr>
          <w:p w14:paraId="7CDB72E8" w14:textId="3ADC9F3C" w:rsidR="00FA52AD" w:rsidRPr="007D1D7C" w:rsidRDefault="00FA52AD" w:rsidP="00FA52AD">
            <w:pPr>
              <w:rPr>
                <w:sz w:val="16"/>
                <w:szCs w:val="16"/>
              </w:rPr>
            </w:pPr>
            <w:r w:rsidRPr="007D1D7C">
              <w:rPr>
                <w:sz w:val="16"/>
                <w:szCs w:val="16"/>
              </w:rPr>
              <w:t>John Coffey</w:t>
            </w:r>
          </w:p>
        </w:tc>
        <w:tc>
          <w:tcPr>
            <w:tcW w:w="630" w:type="dxa"/>
          </w:tcPr>
          <w:p w14:paraId="09D42233" w14:textId="3CD5A01B" w:rsidR="00FA52AD" w:rsidRPr="007D1D7C" w:rsidRDefault="00FA52AD" w:rsidP="00FA52AD">
            <w:pPr>
              <w:rPr>
                <w:sz w:val="16"/>
                <w:szCs w:val="16"/>
              </w:rPr>
            </w:pPr>
            <w:r w:rsidRPr="007D1D7C">
              <w:rPr>
                <w:sz w:val="16"/>
                <w:szCs w:val="16"/>
              </w:rPr>
              <w:t>145.57</w:t>
            </w:r>
          </w:p>
        </w:tc>
        <w:tc>
          <w:tcPr>
            <w:tcW w:w="990" w:type="dxa"/>
          </w:tcPr>
          <w:p w14:paraId="2A30B201" w14:textId="6A6C0772" w:rsidR="00FA52AD" w:rsidRPr="007D1D7C" w:rsidRDefault="00FA52AD" w:rsidP="00FA52AD">
            <w:pPr>
              <w:rPr>
                <w:sz w:val="16"/>
                <w:szCs w:val="16"/>
              </w:rPr>
            </w:pPr>
            <w:r w:rsidRPr="007D1D7C">
              <w:rPr>
                <w:sz w:val="16"/>
                <w:szCs w:val="16"/>
              </w:rPr>
              <w:t>17.3.9.10</w:t>
            </w:r>
          </w:p>
        </w:tc>
        <w:tc>
          <w:tcPr>
            <w:tcW w:w="2875" w:type="dxa"/>
          </w:tcPr>
          <w:p w14:paraId="2929A209" w14:textId="4D667FDF" w:rsidR="00FA52AD" w:rsidRPr="007D1D7C" w:rsidRDefault="00FA52AD" w:rsidP="00FA52AD">
            <w:pPr>
              <w:rPr>
                <w:sz w:val="16"/>
                <w:szCs w:val="16"/>
              </w:rPr>
            </w:pPr>
            <w:r w:rsidRPr="007D1D7C">
              <w:rPr>
                <w:sz w:val="16"/>
                <w:szCs w:val="16"/>
              </w:rPr>
              <w:t>Incorrect statement of mandatory requirement: "The residual CFO error measurement shall be made on the". This is a mandatory statement about how a measurement is to be made on a device to verify whether that device is compliant or not; it's not a requirement on the device itself. The device itself doesn't have to make any measurements at all. Apparently what is intended is to clarify the meaning of the requirement on the device from the previous sentence. It would be better to say so explicitly.</w:t>
            </w:r>
          </w:p>
        </w:tc>
        <w:tc>
          <w:tcPr>
            <w:tcW w:w="1613" w:type="dxa"/>
          </w:tcPr>
          <w:p w14:paraId="3D3A0CA9" w14:textId="70447795" w:rsidR="00FA52AD" w:rsidRPr="007D1D7C" w:rsidRDefault="00FA52AD" w:rsidP="00FA52AD">
            <w:pPr>
              <w:rPr>
                <w:sz w:val="16"/>
                <w:szCs w:val="16"/>
              </w:rPr>
            </w:pPr>
            <w:r w:rsidRPr="007D1D7C">
              <w:rPr>
                <w:sz w:val="16"/>
                <w:szCs w:val="16"/>
              </w:rPr>
              <w:t>Reword to clarify that this text acts as part of the definition of the residual CFO error, and not as a requirement that any measurement has to be performed.</w:t>
            </w:r>
          </w:p>
        </w:tc>
        <w:tc>
          <w:tcPr>
            <w:tcW w:w="3219" w:type="dxa"/>
          </w:tcPr>
          <w:p w14:paraId="2B074E01" w14:textId="77777777" w:rsidR="00844136" w:rsidRDefault="00844136" w:rsidP="00844136">
            <w:pPr>
              <w:autoSpaceDE w:val="0"/>
              <w:autoSpaceDN w:val="0"/>
              <w:adjustRightInd w:val="0"/>
              <w:rPr>
                <w:rFonts w:ascii="Calibri" w:hAnsi="Calibri" w:cs="Arial"/>
                <w:sz w:val="16"/>
                <w:szCs w:val="16"/>
              </w:rPr>
            </w:pPr>
            <w:r>
              <w:rPr>
                <w:rFonts w:ascii="Calibri" w:hAnsi="Calibri" w:cs="Arial"/>
                <w:sz w:val="16"/>
                <w:szCs w:val="16"/>
              </w:rPr>
              <w:t>Rejected –</w:t>
            </w:r>
          </w:p>
          <w:p w14:paraId="52484BB6" w14:textId="77777777" w:rsidR="00FA52AD" w:rsidRDefault="00FA52AD" w:rsidP="00FA52AD">
            <w:pPr>
              <w:autoSpaceDE w:val="0"/>
              <w:autoSpaceDN w:val="0"/>
              <w:adjustRightInd w:val="0"/>
              <w:rPr>
                <w:rFonts w:ascii="Calibri" w:hAnsi="Calibri" w:cs="Arial"/>
                <w:sz w:val="16"/>
                <w:szCs w:val="16"/>
              </w:rPr>
            </w:pPr>
          </w:p>
          <w:p w14:paraId="5E8EB702" w14:textId="3B770CE5"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similar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w:t>
            </w:r>
          </w:p>
          <w:p w14:paraId="089BD37F" w14:textId="77777777" w:rsidR="00844136" w:rsidRDefault="00844136" w:rsidP="00FA52AD">
            <w:pPr>
              <w:autoSpaceDE w:val="0"/>
              <w:autoSpaceDN w:val="0"/>
              <w:adjustRightInd w:val="0"/>
              <w:rPr>
                <w:rFonts w:ascii="Calibri" w:hAnsi="Calibri" w:cs="Arial"/>
                <w:sz w:val="16"/>
                <w:szCs w:val="16"/>
              </w:rPr>
            </w:pPr>
          </w:p>
          <w:p w14:paraId="64989DB3" w14:textId="03DB3DA9" w:rsidR="00844136" w:rsidRPr="00844136" w:rsidRDefault="00844136" w:rsidP="00FA52AD">
            <w:pPr>
              <w:autoSpaceDE w:val="0"/>
              <w:autoSpaceDN w:val="0"/>
              <w:adjustRightInd w:val="0"/>
              <w:rPr>
                <w:rFonts w:ascii="Calibri" w:hAnsi="Calibri" w:cs="Arial"/>
                <w:i/>
                <w:sz w:val="16"/>
                <w:szCs w:val="16"/>
              </w:rPr>
            </w:pPr>
            <w:r w:rsidRPr="00844136">
              <w:rPr>
                <w:rFonts w:ascii="Calibri" w:hAnsi="Calibri" w:cs="Arial"/>
                <w:i/>
                <w:sz w:val="16"/>
                <w:szCs w:val="16"/>
              </w:rPr>
              <w:t>The residual CFO error measurement shall be made on the HE trigger-based PPDU following the HE-SIG-A field.</w:t>
            </w:r>
          </w:p>
          <w:p w14:paraId="0CD938A5" w14:textId="77777777" w:rsidR="00844136" w:rsidRDefault="00844136" w:rsidP="00FA52AD">
            <w:pPr>
              <w:autoSpaceDE w:val="0"/>
              <w:autoSpaceDN w:val="0"/>
              <w:adjustRightInd w:val="0"/>
              <w:rPr>
                <w:rFonts w:ascii="Calibri" w:hAnsi="Calibri" w:cs="Arial"/>
                <w:sz w:val="16"/>
                <w:szCs w:val="16"/>
              </w:rPr>
            </w:pPr>
          </w:p>
          <w:p w14:paraId="77047D9E" w14:textId="6336A441"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Further, without measurement, there is no way to know if the device follows the pre-correction requirement. Hence, the referred sentence is required.</w:t>
            </w:r>
          </w:p>
        </w:tc>
      </w:tr>
    </w:tbl>
    <w:p w14:paraId="23DC161F" w14:textId="5D0D5C3E"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2D635661" w14:textId="77777777" w:rsidR="00376F16" w:rsidRDefault="00376F16" w:rsidP="00376F16">
      <w:pPr>
        <w:rPr>
          <w:b/>
          <w:u w:val="single"/>
          <w:lang w:eastAsia="ko-KR"/>
        </w:rPr>
      </w:pPr>
      <w:r>
        <w:rPr>
          <w:b/>
          <w:u w:val="single"/>
        </w:rPr>
        <w:t>Propose</w:t>
      </w:r>
      <w:r>
        <w:rPr>
          <w:b/>
          <w:u w:val="single"/>
          <w:lang w:eastAsia="ko-KR"/>
        </w:rPr>
        <w:t>:</w:t>
      </w:r>
    </w:p>
    <w:p w14:paraId="3E156A5D" w14:textId="77777777" w:rsidR="000C5344" w:rsidRDefault="000C5344" w:rsidP="00376F16">
      <w:pPr>
        <w:rPr>
          <w:b/>
          <w:u w:val="single"/>
          <w:lang w:eastAsia="ko-KR"/>
        </w:rPr>
      </w:pPr>
    </w:p>
    <w:p w14:paraId="610E7820" w14:textId="540DC33D" w:rsidR="000C5344" w:rsidRDefault="000C5344" w:rsidP="000C5344">
      <w:pPr>
        <w:rPr>
          <w:lang w:eastAsia="ko-KR"/>
        </w:rPr>
      </w:pPr>
      <w:r>
        <w:rPr>
          <w:lang w:eastAsia="ko-KR"/>
        </w:rPr>
        <w:t>Revised for CID 9683 per discussion and ed</w:t>
      </w:r>
      <w:r w:rsidR="00AE6284">
        <w:rPr>
          <w:lang w:eastAsia="ko-KR"/>
        </w:rPr>
        <w:t>iting instructions in 11-17/0271</w:t>
      </w:r>
      <w:r w:rsidR="00467AAC">
        <w:rPr>
          <w:lang w:eastAsia="ko-KR"/>
        </w:rPr>
        <w:t>r1</w:t>
      </w:r>
      <w:r>
        <w:rPr>
          <w:lang w:eastAsia="ko-KR"/>
        </w:rPr>
        <w:t>.</w:t>
      </w:r>
    </w:p>
    <w:p w14:paraId="03235A8A" w14:textId="77777777" w:rsidR="000C5344" w:rsidRDefault="000C5344" w:rsidP="000C5344">
      <w:pPr>
        <w:rPr>
          <w:rFonts w:ascii="TimesNewRomanPSMT" w:hAnsi="TimesNewRomanPSMT" w:hint="eastAsia"/>
          <w:color w:val="000000"/>
          <w:sz w:val="20"/>
        </w:rPr>
      </w:pPr>
    </w:p>
    <w:p w14:paraId="7E551DB8" w14:textId="06FCD521" w:rsidR="000C5344" w:rsidRDefault="000C5344" w:rsidP="000C5344">
      <w:pPr>
        <w:rPr>
          <w:b/>
          <w:i/>
          <w:lang w:eastAsia="ko-KR"/>
        </w:rPr>
      </w:pPr>
      <w:r>
        <w:rPr>
          <w:b/>
          <w:i/>
          <w:lang w:eastAsia="ko-KR"/>
        </w:rPr>
        <w:t>TGax editor: Modify 17.2.2.1 and 17.2.2.6 as the following:</w:t>
      </w:r>
    </w:p>
    <w:p w14:paraId="72C740D1" w14:textId="77777777" w:rsidR="000C5344" w:rsidRDefault="000C5344" w:rsidP="00376F16">
      <w:pPr>
        <w:rPr>
          <w:b/>
          <w:u w:val="single"/>
          <w:lang w:eastAsia="ko-KR"/>
        </w:rPr>
      </w:pPr>
    </w:p>
    <w:p w14:paraId="39D34656" w14:textId="77777777" w:rsidR="000C5344" w:rsidRPr="00A75A7F" w:rsidRDefault="000C5344" w:rsidP="00376F16">
      <w:pPr>
        <w:rPr>
          <w:rFonts w:ascii="TimesNewRomanPS-BoldItalicMT" w:hAnsi="TimesNewRomanPS-BoldItalicMT" w:hint="eastAsia"/>
          <w:b/>
          <w:bCs/>
          <w:i/>
          <w:iCs/>
          <w:strike/>
          <w:color w:val="000000"/>
          <w:sz w:val="20"/>
        </w:rPr>
      </w:pPr>
      <w:r w:rsidRPr="00A75A7F">
        <w:rPr>
          <w:rFonts w:ascii="Arial-BoldMT" w:hAnsi="Arial-BoldMT"/>
          <w:b/>
          <w:bCs/>
          <w:strike/>
          <w:color w:val="000000"/>
          <w:sz w:val="20"/>
        </w:rPr>
        <w:t>17.2.2.1 General</w:t>
      </w:r>
      <w:r w:rsidRPr="00A75A7F">
        <w:rPr>
          <w:rFonts w:ascii="Arial-BoldMT" w:hAnsi="Arial-BoldMT"/>
          <w:b/>
          <w:bCs/>
          <w:strike/>
          <w:color w:val="000000"/>
          <w:sz w:val="20"/>
        </w:rPr>
        <w:br/>
      </w:r>
      <w:r w:rsidRPr="00A75A7F">
        <w:rPr>
          <w:rFonts w:ascii="TimesNewRomanPS-BoldItalicMT" w:hAnsi="TimesNewRomanPS-BoldItalicMT"/>
          <w:b/>
          <w:bCs/>
          <w:i/>
          <w:iCs/>
          <w:strike/>
          <w:color w:val="000000"/>
          <w:sz w:val="20"/>
        </w:rPr>
        <w:t>Insert a new last row into Table 17-1 (TXVECTOR parameters) as follows:</w:t>
      </w:r>
      <w:r w:rsidRPr="00A75A7F">
        <w:rPr>
          <w:rFonts w:ascii="TimesNewRomanPS-BoldItalicMT" w:hAnsi="TimesNewRomanPS-BoldItalicMT"/>
          <w:b/>
          <w:bCs/>
          <w:i/>
          <w:iCs/>
          <w:strike/>
          <w:color w:val="000000"/>
          <w:sz w:val="20"/>
        </w:rPr>
        <w:br/>
      </w:r>
    </w:p>
    <w:p w14:paraId="5EDF9F06" w14:textId="77777777" w:rsidR="000C5344" w:rsidRPr="000C5344" w:rsidRDefault="000C5344" w:rsidP="000C5344">
      <w:pPr>
        <w:rPr>
          <w:rFonts w:eastAsia="Times New Roman"/>
          <w:strike/>
          <w:sz w:val="24"/>
          <w:szCs w:val="24"/>
          <w:lang w:val="en-US" w:eastAsia="zh-TW"/>
        </w:rPr>
      </w:pPr>
      <w:r w:rsidRPr="00A75A7F">
        <w:rPr>
          <w:rFonts w:ascii="Arial-BoldMT" w:eastAsia="Times New Roman" w:hAnsi="Arial-BoldMT"/>
          <w:b/>
          <w:bCs/>
          <w:strike/>
          <w:color w:val="000000"/>
          <w:sz w:val="20"/>
          <w:lang w:val="en-US" w:eastAsia="zh-TW"/>
        </w:rPr>
        <w:t>Table 17-1—TXVECTOR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1"/>
        <w:gridCol w:w="2235"/>
        <w:gridCol w:w="4422"/>
      </w:tblGrid>
      <w:tr w:rsidR="000C5344" w:rsidRPr="000C5344" w14:paraId="436B97FD" w14:textId="77777777" w:rsidTr="000C5344">
        <w:trPr>
          <w:trHeight w:val="231"/>
        </w:trPr>
        <w:tc>
          <w:tcPr>
            <w:tcW w:w="2531" w:type="dxa"/>
            <w:tcBorders>
              <w:top w:val="single" w:sz="4" w:space="0" w:color="auto"/>
              <w:left w:val="single" w:sz="4" w:space="0" w:color="auto"/>
              <w:bottom w:val="single" w:sz="4" w:space="0" w:color="auto"/>
              <w:right w:val="single" w:sz="4" w:space="0" w:color="auto"/>
            </w:tcBorders>
            <w:vAlign w:val="center"/>
            <w:hideMark/>
          </w:tcPr>
          <w:p w14:paraId="43E48AE3"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Parameter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B0FAE9"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Associated primitive </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D968B51"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Value</w:t>
            </w:r>
          </w:p>
        </w:tc>
      </w:tr>
      <w:tr w:rsidR="000C5344" w:rsidRPr="000C5344" w14:paraId="0C57B4F3" w14:textId="77777777" w:rsidTr="000C5344">
        <w:trPr>
          <w:trHeight w:val="1517"/>
        </w:trPr>
        <w:tc>
          <w:tcPr>
            <w:tcW w:w="2531" w:type="dxa"/>
            <w:tcBorders>
              <w:top w:val="single" w:sz="4" w:space="0" w:color="auto"/>
              <w:left w:val="single" w:sz="4" w:space="0" w:color="auto"/>
              <w:bottom w:val="single" w:sz="4" w:space="0" w:color="auto"/>
              <w:right w:val="single" w:sz="4" w:space="0" w:color="auto"/>
            </w:tcBorders>
            <w:vAlign w:val="center"/>
            <w:hideMark/>
          </w:tcPr>
          <w:p w14:paraId="11B29E9A"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lastRenderedPageBreak/>
              <w:t xml:space="preserve">TRIGGER_RESPONDING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C7B3DAF"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PHY-TXSTART.request</w:t>
            </w:r>
            <w:r w:rsidRPr="000C5344">
              <w:rPr>
                <w:rFonts w:ascii="TimesNewRomanPSMT" w:eastAsia="Times New Roman" w:hAnsi="TimesNewRomanPSMT"/>
                <w:strike/>
                <w:color w:val="000000"/>
                <w:sz w:val="18"/>
                <w:szCs w:val="18"/>
                <w:lang w:val="en-US" w:eastAsia="zh-TW"/>
              </w:rPr>
              <w:br/>
            </w:r>
            <w:r w:rsidRPr="00A75A7F">
              <w:rPr>
                <w:rFonts w:ascii="TimesNewRomanPSMT" w:eastAsia="Times New Roman" w:hAnsi="TimesNewRomanPSMT"/>
                <w:strike/>
                <w:color w:val="000000"/>
                <w:sz w:val="18"/>
                <w:szCs w:val="18"/>
                <w:lang w:val="en-US" w:eastAsia="zh-TW"/>
              </w:rPr>
              <w:t>(TXVECTOR)</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EFA1DD7" w14:textId="08D4BC88" w:rsidR="000C5344" w:rsidRPr="000C5344" w:rsidRDefault="000C5344" w:rsidP="00A75A7F">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If present, false or true. </w:t>
            </w:r>
          </w:p>
        </w:tc>
      </w:tr>
    </w:tbl>
    <w:p w14:paraId="053BE74B" w14:textId="3C0D3FFD" w:rsidR="000C5344" w:rsidRPr="00A75A7F" w:rsidRDefault="000C5344" w:rsidP="00376F16">
      <w:pPr>
        <w:rPr>
          <w:rFonts w:ascii="TimesNewRomanPS-BoldItalicMT" w:hAnsi="TimesNewRomanPS-BoldItalicMT" w:hint="eastAsia"/>
          <w:b/>
          <w:bCs/>
          <w:i/>
          <w:iCs/>
          <w:strike/>
          <w:color w:val="000000"/>
          <w:sz w:val="20"/>
          <w:lang w:val="en-US"/>
        </w:rPr>
      </w:pPr>
    </w:p>
    <w:p w14:paraId="569E566A" w14:textId="71A13CA6" w:rsidR="000C5344" w:rsidRPr="00A75A7F" w:rsidRDefault="000C5344" w:rsidP="00376F16">
      <w:pPr>
        <w:rPr>
          <w:b/>
          <w:strike/>
          <w:u w:val="single"/>
          <w:lang w:eastAsia="ko-KR"/>
        </w:rPr>
      </w:pPr>
      <w:r w:rsidRPr="00A75A7F">
        <w:rPr>
          <w:rFonts w:ascii="TimesNewRomanPS-BoldItalicMT" w:hAnsi="TimesNewRomanPS-BoldItalicMT"/>
          <w:b/>
          <w:bCs/>
          <w:i/>
          <w:iCs/>
          <w:strike/>
          <w:color w:val="000000"/>
          <w:sz w:val="20"/>
        </w:rPr>
        <w:t>Insert a new subclause at the end of 17.2.2 as follows:</w:t>
      </w:r>
      <w:r w:rsidRPr="00A75A7F">
        <w:rPr>
          <w:rFonts w:ascii="TimesNewRomanPS-BoldItalicMT" w:hAnsi="TimesNewRomanPS-BoldItalicMT"/>
          <w:b/>
          <w:bCs/>
          <w:i/>
          <w:iCs/>
          <w:strike/>
          <w:color w:val="000000"/>
          <w:sz w:val="20"/>
        </w:rPr>
        <w:br/>
      </w:r>
      <w:r w:rsidRPr="00A75A7F">
        <w:rPr>
          <w:rFonts w:ascii="Arial-BoldMT" w:hAnsi="Arial-BoldMT"/>
          <w:b/>
          <w:bCs/>
          <w:strike/>
          <w:color w:val="000000"/>
          <w:sz w:val="20"/>
        </w:rPr>
        <w:t>17.2.2.6 TRIGGER_RESPONDING</w:t>
      </w:r>
      <w:r w:rsidRPr="00A75A7F">
        <w:rPr>
          <w:rFonts w:ascii="Arial-BoldMT" w:hAnsi="Arial-BoldMT"/>
          <w:b/>
          <w:bCs/>
          <w:strike/>
          <w:color w:val="000000"/>
          <w:sz w:val="20"/>
        </w:rPr>
        <w:br/>
      </w:r>
      <w:r w:rsidRPr="00A75A7F">
        <w:rPr>
          <w:rFonts w:ascii="TimesNewRomanPSMT" w:hAnsi="TimesNewRomanPSMT"/>
          <w:strike/>
          <w:color w:val="000000"/>
          <w:sz w:val="20"/>
        </w:rPr>
        <w:t>If present, the allowed values are false or true. A parameter value of true indicates that the MAC sublayer is</w:t>
      </w:r>
      <w:r w:rsidRPr="00A75A7F">
        <w:rPr>
          <w:rFonts w:ascii="TimesNewRomanPSMT" w:hAnsi="TimesNewRomanPSMT"/>
          <w:strike/>
          <w:color w:val="000000"/>
          <w:sz w:val="20"/>
        </w:rPr>
        <w:br/>
        <w:t>requesting that the PHY entity does synchronization as defined in 17.3.9.10 (Pre-correction accuracy</w:t>
      </w:r>
      <w:r w:rsidRPr="00A75A7F">
        <w:rPr>
          <w:rFonts w:ascii="TimesNewRomanPSMT" w:hAnsi="TimesNewRomanPSMT"/>
          <w:strike/>
          <w:color w:val="000000"/>
          <w:sz w:val="20"/>
        </w:rPr>
        <w:br/>
        <w:t>requirements). A parameter value of false indicates that the MAC sublayer is requesting that the PHY entity</w:t>
      </w:r>
      <w:r w:rsidRPr="00A75A7F">
        <w:rPr>
          <w:rFonts w:ascii="TimesNewRomanPSMT" w:hAnsi="TimesNewRomanPSMT"/>
          <w:strike/>
          <w:color w:val="000000"/>
          <w:sz w:val="20"/>
        </w:rPr>
        <w:br/>
        <w:t>does not do synchronization as defined in 17.3.9.10 (Pre-correction accuracy requirements).</w:t>
      </w:r>
      <w:r w:rsidR="00FA52AD">
        <w:rPr>
          <w:rFonts w:ascii="TimesNewRomanPSMT" w:hAnsi="TimesNewRomanPSMT"/>
          <w:strike/>
          <w:color w:val="000000"/>
          <w:sz w:val="20"/>
        </w:rPr>
        <w:t xml:space="preserve"> </w:t>
      </w:r>
      <w:r w:rsidR="00FA52AD" w:rsidRPr="00FA52AD">
        <w:rPr>
          <w:rFonts w:ascii="TimesNewRomanPSMT" w:hAnsi="TimesNewRomanPSMT"/>
          <w:color w:val="000000"/>
          <w:sz w:val="20"/>
        </w:rPr>
        <w:t>(#9683)</w:t>
      </w:r>
    </w:p>
    <w:p w14:paraId="1365F82D" w14:textId="77777777" w:rsidR="000C5344" w:rsidRDefault="000C5344" w:rsidP="00376F16">
      <w:pPr>
        <w:rPr>
          <w:b/>
          <w:u w:val="single"/>
          <w:lang w:eastAsia="ko-KR"/>
        </w:rPr>
      </w:pPr>
    </w:p>
    <w:p w14:paraId="49EE9DC1" w14:textId="0F665A9F" w:rsidR="000C5344" w:rsidRDefault="000C5344" w:rsidP="00376F16">
      <w:pPr>
        <w:rPr>
          <w:u w:val="single"/>
          <w:lang w:eastAsia="ko-KR"/>
        </w:rPr>
      </w:pPr>
      <w:r w:rsidRPr="000C5344">
        <w:rPr>
          <w:rFonts w:ascii="TimesNewRomanPS-BoldItalicMT" w:hAnsi="TimesNewRomanPS-BoldItalicMT"/>
          <w:b/>
          <w:bCs/>
          <w:i/>
          <w:iCs/>
          <w:color w:val="000000"/>
          <w:sz w:val="20"/>
        </w:rPr>
        <w:t>Ins</w:t>
      </w:r>
      <w:r>
        <w:rPr>
          <w:rFonts w:ascii="TimesNewRomanPS-BoldItalicMT" w:hAnsi="TimesNewRomanPS-BoldItalicMT"/>
          <w:b/>
          <w:bCs/>
          <w:i/>
          <w:iCs/>
          <w:color w:val="000000"/>
          <w:sz w:val="20"/>
        </w:rPr>
        <w:t>ert a new last row into Table 28</w:t>
      </w:r>
      <w:r w:rsidRPr="000C5344">
        <w:rPr>
          <w:rFonts w:ascii="TimesNewRomanPS-BoldItalicMT" w:hAnsi="TimesNewRomanPS-BoldItalicMT"/>
          <w:b/>
          <w:bCs/>
          <w:i/>
          <w:iCs/>
          <w:color w:val="000000"/>
          <w:sz w:val="20"/>
        </w:rPr>
        <w:t>-1 (</w:t>
      </w:r>
      <w:r w:rsidR="00A75A7F" w:rsidRPr="00A75A7F">
        <w:rPr>
          <w:rFonts w:ascii="TimesNewRomanPS-BoldItalicMT" w:hAnsi="TimesNewRomanPS-BoldItalicMT"/>
          <w:b/>
          <w:bCs/>
          <w:i/>
          <w:iCs/>
          <w:color w:val="000000"/>
          <w:sz w:val="20"/>
        </w:rPr>
        <w:t>TXVECTOR and RXVECTOR parameters</w:t>
      </w:r>
      <w:r w:rsidRPr="000C5344">
        <w:rPr>
          <w:rFonts w:ascii="TimesNewRomanPS-BoldItalicMT" w:hAnsi="TimesNewRomanPS-BoldItalicMT"/>
          <w:b/>
          <w:bCs/>
          <w:i/>
          <w:iCs/>
          <w:color w:val="000000"/>
          <w:sz w:val="20"/>
        </w:rPr>
        <w:t>) as follows:</w:t>
      </w:r>
      <w:r w:rsidRPr="000C5344">
        <w:rPr>
          <w:rFonts w:ascii="TimesNewRomanPS-BoldItalicMT" w:hAnsi="TimesNewRomanPS-BoldItalicMT"/>
          <w:b/>
          <w:bCs/>
          <w:i/>
          <w:iCs/>
          <w:color w:val="000000"/>
          <w:sz w:val="20"/>
        </w:rPr>
        <w:br/>
      </w:r>
    </w:p>
    <w:p w14:paraId="0348650B" w14:textId="77777777" w:rsidR="000C5344" w:rsidRDefault="000C5344" w:rsidP="00376F16">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0"/>
        <w:gridCol w:w="3170"/>
        <w:gridCol w:w="3170"/>
        <w:gridCol w:w="346"/>
        <w:gridCol w:w="346"/>
      </w:tblGrid>
      <w:tr w:rsidR="00A75A7F" w:rsidRPr="000C5344" w14:paraId="3B0AB1C2" w14:textId="77777777" w:rsidTr="00076B21">
        <w:trPr>
          <w:cantSplit/>
          <w:trHeight w:val="1134"/>
        </w:trPr>
        <w:tc>
          <w:tcPr>
            <w:tcW w:w="1600" w:type="dxa"/>
            <w:vMerge w:val="restart"/>
            <w:tcBorders>
              <w:top w:val="single" w:sz="4" w:space="0" w:color="auto"/>
              <w:left w:val="single" w:sz="4" w:space="0" w:color="auto"/>
              <w:right w:val="single" w:sz="4" w:space="0" w:color="auto"/>
            </w:tcBorders>
            <w:textDirection w:val="btLr"/>
            <w:vAlign w:val="center"/>
            <w:hideMark/>
          </w:tcPr>
          <w:p w14:paraId="1C5D6413" w14:textId="6F1C9538" w:rsidR="00A75A7F" w:rsidRPr="000C5344" w:rsidRDefault="00A75A7F" w:rsidP="00A75A7F">
            <w:pPr>
              <w:ind w:left="113" w:right="113"/>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TRIGGER_RESPONDING</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5D4E39A" w14:textId="4BD0CED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FORMAT is NON_HT</w:t>
            </w:r>
          </w:p>
        </w:tc>
        <w:tc>
          <w:tcPr>
            <w:tcW w:w="3170" w:type="dxa"/>
            <w:tcBorders>
              <w:top w:val="single" w:sz="4" w:space="0" w:color="auto"/>
              <w:left w:val="single" w:sz="4" w:space="0" w:color="auto"/>
              <w:bottom w:val="single" w:sz="4" w:space="0" w:color="auto"/>
              <w:right w:val="single" w:sz="4" w:space="0" w:color="auto"/>
            </w:tcBorders>
            <w:vAlign w:val="center"/>
            <w:hideMark/>
          </w:tcPr>
          <w:p w14:paraId="30B4A7CD" w14:textId="1E43F5CD" w:rsidR="00A75A7F" w:rsidRPr="00A75A7F" w:rsidRDefault="00A75A7F" w:rsidP="000C5344">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Bo</w:t>
            </w:r>
            <w:r w:rsidR="00954C2E">
              <w:rPr>
                <w:rFonts w:ascii="TimesNewRomanPSMT" w:eastAsia="Times New Roman" w:hAnsi="TimesNewRomanPSMT"/>
                <w:color w:val="000000"/>
                <w:sz w:val="18"/>
                <w:szCs w:val="18"/>
                <w:u w:val="single"/>
                <w:lang w:val="en-US" w:eastAsia="zh-TW"/>
              </w:rPr>
              <w:t>o</w:t>
            </w:r>
            <w:r w:rsidRPr="00A75A7F">
              <w:rPr>
                <w:rFonts w:ascii="TimesNewRomanPSMT" w:eastAsia="Times New Roman" w:hAnsi="TimesNewRomanPSMT"/>
                <w:color w:val="000000"/>
                <w:sz w:val="18"/>
                <w:szCs w:val="18"/>
                <w:u w:val="single"/>
                <w:lang w:val="en-US" w:eastAsia="zh-TW"/>
              </w:rPr>
              <w:t>lean value:</w:t>
            </w:r>
          </w:p>
          <w:p w14:paraId="07217106" w14:textId="286E3CEC" w:rsidR="00A75A7F" w:rsidRPr="00A75A7F" w:rsidRDefault="00954C2E" w:rsidP="000C5344">
            <w:pPr>
              <w:rPr>
                <w:rFonts w:ascii="TimesNewRomanPSMT" w:eastAsia="Times New Roman" w:hAnsi="TimesNewRomanPSMT"/>
                <w:color w:val="000000"/>
                <w:sz w:val="18"/>
                <w:szCs w:val="18"/>
                <w:u w:val="single"/>
                <w:lang w:val="en-US" w:eastAsia="zh-TW"/>
              </w:rPr>
            </w:pP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True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w:t>
            </w:r>
            <w:r w:rsidR="00467AAC">
              <w:rPr>
                <w:rFonts w:ascii="TimesNewRomanPSMT" w:eastAsia="Times New Roman" w:hAnsi="TimesNewRomanPSMT"/>
                <w:color w:val="000000"/>
                <w:sz w:val="18"/>
                <w:szCs w:val="18"/>
                <w:u w:val="single"/>
                <w:lang w:val="en-US" w:eastAsia="zh-TW"/>
              </w:rPr>
              <w:t xml:space="preserve"> </w:t>
            </w:r>
            <w:r w:rsidR="00A75A7F" w:rsidRPr="00A75A7F">
              <w:rPr>
                <w:rFonts w:ascii="TimesNewRomanPSMT" w:eastAsia="Times New Roman" w:hAnsi="TimesNewRomanPSMT"/>
                <w:color w:val="000000"/>
                <w:sz w:val="18"/>
                <w:szCs w:val="18"/>
                <w:u w:val="single"/>
                <w:lang w:val="en-US" w:eastAsia="zh-TW"/>
              </w:rPr>
              <w:t>requests that the PHY entity does synchronization as defined in 17.3.9.10</w:t>
            </w:r>
            <w:r w:rsidR="00A75A7F" w:rsidRPr="000C5344">
              <w:rPr>
                <w:rFonts w:ascii="TimesNewRomanPSMT" w:eastAsia="Times New Roman" w:hAnsi="TimesNewRomanPSMT"/>
                <w:color w:val="000000"/>
                <w:sz w:val="18"/>
                <w:szCs w:val="18"/>
                <w:u w:val="single"/>
                <w:lang w:val="en-US" w:eastAsia="zh-TW"/>
              </w:rPr>
              <w:br/>
            </w:r>
            <w:r w:rsidR="00A75A7F" w:rsidRPr="00A75A7F">
              <w:rPr>
                <w:rFonts w:ascii="TimesNewRomanPSMT" w:eastAsia="Times New Roman" w:hAnsi="TimesNewRomanPSMT"/>
                <w:color w:val="000000"/>
                <w:sz w:val="18"/>
                <w:szCs w:val="18"/>
                <w:u w:val="single"/>
                <w:lang w:val="en-US" w:eastAsia="zh-TW"/>
              </w:rPr>
              <w:t xml:space="preserve">(Pre-correction accuracy requirements). </w:t>
            </w: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False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 requests that the PHY entity does not have to do synchronization as defined in 17.3.9.10 (Pre-correction accuracy requirements).</w:t>
            </w:r>
          </w:p>
          <w:p w14:paraId="0B395B31" w14:textId="77777777" w:rsidR="00A75A7F" w:rsidRPr="00A75A7F" w:rsidRDefault="00A75A7F" w:rsidP="000C5344">
            <w:pPr>
              <w:rPr>
                <w:rFonts w:ascii="TimesNewRomanPSMT" w:eastAsia="Times New Roman" w:hAnsi="TimesNewRomanPSMT"/>
                <w:color w:val="000000"/>
                <w:sz w:val="18"/>
                <w:szCs w:val="18"/>
                <w:u w:val="single"/>
                <w:lang w:val="en-US" w:eastAsia="zh-TW"/>
              </w:rPr>
            </w:pPr>
          </w:p>
          <w:p w14:paraId="1AA24523" w14:textId="5E43080F" w:rsidR="00A75A7F" w:rsidRPr="00A75A7F" w:rsidRDefault="00A75A7F" w:rsidP="00A75A7F">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Set to true if the non-HT or non-HT duplicate PPDU is sent in response to an MU-RTS Trigger frame.</w:t>
            </w:r>
          </w:p>
          <w:p w14:paraId="132C555A" w14:textId="2CE341A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Set to false otherwise.</w:t>
            </w:r>
          </w:p>
        </w:tc>
        <w:tc>
          <w:tcPr>
            <w:tcW w:w="346" w:type="dxa"/>
            <w:tcBorders>
              <w:top w:val="single" w:sz="4" w:space="0" w:color="auto"/>
              <w:left w:val="single" w:sz="4" w:space="0" w:color="auto"/>
              <w:bottom w:val="single" w:sz="4" w:space="0" w:color="auto"/>
              <w:right w:val="single" w:sz="4" w:space="0" w:color="auto"/>
            </w:tcBorders>
            <w:vAlign w:val="center"/>
            <w:hideMark/>
          </w:tcPr>
          <w:p w14:paraId="26D31F56" w14:textId="77777777"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Y </w:t>
            </w:r>
          </w:p>
        </w:tc>
        <w:tc>
          <w:tcPr>
            <w:tcW w:w="346" w:type="dxa"/>
            <w:tcBorders>
              <w:top w:val="single" w:sz="4" w:space="0" w:color="auto"/>
              <w:left w:val="single" w:sz="4" w:space="0" w:color="auto"/>
              <w:bottom w:val="single" w:sz="4" w:space="0" w:color="auto"/>
              <w:right w:val="single" w:sz="4" w:space="0" w:color="auto"/>
            </w:tcBorders>
            <w:vAlign w:val="center"/>
            <w:hideMark/>
          </w:tcPr>
          <w:p w14:paraId="0C65DE38" w14:textId="13691156"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N</w:t>
            </w:r>
          </w:p>
        </w:tc>
      </w:tr>
      <w:tr w:rsidR="00A75A7F" w:rsidRPr="000C5344" w14:paraId="266DC2C7" w14:textId="77777777" w:rsidTr="00A75A7F">
        <w:tc>
          <w:tcPr>
            <w:tcW w:w="1600" w:type="dxa"/>
            <w:vMerge/>
            <w:tcBorders>
              <w:left w:val="single" w:sz="4" w:space="0" w:color="auto"/>
              <w:bottom w:val="single" w:sz="4" w:space="0" w:color="auto"/>
              <w:right w:val="single" w:sz="4" w:space="0" w:color="auto"/>
            </w:tcBorders>
            <w:vAlign w:val="center"/>
          </w:tcPr>
          <w:p w14:paraId="245227C9" w14:textId="28F99E44" w:rsidR="00A75A7F" w:rsidRPr="000C5344" w:rsidRDefault="00A75A7F" w:rsidP="00A75A7F">
            <w:pPr>
              <w:rPr>
                <w:rFonts w:eastAsia="Times New Roman"/>
                <w:sz w:val="24"/>
                <w:szCs w:val="24"/>
                <w:u w:val="single"/>
                <w:lang w:val="en-US" w:eastAsia="zh-TW"/>
              </w:rPr>
            </w:pPr>
          </w:p>
        </w:tc>
        <w:tc>
          <w:tcPr>
            <w:tcW w:w="3170" w:type="dxa"/>
            <w:tcBorders>
              <w:top w:val="single" w:sz="4" w:space="0" w:color="auto"/>
              <w:left w:val="single" w:sz="4" w:space="0" w:color="auto"/>
              <w:bottom w:val="single" w:sz="4" w:space="0" w:color="auto"/>
              <w:right w:val="single" w:sz="4" w:space="0" w:color="auto"/>
            </w:tcBorders>
            <w:vAlign w:val="center"/>
          </w:tcPr>
          <w:p w14:paraId="7ECD085B" w14:textId="1F451946"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Otherwise </w:t>
            </w:r>
          </w:p>
        </w:tc>
        <w:tc>
          <w:tcPr>
            <w:tcW w:w="3170" w:type="dxa"/>
            <w:tcBorders>
              <w:top w:val="single" w:sz="4" w:space="0" w:color="auto"/>
              <w:left w:val="single" w:sz="4" w:space="0" w:color="auto"/>
              <w:bottom w:val="single" w:sz="4" w:space="0" w:color="auto"/>
              <w:right w:val="single" w:sz="4" w:space="0" w:color="auto"/>
            </w:tcBorders>
            <w:vAlign w:val="center"/>
          </w:tcPr>
          <w:p w14:paraId="1AC6900F" w14:textId="38E7482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Not present </w:t>
            </w:r>
          </w:p>
        </w:tc>
        <w:tc>
          <w:tcPr>
            <w:tcW w:w="346" w:type="dxa"/>
            <w:tcBorders>
              <w:top w:val="single" w:sz="4" w:space="0" w:color="auto"/>
              <w:left w:val="single" w:sz="4" w:space="0" w:color="auto"/>
              <w:bottom w:val="single" w:sz="4" w:space="0" w:color="auto"/>
              <w:right w:val="single" w:sz="4" w:space="0" w:color="auto"/>
            </w:tcBorders>
            <w:vAlign w:val="center"/>
          </w:tcPr>
          <w:p w14:paraId="4E9152CF" w14:textId="1BC7E31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 </w:t>
            </w:r>
          </w:p>
        </w:tc>
        <w:tc>
          <w:tcPr>
            <w:tcW w:w="0" w:type="auto"/>
            <w:vAlign w:val="center"/>
            <w:hideMark/>
          </w:tcPr>
          <w:p w14:paraId="3822B45A" w14:textId="5E5F20C0" w:rsidR="00A75A7F" w:rsidRPr="000C5344" w:rsidRDefault="00A75A7F" w:rsidP="00A75A7F">
            <w:pPr>
              <w:rPr>
                <w:rFonts w:eastAsia="Times New Roman"/>
                <w:sz w:val="20"/>
                <w:u w:val="single"/>
                <w:lang w:val="en-US" w:eastAsia="zh-TW"/>
              </w:rPr>
            </w:pPr>
            <w:r w:rsidRPr="00A75A7F">
              <w:rPr>
                <w:rFonts w:ascii="TimesNewRomanPSMT" w:eastAsia="Times New Roman" w:hAnsi="TimesNewRomanPSMT"/>
                <w:color w:val="000000"/>
                <w:sz w:val="18"/>
                <w:szCs w:val="18"/>
                <w:u w:val="single"/>
                <w:lang w:val="en-US" w:eastAsia="zh-TW"/>
              </w:rPr>
              <w:t>N</w:t>
            </w:r>
          </w:p>
        </w:tc>
      </w:tr>
    </w:tbl>
    <w:p w14:paraId="0B58F665" w14:textId="61BA02CC" w:rsidR="000C5344" w:rsidRDefault="000C5344" w:rsidP="00376F16">
      <w:pPr>
        <w:rPr>
          <w:lang w:eastAsia="ko-KR"/>
        </w:rPr>
      </w:pPr>
      <w:r w:rsidRPr="000C5344">
        <w:rPr>
          <w:rFonts w:eastAsia="Times New Roman"/>
          <w:sz w:val="24"/>
          <w:szCs w:val="24"/>
          <w:lang w:val="en-US" w:eastAsia="zh-TW"/>
        </w:rPr>
        <w:br/>
      </w:r>
      <w:r w:rsidR="00FA52AD" w:rsidRPr="00FA52AD">
        <w:rPr>
          <w:rFonts w:ascii="TimesNewRomanPSMT" w:hAnsi="TimesNewRomanPSMT"/>
          <w:color w:val="000000"/>
          <w:sz w:val="20"/>
        </w:rPr>
        <w:t>(#9683)</w:t>
      </w:r>
    </w:p>
    <w:p w14:paraId="6EF1384A" w14:textId="77777777" w:rsidR="000C5344" w:rsidRDefault="000C5344" w:rsidP="00376F16">
      <w:pPr>
        <w:rPr>
          <w:lang w:eastAsia="ko-KR"/>
        </w:rPr>
      </w:pPr>
    </w:p>
    <w:p w14:paraId="56F59011" w14:textId="5CB3B974" w:rsidR="00376F16" w:rsidRDefault="00376F16" w:rsidP="00376F16">
      <w:pPr>
        <w:rPr>
          <w:lang w:eastAsia="ko-KR"/>
        </w:rPr>
      </w:pPr>
      <w:r>
        <w:rPr>
          <w:lang w:eastAsia="ko-KR"/>
        </w:rPr>
        <w:t xml:space="preserve">Revised for </w:t>
      </w:r>
      <w:r w:rsidR="001202D2">
        <w:rPr>
          <w:lang w:eastAsia="ko-KR"/>
        </w:rPr>
        <w:t xml:space="preserve">CID </w:t>
      </w:r>
      <w:r w:rsidR="000C5344">
        <w:rPr>
          <w:lang w:eastAsia="ko-KR"/>
        </w:rPr>
        <w:t>7791</w:t>
      </w:r>
      <w:r w:rsidR="00FA52AD">
        <w:rPr>
          <w:lang w:eastAsia="ko-KR"/>
        </w:rPr>
        <w:t>, CID 8691</w:t>
      </w:r>
      <w:r w:rsidR="000C5344">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AE6284">
        <w:rPr>
          <w:lang w:eastAsia="ko-KR"/>
        </w:rPr>
        <w:t>0271</w:t>
      </w:r>
      <w:r w:rsidR="00467AAC">
        <w:rPr>
          <w:lang w:eastAsia="ko-KR"/>
        </w:rPr>
        <w:t>r1</w:t>
      </w:r>
      <w:r>
        <w:rPr>
          <w:lang w:eastAsia="ko-KR"/>
        </w:rPr>
        <w:t>.</w:t>
      </w:r>
    </w:p>
    <w:p w14:paraId="56A02E20" w14:textId="77777777" w:rsidR="00376F16" w:rsidRDefault="00376F16" w:rsidP="00376F16">
      <w:pPr>
        <w:rPr>
          <w:rFonts w:ascii="TimesNewRomanPSMT" w:hAnsi="TimesNewRomanPSMT" w:hint="eastAsia"/>
          <w:color w:val="000000"/>
          <w:sz w:val="20"/>
        </w:rPr>
      </w:pPr>
    </w:p>
    <w:p w14:paraId="65C782C2" w14:textId="0E37132A" w:rsidR="0066149B" w:rsidRDefault="0066149B" w:rsidP="0066149B">
      <w:pPr>
        <w:rPr>
          <w:b/>
          <w:i/>
          <w:lang w:eastAsia="ko-KR"/>
        </w:rPr>
      </w:pPr>
      <w:r>
        <w:rPr>
          <w:b/>
          <w:i/>
          <w:lang w:eastAsia="ko-KR"/>
        </w:rPr>
        <w:t>TGax edito</w:t>
      </w:r>
      <w:r w:rsidR="00D112B5">
        <w:rPr>
          <w:b/>
          <w:i/>
          <w:lang w:eastAsia="ko-KR"/>
        </w:rPr>
        <w:t xml:space="preserve">r: </w:t>
      </w:r>
      <w:r w:rsidR="001202D2">
        <w:rPr>
          <w:b/>
          <w:i/>
          <w:lang w:eastAsia="ko-KR"/>
        </w:rPr>
        <w:t xml:space="preserve">Modify </w:t>
      </w:r>
      <w:r w:rsidR="00343B75">
        <w:rPr>
          <w:b/>
          <w:i/>
          <w:lang w:eastAsia="ko-KR"/>
        </w:rPr>
        <w:t>17.3.9.10</w:t>
      </w:r>
      <w:r w:rsidR="001202D2">
        <w:rPr>
          <w:b/>
          <w:i/>
          <w:lang w:eastAsia="ko-KR"/>
        </w:rPr>
        <w:t xml:space="preserve"> as the following:</w:t>
      </w:r>
    </w:p>
    <w:p w14:paraId="22F7D0D7" w14:textId="77777777" w:rsidR="001202D2" w:rsidRDefault="001202D2" w:rsidP="0066149B">
      <w:pPr>
        <w:rPr>
          <w:b/>
          <w:i/>
          <w:lang w:eastAsia="ko-KR"/>
        </w:rPr>
      </w:pPr>
    </w:p>
    <w:p w14:paraId="6900EBFB" w14:textId="564E8B54" w:rsidR="00343B75" w:rsidRDefault="00343B75" w:rsidP="0066149B">
      <w:pPr>
        <w:rPr>
          <w:rFonts w:ascii="TimesNewRomanPSMT" w:hAnsi="TimesNewRomanPSMT" w:hint="eastAsia"/>
          <w:color w:val="000000"/>
          <w:sz w:val="20"/>
        </w:rPr>
      </w:pPr>
      <w:r w:rsidRPr="00343B75">
        <w:rPr>
          <w:rFonts w:ascii="Arial-BoldMT" w:hAnsi="Arial-BoldMT"/>
          <w:b/>
          <w:bCs/>
          <w:color w:val="000000"/>
          <w:sz w:val="20"/>
        </w:rPr>
        <w:t>17.3.9.10 Pre-correction accuracy requirements</w:t>
      </w:r>
      <w:r w:rsidRPr="00343B75">
        <w:rPr>
          <w:rFonts w:ascii="Arial-BoldMT" w:hAnsi="Arial-BoldMT"/>
          <w:b/>
          <w:bCs/>
          <w:color w:val="000000"/>
          <w:sz w:val="20"/>
        </w:rPr>
        <w:br/>
      </w:r>
      <w:r w:rsidRPr="00343B75">
        <w:rPr>
          <w:rFonts w:ascii="TimesNewRomanPSMT" w:hAnsi="TimesNewRomanPSMT"/>
          <w:color w:val="000000"/>
          <w:sz w:val="20"/>
        </w:rPr>
        <w:t xml:space="preserve">A STA that transmits a </w:t>
      </w:r>
      <w:r w:rsidR="00954C2E" w:rsidRPr="00467AAC">
        <w:rPr>
          <w:rFonts w:ascii="TimesNewRomanPSMT" w:hAnsi="TimesNewRomanPSMT"/>
          <w:color w:val="000000"/>
          <w:sz w:val="20"/>
          <w:u w:val="single"/>
        </w:rPr>
        <w:t>non-HT or non-HT duplicate</w:t>
      </w:r>
      <w:r w:rsidR="00467AAC" w:rsidRPr="00FA52AD">
        <w:rPr>
          <w:rFonts w:ascii="TimesNewRomanPSMT" w:hAnsi="TimesNewRomanPSMT"/>
          <w:color w:val="000000"/>
          <w:sz w:val="20"/>
        </w:rPr>
        <w:t xml:space="preserve">(#8691) </w:t>
      </w:r>
      <w:r w:rsidRPr="00343B75">
        <w:rPr>
          <w:rFonts w:ascii="TimesNewRomanPSMT" w:hAnsi="TimesNewRomanPSMT"/>
          <w:color w:val="000000"/>
          <w:sz w:val="20"/>
        </w:rPr>
        <w:t>PPDU where the TXVECTOR parameter TRIGGER_RESPONDING</w:t>
      </w:r>
      <w:r w:rsidR="00467AAC">
        <w:rPr>
          <w:rFonts w:ascii="TimesNewRomanPSMT" w:hAnsi="TimesNewRomanPSMT"/>
          <w:color w:val="000000"/>
          <w:sz w:val="20"/>
        </w:rPr>
        <w:t xml:space="preserve"> is true shall </w:t>
      </w:r>
      <w:r w:rsidRPr="00343B75">
        <w:rPr>
          <w:rFonts w:ascii="TimesNewRomanPSMT" w:hAnsi="TimesNewRomanPSMT"/>
          <w:color w:val="000000"/>
          <w:sz w:val="20"/>
        </w:rPr>
        <w:t>pre-compensate for carrier frequency offset (CFO) error and symbol clock error</w:t>
      </w:r>
      <w:r w:rsidR="00FA52AD">
        <w:rPr>
          <w:rFonts w:ascii="TimesNewRomanPSMT" w:hAnsi="TimesNewRomanPSMT"/>
          <w:color w:val="000000"/>
          <w:sz w:val="20"/>
        </w:rPr>
        <w:t xml:space="preserve"> </w:t>
      </w:r>
      <w:r w:rsidR="00FA52AD" w:rsidRPr="00FA52AD">
        <w:rPr>
          <w:rFonts w:ascii="TimesNewRomanPSMT" w:hAnsi="TimesNewRomanPSMT"/>
          <w:color w:val="000000"/>
          <w:sz w:val="20"/>
          <w:u w:val="single"/>
        </w:rPr>
        <w:t>with r</w:t>
      </w:r>
      <w:r w:rsidR="00FA52AD" w:rsidRPr="00467AAC">
        <w:rPr>
          <w:rFonts w:ascii="TimesNewRomanPSMT" w:hAnsi="TimesNewRomanPSMT"/>
          <w:color w:val="000000"/>
          <w:sz w:val="20"/>
          <w:u w:val="single"/>
        </w:rPr>
        <w:t xml:space="preserve">espect to the </w:t>
      </w:r>
      <w:r w:rsidR="00954C2E" w:rsidRPr="00467AAC">
        <w:rPr>
          <w:rFonts w:ascii="TimesNewRomanPSMT" w:hAnsi="TimesNewRomanPSMT"/>
          <w:color w:val="000000"/>
          <w:sz w:val="20"/>
          <w:u w:val="single"/>
        </w:rPr>
        <w:t xml:space="preserve">non-HT or non-HT duplicate </w:t>
      </w:r>
      <w:r w:rsidR="00FA52AD" w:rsidRPr="00FA52AD">
        <w:rPr>
          <w:rFonts w:ascii="TimesNewRomanPSMT" w:hAnsi="TimesNewRomanPSMT"/>
          <w:color w:val="000000"/>
          <w:sz w:val="20"/>
          <w:u w:val="single"/>
        </w:rPr>
        <w:t xml:space="preserve">PPDU </w:t>
      </w:r>
      <w:r w:rsidR="00954C2E">
        <w:rPr>
          <w:rFonts w:ascii="TimesNewRomanPSMT" w:hAnsi="TimesNewRomanPSMT"/>
          <w:color w:val="000000"/>
          <w:sz w:val="20"/>
          <w:u w:val="single"/>
        </w:rPr>
        <w:t xml:space="preserve">that </w:t>
      </w:r>
      <w:r w:rsidR="00FA52AD" w:rsidRPr="00FA52AD">
        <w:rPr>
          <w:rFonts w:ascii="TimesNewRomanPSMT" w:hAnsi="TimesNewRomanPSMT"/>
          <w:color w:val="000000"/>
          <w:sz w:val="20"/>
          <w:u w:val="single"/>
        </w:rPr>
        <w:t>carr</w:t>
      </w:r>
      <w:r w:rsidR="00954C2E">
        <w:rPr>
          <w:rFonts w:ascii="TimesNewRomanPSMT" w:hAnsi="TimesNewRomanPSMT"/>
          <w:color w:val="000000"/>
          <w:sz w:val="20"/>
          <w:u w:val="single"/>
        </w:rPr>
        <w:t>ies</w:t>
      </w:r>
      <w:r w:rsidR="00FA52AD" w:rsidRPr="00FA52AD">
        <w:rPr>
          <w:rFonts w:ascii="TimesNewRomanPSMT" w:hAnsi="TimesNewRomanPSMT"/>
          <w:color w:val="000000"/>
          <w:sz w:val="20"/>
          <w:u w:val="single"/>
        </w:rPr>
        <w:t xml:space="preserve"> the </w:t>
      </w:r>
      <w:r w:rsidR="00FA52AD" w:rsidRPr="00FA52AD">
        <w:rPr>
          <w:rFonts w:ascii="TimesNewRomanPSMT" w:hAnsi="TimesNewRomanPSMT"/>
          <w:color w:val="000000"/>
          <w:sz w:val="20"/>
          <w:u w:val="single"/>
        </w:rPr>
        <w:t xml:space="preserve">soliciting MU-RTS </w:t>
      </w:r>
      <w:r w:rsidR="00467AAC">
        <w:rPr>
          <w:rFonts w:ascii="TimesNewRomanPSMT" w:hAnsi="TimesNewRomanPSMT"/>
          <w:color w:val="000000"/>
          <w:sz w:val="20"/>
          <w:u w:val="single"/>
        </w:rPr>
        <w:t xml:space="preserve">Trigger </w:t>
      </w:r>
      <w:r w:rsidR="00FA52AD" w:rsidRPr="00FA52AD">
        <w:rPr>
          <w:rFonts w:ascii="TimesNewRomanPSMT" w:hAnsi="TimesNewRomanPSMT"/>
          <w:color w:val="000000"/>
          <w:sz w:val="20"/>
          <w:u w:val="single"/>
        </w:rPr>
        <w:t>frame</w:t>
      </w:r>
      <w:r w:rsidRPr="00FA52AD">
        <w:rPr>
          <w:rFonts w:ascii="TimesNewRomanPSMT" w:hAnsi="TimesNewRomanPSMT"/>
          <w:color w:val="000000"/>
          <w:sz w:val="20"/>
          <w:u w:val="single"/>
        </w:rPr>
        <w:t>.</w:t>
      </w:r>
      <w:r w:rsidR="00FA52AD" w:rsidRPr="00FA52AD">
        <w:rPr>
          <w:rFonts w:ascii="TimesNewRomanPSMT" w:hAnsi="TimesNewRomanPSMT"/>
          <w:color w:val="000000"/>
          <w:sz w:val="20"/>
        </w:rPr>
        <w:t>(#8691)</w:t>
      </w:r>
      <w:r w:rsidRPr="00FA52AD">
        <w:rPr>
          <w:rFonts w:ascii="TimesNewRomanPSMT" w:hAnsi="TimesNewRomanPSMT"/>
          <w:color w:val="000000"/>
          <w:sz w:val="20"/>
        </w:rPr>
        <w:t xml:space="preserve"> </w:t>
      </w:r>
      <w:r w:rsidRPr="00343B75">
        <w:rPr>
          <w:rFonts w:ascii="TimesNewRomanPSMT" w:hAnsi="TimesNewRomanPSMT"/>
          <w:color w:val="000000"/>
          <w:sz w:val="20"/>
        </w:rPr>
        <w:t>After compensation, the</w:t>
      </w:r>
      <w:r w:rsidR="00FA52AD">
        <w:rPr>
          <w:rFonts w:ascii="TimesNewRomanPSMT" w:hAnsi="TimesNewRomanPSMT"/>
          <w:color w:val="000000"/>
          <w:sz w:val="20"/>
        </w:rPr>
        <w:t xml:space="preserve"> </w:t>
      </w:r>
      <w:r w:rsidRPr="00343B75">
        <w:rPr>
          <w:rFonts w:ascii="TimesNewRomanPSMT" w:hAnsi="TimesNewRomanPSMT"/>
          <w:color w:val="000000"/>
          <w:sz w:val="20"/>
        </w:rPr>
        <w:t xml:space="preserve">absolute value of residual CFO error with respect to the PPDU carrying the soliciting MU-RTS </w:t>
      </w:r>
      <w:r w:rsidR="00FA52AD">
        <w:rPr>
          <w:rFonts w:ascii="TimesNewRomanPSMT" w:hAnsi="TimesNewRomanPSMT"/>
          <w:color w:val="000000"/>
          <w:sz w:val="20"/>
          <w:u w:val="single"/>
        </w:rPr>
        <w:t>Trigger</w:t>
      </w:r>
      <w:r w:rsidR="00FA52AD" w:rsidRPr="00FA52AD">
        <w:rPr>
          <w:rFonts w:ascii="TimesNewRomanPSMT" w:hAnsi="TimesNewRomanPSMT"/>
          <w:color w:val="000000"/>
          <w:sz w:val="20"/>
        </w:rPr>
        <w:t xml:space="preserve">(#8691) </w:t>
      </w:r>
      <w:r w:rsidRPr="00343B75">
        <w:rPr>
          <w:rFonts w:ascii="TimesNewRomanPSMT" w:hAnsi="TimesNewRomanPSMT"/>
          <w:color w:val="000000"/>
          <w:sz w:val="20"/>
        </w:rPr>
        <w:t>frame shall</w:t>
      </w:r>
      <w:r w:rsidR="00FA52AD">
        <w:rPr>
          <w:rFonts w:ascii="TimesNewRomanPSMT" w:hAnsi="TimesNewRomanPSMT"/>
          <w:color w:val="000000"/>
          <w:sz w:val="20"/>
        </w:rPr>
        <w:t xml:space="preserve"> </w:t>
      </w:r>
      <w:r w:rsidRPr="00343B75">
        <w:rPr>
          <w:rFonts w:ascii="TimesNewRomanPSMT" w:hAnsi="TimesNewRomanPSMT"/>
          <w:color w:val="000000"/>
          <w:sz w:val="20"/>
        </w:rPr>
        <w:t>not exceed 2 kHz when measured as the 10% point of</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complementary cumulative distribution function</w:t>
      </w:r>
      <w:r w:rsidR="00467AAC">
        <w:rPr>
          <w:rFonts w:ascii="TimesNewRomanPSMT" w:hAnsi="TimesNewRomanPSMT"/>
          <w:color w:val="000000"/>
          <w:sz w:val="20"/>
        </w:rPr>
        <w:t xml:space="preserve"> </w:t>
      </w:r>
      <w:r w:rsidR="00E31BCB" w:rsidRPr="00E31BCB">
        <w:rPr>
          <w:rFonts w:ascii="TimesNewRomanPSMT" w:hAnsi="TimesNewRomanPSMT"/>
          <w:color w:val="000000"/>
          <w:sz w:val="20"/>
          <w:u w:val="single"/>
        </w:rPr>
        <w:t>(</w:t>
      </w:r>
      <w:r w:rsidRPr="00343B75">
        <w:rPr>
          <w:rFonts w:ascii="TimesNewRomanPSMT" w:hAnsi="TimesNewRomanPSMT"/>
          <w:color w:val="000000"/>
          <w:sz w:val="20"/>
        </w:rPr>
        <w:t>CCDF</w:t>
      </w:r>
      <w:r w:rsidR="00E31BCB" w:rsidRPr="00E31BCB">
        <w:rPr>
          <w:rFonts w:ascii="TimesNewRomanPSMT" w:hAnsi="TimesNewRomanPSMT"/>
          <w:color w:val="000000"/>
          <w:sz w:val="20"/>
          <w:u w:val="single"/>
        </w:rPr>
        <w:t>)</w:t>
      </w:r>
      <w:r w:rsidR="00E31BCB" w:rsidRPr="00343B75">
        <w:rPr>
          <w:rFonts w:ascii="TimesNewRomanPSMT" w:hAnsi="TimesNewRomanPSMT"/>
          <w:color w:val="000000"/>
          <w:sz w:val="20"/>
        </w:rPr>
        <w:t>(#7791)</w:t>
      </w:r>
      <w:r w:rsidRPr="00343B75">
        <w:rPr>
          <w:rFonts w:ascii="TimesNewRomanPSMT" w:hAnsi="TimesNewRomanPSMT"/>
          <w:color w:val="000000"/>
          <w:sz w:val="20"/>
        </w:rPr>
        <w:t xml:space="preserve"> of CFO errors in AWGN at a received power of</w:t>
      </w:r>
      <w:r w:rsidR="00FA52AD">
        <w:rPr>
          <w:rFonts w:ascii="TimesNewRomanPSMT" w:hAnsi="TimesNewRomanPSMT"/>
          <w:color w:val="000000"/>
          <w:sz w:val="20"/>
        </w:rPr>
        <w:t xml:space="preserve"> </w:t>
      </w:r>
      <w:r w:rsidRPr="00343B75">
        <w:rPr>
          <w:rFonts w:ascii="SymbolMT" w:hAnsi="SymbolMT"/>
          <w:color w:val="000000"/>
          <w:sz w:val="20"/>
        </w:rPr>
        <w:sym w:font="Symbol" w:char="F02D"/>
      </w:r>
      <w:r w:rsidRPr="00343B75">
        <w:rPr>
          <w:rFonts w:ascii="TimesNewRomanPSMT" w:hAnsi="TimesNewRomanPSMT"/>
          <w:color w:val="000000"/>
          <w:sz w:val="20"/>
        </w:rPr>
        <w:t>60 dBm in the primary 20 MHz. The residual CFO error measurement shall be made on the non-HT PPDU</w:t>
      </w:r>
      <w:r w:rsidR="00FA52AD">
        <w:rPr>
          <w:rFonts w:ascii="TimesNewRomanPSMT" w:hAnsi="TimesNewRomanPSMT"/>
          <w:color w:val="000000"/>
          <w:sz w:val="20"/>
        </w:rPr>
        <w:t xml:space="preserve"> </w:t>
      </w:r>
      <w:r w:rsidRPr="00343B75">
        <w:rPr>
          <w:rFonts w:ascii="TimesNewRomanPSMT" w:hAnsi="TimesNewRomanPSMT"/>
          <w:color w:val="000000"/>
          <w:sz w:val="20"/>
        </w:rPr>
        <w:t>or non-HT duplicate PPDU following the L-STF field. The symbol clock error shall be pre-compensated by</w:t>
      </w:r>
      <w:r w:rsidR="00FA52AD">
        <w:rPr>
          <w:rFonts w:ascii="TimesNewRomanPSMT" w:hAnsi="TimesNewRomanPSMT"/>
          <w:color w:val="000000"/>
          <w:sz w:val="20"/>
        </w:rPr>
        <w:t xml:space="preserve"> </w:t>
      </w:r>
      <w:r w:rsidRPr="00343B75">
        <w:rPr>
          <w:rFonts w:ascii="TimesNewRomanPSMT" w:hAnsi="TimesNewRomanPSMT"/>
          <w:color w:val="000000"/>
          <w:sz w:val="20"/>
        </w:rPr>
        <w:t>the same ppm amount as CFO error.</w:t>
      </w:r>
      <w:r w:rsidRPr="00343B75">
        <w:rPr>
          <w:rFonts w:ascii="TimesNewRomanPSMT" w:hAnsi="TimesNewRomanPSMT"/>
          <w:color w:val="000000"/>
          <w:sz w:val="20"/>
        </w:rPr>
        <w:br/>
      </w:r>
    </w:p>
    <w:p w14:paraId="71E6DC37" w14:textId="033B080B" w:rsidR="00343B75" w:rsidRPr="00343B75" w:rsidRDefault="00343B75" w:rsidP="0066149B">
      <w:pPr>
        <w:rPr>
          <w:rFonts w:ascii="TimesNewRomanPSMT" w:hAnsi="TimesNewRomanPSMT" w:hint="eastAsia"/>
          <w:strike/>
          <w:color w:val="000000"/>
          <w:sz w:val="20"/>
        </w:rPr>
      </w:pPr>
      <w:r w:rsidRPr="00343B75">
        <w:rPr>
          <w:rFonts w:ascii="TimesNewRomanPSMT" w:hAnsi="TimesNewRomanPSMT"/>
          <w:color w:val="000000"/>
          <w:sz w:val="20"/>
        </w:rPr>
        <w:t>A STA that transmits an non-HT or non-HT duplicate PPDU where the TXVECTOR parameter</w:t>
      </w:r>
      <w:r w:rsidRPr="00343B75">
        <w:rPr>
          <w:rFonts w:ascii="TimesNewRomanPSMT" w:hAnsi="TimesNewRomanPSMT"/>
          <w:color w:val="000000"/>
          <w:sz w:val="20"/>
        </w:rPr>
        <w:br/>
        <w:t xml:space="preserve">TRIGGER_RESPONDING is true shall have timing accuracy of ±0.4 µs relative to the </w:t>
      </w:r>
      <w:r w:rsidR="00E31BCB">
        <w:rPr>
          <w:rFonts w:ascii="TimesNewRomanPSMT" w:hAnsi="TimesNewRomanPSMT"/>
          <w:color w:val="000000"/>
          <w:sz w:val="20"/>
          <w:u w:val="single"/>
        </w:rPr>
        <w:t>last sample</w:t>
      </w:r>
      <w:r w:rsidRPr="00E31BCB">
        <w:rPr>
          <w:rFonts w:ascii="TimesNewRomanPSMT" w:hAnsi="TimesNewRomanPSMT"/>
          <w:strike/>
          <w:color w:val="000000"/>
          <w:sz w:val="20"/>
        </w:rPr>
        <w:t>actual ending time</w:t>
      </w:r>
      <w:r w:rsidR="00E31BCB" w:rsidRPr="00E31BCB">
        <w:rPr>
          <w:rFonts w:ascii="TimesNewRomanPSMT" w:hAnsi="TimesNewRomanPSMT"/>
          <w:color w:val="000000"/>
          <w:sz w:val="20"/>
        </w:rPr>
        <w:t>(#7791)</w:t>
      </w:r>
      <w:r w:rsidR="00E31BCB">
        <w:rPr>
          <w:rFonts w:ascii="TimesNewRomanPSMT" w:hAnsi="TimesNewRomanPSMT"/>
          <w:color w:val="000000"/>
          <w:sz w:val="20"/>
        </w:rPr>
        <w:t xml:space="preserve"> </w:t>
      </w:r>
      <w:r w:rsidRPr="00343B75">
        <w:rPr>
          <w:rFonts w:ascii="TimesNewRomanPSMT" w:hAnsi="TimesNewRomanPSMT"/>
          <w:color w:val="000000"/>
          <w:sz w:val="20"/>
        </w:rPr>
        <w:t xml:space="preserve">of the PPDU carrying the MU-RTS </w:t>
      </w:r>
      <w:r w:rsidR="00954C2E" w:rsidRPr="00467AAC">
        <w:rPr>
          <w:rFonts w:ascii="TimesNewRomanPSMT" w:hAnsi="TimesNewRomanPSMT"/>
          <w:color w:val="000000"/>
          <w:sz w:val="20"/>
          <w:u w:val="single"/>
        </w:rPr>
        <w:t xml:space="preserve">Trigger </w:t>
      </w:r>
      <w:r w:rsidRPr="00343B75">
        <w:rPr>
          <w:rFonts w:ascii="TimesNewRomanPSMT" w:hAnsi="TimesNewRomanPSMT"/>
          <w:color w:val="000000"/>
          <w:sz w:val="20"/>
        </w:rPr>
        <w:t>frame</w:t>
      </w:r>
      <w:r w:rsidR="00467AAC">
        <w:rPr>
          <w:rFonts w:ascii="TimesNewRomanPSMT" w:hAnsi="TimesNewRomanPSMT"/>
          <w:color w:val="000000"/>
          <w:sz w:val="20"/>
        </w:rPr>
        <w:t>(#8691</w:t>
      </w:r>
      <w:r w:rsidR="00467AAC" w:rsidRPr="00343B75">
        <w:rPr>
          <w:rFonts w:ascii="TimesNewRomanPSMT" w:hAnsi="TimesNewRomanPSMT"/>
          <w:color w:val="000000"/>
          <w:sz w:val="20"/>
        </w:rPr>
        <w:t>)</w:t>
      </w:r>
      <w:r w:rsidRPr="00343B75">
        <w:rPr>
          <w:rFonts w:ascii="TimesNewRomanPSMT" w:hAnsi="TimesNewRomanPSMT"/>
          <w:color w:val="000000"/>
          <w:sz w:val="20"/>
        </w:rPr>
        <w:t xml:space="preserve">. This requirement does not include round trip delay. </w:t>
      </w:r>
      <w:r w:rsidR="00467AAC">
        <w:rPr>
          <w:rFonts w:ascii="TimesNewRomanPSMT" w:hAnsi="TimesNewRomanPSMT"/>
          <w:strike/>
          <w:color w:val="000000"/>
          <w:sz w:val="20"/>
        </w:rPr>
        <w:t xml:space="preserve">This </w:t>
      </w:r>
      <w:r w:rsidRPr="00343B75">
        <w:rPr>
          <w:rFonts w:ascii="TimesNewRomanPSMT" w:hAnsi="TimesNewRomanPSMT"/>
          <w:strike/>
          <w:color w:val="000000"/>
          <w:sz w:val="20"/>
        </w:rPr>
        <w:t>requirement is the same as the timing requirement for HE trigger based PPDU.</w:t>
      </w:r>
      <w:r w:rsidRPr="00343B75">
        <w:rPr>
          <w:rFonts w:ascii="TimesNewRomanPSMT" w:hAnsi="TimesNewRomanPSMT"/>
          <w:color w:val="000000"/>
          <w:sz w:val="20"/>
        </w:rPr>
        <w:t>(#7791)</w:t>
      </w:r>
    </w:p>
    <w:p w14:paraId="66ABED63" w14:textId="77777777" w:rsidR="00343B75" w:rsidRDefault="00343B75" w:rsidP="0066149B">
      <w:pPr>
        <w:rPr>
          <w:rFonts w:ascii="TimesNewRomanPSMT" w:hAnsi="TimesNewRomanPSMT" w:hint="eastAsia"/>
          <w:color w:val="000000"/>
          <w:sz w:val="20"/>
        </w:rPr>
      </w:pPr>
    </w:p>
    <w:p w14:paraId="6CBEEFB0" w14:textId="2823F1D1" w:rsidR="00343B75" w:rsidRPr="00467AAC" w:rsidRDefault="00343B75" w:rsidP="0066149B">
      <w:pPr>
        <w:rPr>
          <w:rFonts w:ascii="TimesNewRomanPSMT" w:hAnsi="TimesNewRomanPSMT"/>
          <w:sz w:val="20"/>
          <w:u w:val="single"/>
        </w:rPr>
      </w:pPr>
      <w:r w:rsidRPr="00467AAC">
        <w:rPr>
          <w:rFonts w:ascii="TimesNewRomanPSMT" w:hAnsi="TimesNewRomanPSMT"/>
          <w:sz w:val="20"/>
          <w:u w:val="single"/>
        </w:rPr>
        <w:t xml:space="preserve">NOTE – </w:t>
      </w:r>
      <w:r w:rsidR="00954C2E" w:rsidRPr="00467AAC">
        <w:rPr>
          <w:rFonts w:ascii="TimesNewRomanPSMT" w:hAnsi="TimesNewRomanPSMT"/>
          <w:sz w:val="20"/>
          <w:u w:val="single"/>
        </w:rPr>
        <w:t xml:space="preserve">The </w:t>
      </w:r>
      <w:r w:rsidRPr="00467AAC">
        <w:rPr>
          <w:rFonts w:ascii="TimesNewRomanPSMT" w:hAnsi="TimesNewRomanPSMT"/>
          <w:sz w:val="20"/>
          <w:u w:val="single"/>
        </w:rPr>
        <w:t xml:space="preserve">timing requirement </w:t>
      </w:r>
      <w:r w:rsidR="00AE1E9B" w:rsidRPr="00467AAC">
        <w:rPr>
          <w:rFonts w:ascii="TimesNewRomanPSMT" w:hAnsi="TimesNewRomanPSMT"/>
          <w:sz w:val="20"/>
          <w:u w:val="single"/>
        </w:rPr>
        <w:t>for transmitting an non-HT or non-HT duplicate PPDU wh</w:t>
      </w:r>
      <w:r w:rsidR="00954C2E" w:rsidRPr="00467AAC">
        <w:rPr>
          <w:rFonts w:ascii="TimesNewRomanPSMT" w:hAnsi="TimesNewRomanPSMT"/>
          <w:sz w:val="20"/>
          <w:u w:val="single"/>
        </w:rPr>
        <w:t>en</w:t>
      </w:r>
      <w:r w:rsidR="00AE1E9B" w:rsidRPr="00467AAC">
        <w:rPr>
          <w:rFonts w:ascii="TimesNewRomanPSMT" w:hAnsi="TimesNewRomanPSMT"/>
          <w:sz w:val="20"/>
          <w:u w:val="single"/>
        </w:rPr>
        <w:t xml:space="preserve"> the TXVECTOR parameter TRIGGER_RESPONDING is true </w:t>
      </w:r>
      <w:r w:rsidRPr="00467AAC">
        <w:rPr>
          <w:rFonts w:ascii="TimesNewRomanPSMT" w:hAnsi="TimesNewRomanPSMT"/>
          <w:sz w:val="20"/>
          <w:u w:val="single"/>
        </w:rPr>
        <w:t>is the same as the timing requirement for</w:t>
      </w:r>
      <w:r w:rsidR="00AE1E9B" w:rsidRPr="00467AAC">
        <w:rPr>
          <w:rFonts w:ascii="TimesNewRomanPSMT" w:hAnsi="TimesNewRomanPSMT"/>
          <w:sz w:val="20"/>
          <w:u w:val="single"/>
        </w:rPr>
        <w:t xml:space="preserve"> transmitting an</w:t>
      </w:r>
      <w:r w:rsidRPr="00467AAC">
        <w:rPr>
          <w:rFonts w:ascii="TimesNewRomanPSMT" w:hAnsi="TimesNewRomanPSMT"/>
          <w:sz w:val="20"/>
          <w:u w:val="single"/>
        </w:rPr>
        <w:t xml:space="preserve"> HE trigger-based PPDU.</w:t>
      </w:r>
      <w:r w:rsidRPr="00467AAC">
        <w:rPr>
          <w:rFonts w:ascii="TimesNewRomanPSMT" w:hAnsi="TimesNewRomanPSMT"/>
          <w:sz w:val="20"/>
        </w:rPr>
        <w:t>(#7791)</w:t>
      </w:r>
      <w:bookmarkStart w:id="0" w:name="_GoBack"/>
      <w:bookmarkEnd w:id="0"/>
    </w:p>
    <w:sectPr w:rsidR="00343B75" w:rsidRPr="00467A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36F53" w14:textId="77777777" w:rsidR="005C0701" w:rsidRDefault="005C0701">
      <w:r>
        <w:separator/>
      </w:r>
    </w:p>
  </w:endnote>
  <w:endnote w:type="continuationSeparator" w:id="0">
    <w:p w14:paraId="635FD67B" w14:textId="77777777" w:rsidR="005C0701" w:rsidRDefault="005C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5C0701">
    <w:pPr>
      <w:pStyle w:val="Footer"/>
      <w:tabs>
        <w:tab w:val="clear" w:pos="6480"/>
        <w:tab w:val="center" w:pos="4680"/>
        <w:tab w:val="right" w:pos="9360"/>
      </w:tabs>
    </w:pPr>
    <w:r>
      <w:fldChar w:fldCharType="begin"/>
    </w:r>
    <w:r>
      <w:instrText xml:space="preserve"> SUBJECT  \* MERGEFORMAT </w:instrText>
    </w:r>
    <w:r>
      <w:fldChar w:fldCharType="separate"/>
    </w:r>
    <w:r w:rsidR="00000CD3">
      <w:t>Submission</w:t>
    </w:r>
    <w:r>
      <w:fldChar w:fldCharType="end"/>
    </w:r>
    <w:r w:rsidR="00000CD3">
      <w:tab/>
      <w:t xml:space="preserve">page </w:t>
    </w:r>
    <w:r w:rsidR="00000CD3">
      <w:fldChar w:fldCharType="begin"/>
    </w:r>
    <w:r w:rsidR="00000CD3">
      <w:instrText xml:space="preserve">page </w:instrText>
    </w:r>
    <w:r w:rsidR="00000CD3">
      <w:fldChar w:fldCharType="separate"/>
    </w:r>
    <w:r w:rsidR="00414023">
      <w:rPr>
        <w:noProof/>
      </w:rPr>
      <w:t>1</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9688" w14:textId="77777777" w:rsidR="005C0701" w:rsidRDefault="005C0701">
      <w:r>
        <w:separator/>
      </w:r>
    </w:p>
  </w:footnote>
  <w:footnote w:type="continuationSeparator" w:id="0">
    <w:p w14:paraId="37753A76" w14:textId="77777777" w:rsidR="005C0701" w:rsidRDefault="005C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F1AE5A4" w:rsidR="00000CD3" w:rsidRDefault="006F5719">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r w:rsidR="005C0701">
      <w:fldChar w:fldCharType="begin"/>
    </w:r>
    <w:r w:rsidR="005C0701">
      <w:instrText xml:space="preserve"> TITLE  \* MERGEFORMAT </w:instrText>
    </w:r>
    <w:r w:rsidR="005C0701">
      <w:fldChar w:fldCharType="separate"/>
    </w:r>
    <w:r>
      <w:t>doc.: IEEE 802.11-17/0271</w:t>
    </w:r>
    <w:r w:rsidR="00000CD3">
      <w:t>r</w:t>
    </w:r>
    <w:r w:rsidR="005C0701">
      <w:fldChar w:fldCharType="end"/>
    </w:r>
    <w:r w:rsidR="00467AA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C5344"/>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5E8"/>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3B75"/>
    <w:rsid w:val="003449F9"/>
    <w:rsid w:val="003479E4"/>
    <w:rsid w:val="00347C43"/>
    <w:rsid w:val="003546AD"/>
    <w:rsid w:val="00354A2D"/>
    <w:rsid w:val="00360C87"/>
    <w:rsid w:val="00366AF0"/>
    <w:rsid w:val="003713CA"/>
    <w:rsid w:val="003729FC"/>
    <w:rsid w:val="00372FCA"/>
    <w:rsid w:val="003733D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701"/>
    <w:rsid w:val="0040735F"/>
    <w:rsid w:val="00407C5B"/>
    <w:rsid w:val="00413AAD"/>
    <w:rsid w:val="00413CA3"/>
    <w:rsid w:val="0041402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7AAC"/>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701"/>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5D34"/>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5719"/>
    <w:rsid w:val="006F6897"/>
    <w:rsid w:val="00702926"/>
    <w:rsid w:val="00706E7C"/>
    <w:rsid w:val="00707A74"/>
    <w:rsid w:val="00711E05"/>
    <w:rsid w:val="00713B33"/>
    <w:rsid w:val="00720650"/>
    <w:rsid w:val="007208DD"/>
    <w:rsid w:val="007220CF"/>
    <w:rsid w:val="00724942"/>
    <w:rsid w:val="007272B5"/>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A7E"/>
    <w:rsid w:val="007B4D5D"/>
    <w:rsid w:val="007C0795"/>
    <w:rsid w:val="007C14AD"/>
    <w:rsid w:val="007C1532"/>
    <w:rsid w:val="007C2E26"/>
    <w:rsid w:val="007C3484"/>
    <w:rsid w:val="007C4FDA"/>
    <w:rsid w:val="007C51C0"/>
    <w:rsid w:val="007C6130"/>
    <w:rsid w:val="007C6C61"/>
    <w:rsid w:val="007D1D7C"/>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30AD"/>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4136"/>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2E"/>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123"/>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A7F"/>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1E9B"/>
    <w:rsid w:val="00AE5002"/>
    <w:rsid w:val="00AE6284"/>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1057"/>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BCB"/>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2AD"/>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343B75"/>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07426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23174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123786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5415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B82D-234C-45A9-9099-3702DEAA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4</Pages>
  <Words>1451</Words>
  <Characters>8271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65</cp:revision>
  <cp:lastPrinted>2010-05-04T03:47:00Z</cp:lastPrinted>
  <dcterms:created xsi:type="dcterms:W3CDTF">2016-10-03T18:44:00Z</dcterms:created>
  <dcterms:modified xsi:type="dcterms:W3CDTF">2017-03-02T18:03:00Z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-2052980247</vt:i4>
  </property>
  <property fmtid="{D5CDD505-2E9C-101B-9397-08002B2CF9AE}" pid="3" name="_NewReviewCycle">
    <vt:lpwstr/>
  </property>
  <property fmtid="{D5CDD505-2E9C-101B-9397-08002B2CF9AE}" pid="4" name="_EmailSubject">
    <vt:lpwstr>Feedback on CR for 17.2.2.1 and 17.3.9.10</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-533090323</vt:i4>
  </property>
  <property fmtid="{D5CDD505-2E9C-101B-9397-08002B2CF9AE}" pid="8" name="_ReviewingToolsShownOnce">
    <vt:lpwstr/>
  </property>
</Properties>
</file>