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11</w:t>
            </w:r>
            <w:r w:rsidR="00E02CEA">
              <w:rPr>
                <w:rFonts w:hint="eastAsia"/>
                <w:lang w:eastAsia="ko-KR"/>
              </w:rPr>
              <w:t>.</w:t>
            </w:r>
            <w:r w:rsidR="00E3080F">
              <w:rPr>
                <w:rFonts w:hint="eastAsia"/>
                <w:lang w:eastAsia="ko-KR"/>
              </w:rPr>
              <w:t>2</w:t>
            </w:r>
          </w:p>
        </w:tc>
      </w:tr>
      <w:tr w:rsidR="005E768D" w:rsidRPr="00183F4C">
        <w:trPr>
          <w:trHeight w:val="359"/>
          <w:jc w:val="center"/>
        </w:trPr>
        <w:tc>
          <w:tcPr>
            <w:tcW w:w="9576" w:type="dxa"/>
            <w:gridSpan w:val="5"/>
            <w:vAlign w:val="center"/>
          </w:tcPr>
          <w:p w:rsidR="005E768D" w:rsidRPr="00183F4C" w:rsidRDefault="005E768D" w:rsidP="00E3080F">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E3080F">
              <w:rPr>
                <w:rFonts w:hint="eastAsia"/>
                <w:b w:val="0"/>
                <w:sz w:val="20"/>
                <w:lang w:eastAsia="ko-KR"/>
              </w:rPr>
              <w:t>2</w:t>
            </w:r>
            <w:r w:rsidR="0088012D">
              <w:rPr>
                <w:rFonts w:hint="eastAsia"/>
                <w:b w:val="0"/>
                <w:sz w:val="20"/>
                <w:lang w:eastAsia="ko-KR"/>
              </w:rPr>
              <w:t>-</w:t>
            </w:r>
            <w:r w:rsidR="00E3080F">
              <w:rPr>
                <w:rFonts w:hint="eastAsia"/>
                <w:b w:val="0"/>
                <w:sz w:val="20"/>
                <w:lang w:eastAsia="ko-KR"/>
              </w:rPr>
              <w:t>08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1B7206"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72C05">
                            <w:pPr>
                              <w:pStyle w:val="af"/>
                              <w:numPr>
                                <w:ilvl w:val="0"/>
                                <w:numId w:val="1"/>
                              </w:numPr>
                              <w:ind w:leftChars="0"/>
                              <w:jc w:val="both"/>
                              <w:rPr>
                                <w:lang w:eastAsia="ko-KR"/>
                              </w:rPr>
                            </w:pPr>
                            <w:r>
                              <w:rPr>
                                <w:rFonts w:hint="eastAsia"/>
                                <w:lang w:eastAsia="ko-KR"/>
                              </w:rPr>
                              <w:t xml:space="preserve">CIDs: </w:t>
                            </w:r>
                            <w:r w:rsidR="00072C05" w:rsidRPr="00072C05">
                              <w:rPr>
                                <w:lang w:eastAsia="ko-KR"/>
                              </w:rPr>
                              <w:t>9316, 5735, 4266, 4479, 5211, 10290</w:t>
                            </w:r>
                            <w:r w:rsidR="0005559F" w:rsidRPr="0005559F">
                              <w:rPr>
                                <w:rFonts w:hint="eastAsia"/>
                                <w:lang w:eastAsia="ko-KR"/>
                              </w:rPr>
                              <w:t xml:space="preserve"> </w:t>
                            </w:r>
                            <w:r>
                              <w:rPr>
                                <w:rFonts w:hint="eastAsia"/>
                                <w:lang w:eastAsia="ko-KR"/>
                              </w:rPr>
                              <w:t>(</w:t>
                            </w:r>
                            <w:r w:rsidR="00072C05">
                              <w:rPr>
                                <w:rFonts w:hint="eastAsia"/>
                                <w:lang w:eastAsia="ko-KR"/>
                              </w:rPr>
                              <w:t>6</w:t>
                            </w:r>
                            <w:r>
                              <w:rPr>
                                <w:rFonts w:hint="eastAsia"/>
                                <w:lang w:eastAsia="ko-KR"/>
                              </w:rPr>
                              <w:t xml:space="preserve"> CID)</w:t>
                            </w:r>
                            <w:r w:rsidR="00DC41AA">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72C05">
                      <w:pPr>
                        <w:pStyle w:val="af"/>
                        <w:numPr>
                          <w:ilvl w:val="0"/>
                          <w:numId w:val="1"/>
                        </w:numPr>
                        <w:ind w:leftChars="0"/>
                        <w:jc w:val="both"/>
                        <w:rPr>
                          <w:lang w:eastAsia="ko-KR"/>
                        </w:rPr>
                      </w:pPr>
                      <w:r>
                        <w:rPr>
                          <w:rFonts w:hint="eastAsia"/>
                          <w:lang w:eastAsia="ko-KR"/>
                        </w:rPr>
                        <w:t xml:space="preserve">CIDs: </w:t>
                      </w:r>
                      <w:r w:rsidR="00072C05" w:rsidRPr="00072C05">
                        <w:rPr>
                          <w:lang w:eastAsia="ko-KR"/>
                        </w:rPr>
                        <w:t>9316, 5735, 4266, 4479, 5211, 10290</w:t>
                      </w:r>
                      <w:r w:rsidR="0005559F" w:rsidRPr="0005559F">
                        <w:rPr>
                          <w:rFonts w:hint="eastAsia"/>
                          <w:lang w:eastAsia="ko-KR"/>
                        </w:rPr>
                        <w:t xml:space="preserve"> </w:t>
                      </w:r>
                      <w:r>
                        <w:rPr>
                          <w:rFonts w:hint="eastAsia"/>
                          <w:lang w:eastAsia="ko-KR"/>
                        </w:rPr>
                        <w:t>(</w:t>
                      </w:r>
                      <w:r w:rsidR="00072C05">
                        <w:rPr>
                          <w:rFonts w:hint="eastAsia"/>
                          <w:lang w:eastAsia="ko-KR"/>
                        </w:rPr>
                        <w:t>6</w:t>
                      </w:r>
                      <w:r>
                        <w:rPr>
                          <w:rFonts w:hint="eastAsia"/>
                          <w:lang w:eastAsia="ko-KR"/>
                        </w:rPr>
                        <w:t xml:space="preserve"> CID)</w:t>
                      </w:r>
                      <w:r w:rsidR="00DC41AA">
                        <w:rPr>
                          <w:rFonts w:hint="eastAsia"/>
                          <w:lang w:eastAsia="ko-KR"/>
                        </w:rPr>
                        <w:t xml:space="preserve">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9316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It is unclear why the UPLINK_FLAG needs to be set to 0 for RTS/CTS frames sent with TXOP Duration set to all 1s.</w:t>
            </w:r>
            <w:r w:rsidRPr="00072C05">
              <w:rPr>
                <w:rFonts w:ascii="Arial" w:hAnsi="Arial" w:cs="Arial"/>
                <w:sz w:val="20"/>
                <w:lang w:eastAsia="ko-KR"/>
              </w:rPr>
              <w:br/>
              <w:t>When the AP transmits an RTS frame with the UPLINK_FLAG set to 0 in an Extended Range SU PPDU, and the receiver STA transmits a CTS frame with the UPLINK_FLAG to 1 in an Extended Range SU PPDU, as all the HE STAs within the BSS receives that RTS frame from the AP, the 3rd party HE STA can set the NAV by the RTS frame. Therefore, even if the UPLINK_FLAG in the CTS frame is set to 1 and the 3rd party HE STAs go to PPDU Power Save, the 3rd party HE STAs will hold the NAV value.</w:t>
            </w:r>
            <w:r w:rsidRPr="00072C05">
              <w:rPr>
                <w:rFonts w:ascii="Arial" w:hAnsi="Arial" w:cs="Arial"/>
                <w:sz w:val="20"/>
                <w:lang w:eastAsia="ko-KR"/>
              </w:rPr>
              <w:br/>
              <w:t xml:space="preserve">Next when the STA transmits an RTS frame with the UPLINK_FLAG set to 1 in an Extended Range SU PPDU, and the AP which is the receiver of the RTS frame transmits a CTS frame with the UPLINK_FLAG set to 0 in an Extended Range SU PPDU, even if the 3rd party HE STAs go to PPDU Power Save by the RTS frame, they still can receive the CTS frame sent from the AP. Therefore, the 3rd party </w:t>
            </w:r>
            <w:r w:rsidRPr="00072C05">
              <w:rPr>
                <w:rFonts w:ascii="Arial" w:hAnsi="Arial" w:cs="Arial"/>
                <w:sz w:val="20"/>
                <w:lang w:eastAsia="ko-KR"/>
              </w:rPr>
              <w:lastRenderedPageBreak/>
              <w:t>HE STAs will set NAV by the CTS frame sent from the AP.</w:t>
            </w:r>
            <w:r w:rsidRPr="00072C05">
              <w:rPr>
                <w:rFonts w:ascii="Arial" w:hAnsi="Arial" w:cs="Arial"/>
                <w:sz w:val="20"/>
                <w:lang w:eastAsia="ko-KR"/>
              </w:rPr>
              <w:br/>
              <w:t>From the above consideration, there seems no reason to set the UPLINK_FLAG to 0 in RTS/CTS by changing the usage of the UPLINK_FLAG from the original meaning.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lastRenderedPageBreak/>
              <w:t>Delete "except when the HE PPDU is an HE extended range SU PPDU with the TXOP Duration field set to all 1s and contains an RTS or CTS frame in which case the STA may set the TXVECTOR parameter UPLINK_FLAG to 0" from the first item starting from line 11 in page 196.</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A31A9" w:rsidRDefault="00072C05" w:rsidP="00072C05">
            <w:pPr>
              <w:rPr>
                <w:rFonts w:ascii="Arial" w:eastAsia="굴림" w:hAnsi="Arial" w:cs="Arial"/>
                <w:sz w:val="20"/>
                <w:lang w:val="en-US" w:eastAsia="ko-KR"/>
              </w:rPr>
            </w:pPr>
            <w:r w:rsidRPr="004521A1">
              <w:rPr>
                <w:rFonts w:ascii="Arial" w:eastAsia="굴림" w:hAnsi="Arial" w:cs="Arial"/>
                <w:sz w:val="20"/>
                <w:lang w:val="en-US" w:eastAsia="ko-KR"/>
              </w:rPr>
              <w:t>Re</w:t>
            </w:r>
            <w:r w:rsidR="005A31A9">
              <w:rPr>
                <w:rFonts w:ascii="Arial" w:eastAsia="굴림" w:hAnsi="Arial" w:cs="Arial" w:hint="eastAsia"/>
                <w:sz w:val="20"/>
                <w:lang w:val="en-US" w:eastAsia="ko-KR"/>
              </w:rPr>
              <w:t xml:space="preserve">jected- </w:t>
            </w:r>
          </w:p>
          <w:p w:rsidR="00417F37" w:rsidRDefault="00417F37" w:rsidP="00072C05">
            <w:pPr>
              <w:rPr>
                <w:rFonts w:ascii="Arial" w:eastAsia="굴림" w:hAnsi="Arial" w:cs="Arial"/>
                <w:sz w:val="20"/>
                <w:lang w:val="en-US" w:eastAsia="ko-KR"/>
              </w:rPr>
            </w:pPr>
            <w:r>
              <w:rPr>
                <w:rFonts w:ascii="Arial" w:eastAsia="굴림" w:hAnsi="Arial" w:cs="Arial" w:hint="eastAsia"/>
                <w:sz w:val="20"/>
                <w:lang w:val="en-US" w:eastAsia="ko-KR"/>
              </w:rPr>
              <w:t>The spec doesn</w:t>
            </w:r>
            <w:r>
              <w:rPr>
                <w:rFonts w:ascii="Arial" w:eastAsia="굴림" w:hAnsi="Arial" w:cs="Arial"/>
                <w:sz w:val="20"/>
                <w:lang w:val="en-US" w:eastAsia="ko-KR"/>
              </w:rPr>
              <w:t>’</w:t>
            </w:r>
            <w:r>
              <w:rPr>
                <w:rFonts w:ascii="Arial" w:eastAsia="굴림" w:hAnsi="Arial" w:cs="Arial" w:hint="eastAsia"/>
                <w:sz w:val="20"/>
                <w:lang w:val="en-US" w:eastAsia="ko-KR"/>
              </w:rPr>
              <w:t xml:space="preserve">t say that </w:t>
            </w:r>
            <w:r w:rsidRPr="00417F37">
              <w:rPr>
                <w:rFonts w:ascii="Arial" w:eastAsia="굴림" w:hAnsi="Arial" w:cs="Arial"/>
                <w:sz w:val="20"/>
                <w:lang w:val="en-US" w:eastAsia="ko-KR"/>
              </w:rPr>
              <w:t>the UPLINK_FLAG needs to be set to 0 for RTS/CTS frames sent with TXOP Duration set to all 1s.</w:t>
            </w:r>
          </w:p>
          <w:p w:rsidR="00417F37" w:rsidRDefault="00417F37" w:rsidP="00072C05">
            <w:pPr>
              <w:rPr>
                <w:rFonts w:ascii="Arial" w:eastAsia="굴림" w:hAnsi="Arial" w:cs="Arial"/>
                <w:sz w:val="20"/>
                <w:lang w:val="en-US" w:eastAsia="ko-KR"/>
              </w:rPr>
            </w:pPr>
            <w:r>
              <w:rPr>
                <w:rFonts w:ascii="Arial" w:eastAsia="굴림" w:hAnsi="Arial" w:cs="Arial" w:hint="eastAsia"/>
                <w:sz w:val="20"/>
                <w:lang w:val="en-US" w:eastAsia="ko-KR"/>
              </w:rPr>
              <w:t xml:space="preserve">It just allows </w:t>
            </w:r>
            <w:r w:rsidRPr="00417F37">
              <w:rPr>
                <w:rFonts w:ascii="Arial" w:eastAsia="굴림" w:hAnsi="Arial" w:cs="Arial"/>
                <w:sz w:val="20"/>
                <w:lang w:val="en-US" w:eastAsia="ko-KR"/>
              </w:rPr>
              <w:t xml:space="preserve">the UPLINK_FLAG </w:t>
            </w:r>
            <w:r>
              <w:rPr>
                <w:rFonts w:ascii="Arial" w:eastAsia="굴림" w:hAnsi="Arial" w:cs="Arial" w:hint="eastAsia"/>
                <w:sz w:val="20"/>
                <w:lang w:val="en-US" w:eastAsia="ko-KR"/>
              </w:rPr>
              <w:t xml:space="preserve">to be </w:t>
            </w:r>
            <w:r w:rsidRPr="00417F37">
              <w:rPr>
                <w:rFonts w:ascii="Arial" w:eastAsia="굴림" w:hAnsi="Arial" w:cs="Arial"/>
                <w:sz w:val="20"/>
                <w:lang w:val="en-US" w:eastAsia="ko-KR"/>
              </w:rPr>
              <w:t>set to 0 for RTS/CTS frames sent with TXOP Duration set to all 1s.</w:t>
            </w:r>
          </w:p>
          <w:p w:rsidR="00F75211" w:rsidRDefault="00F75211" w:rsidP="00072C05">
            <w:pPr>
              <w:rPr>
                <w:rFonts w:ascii="Arial" w:eastAsia="굴림" w:hAnsi="Arial" w:cs="Arial"/>
                <w:sz w:val="20"/>
                <w:lang w:val="en-US" w:eastAsia="ko-KR"/>
              </w:rPr>
            </w:pPr>
          </w:p>
          <w:p w:rsidR="000F6AB5" w:rsidRDefault="000F6AB5" w:rsidP="00072C05">
            <w:pPr>
              <w:rPr>
                <w:rFonts w:ascii="Arial" w:eastAsia="굴림" w:hAnsi="Arial" w:cs="Arial"/>
                <w:sz w:val="20"/>
                <w:lang w:val="en-US" w:eastAsia="ko-KR"/>
              </w:rPr>
            </w:pPr>
            <w:r>
              <w:rPr>
                <w:rFonts w:ascii="Arial" w:eastAsia="굴림" w:hAnsi="Arial" w:cs="Arial" w:hint="eastAsia"/>
                <w:sz w:val="20"/>
                <w:lang w:val="en-US" w:eastAsia="ko-KR"/>
              </w:rPr>
              <w:t xml:space="preserve">Normally, it is preferred that the RTS frame and CTS frame are used together for the NAV protection. </w:t>
            </w:r>
          </w:p>
          <w:p w:rsidR="000F6AB5" w:rsidRDefault="000F6AB5" w:rsidP="00072C05">
            <w:pPr>
              <w:rPr>
                <w:rFonts w:ascii="Arial" w:eastAsia="굴림" w:hAnsi="Arial" w:cs="Arial"/>
                <w:sz w:val="20"/>
                <w:lang w:val="en-US" w:eastAsia="ko-KR"/>
              </w:rPr>
            </w:pPr>
          </w:p>
          <w:p w:rsidR="000F6AB5" w:rsidRDefault="000F6AB5" w:rsidP="00072C05">
            <w:pPr>
              <w:rPr>
                <w:rFonts w:ascii="Arial" w:eastAsia="굴림" w:hAnsi="Arial" w:cs="Arial"/>
                <w:sz w:val="20"/>
                <w:lang w:val="en-US" w:eastAsia="ko-KR"/>
              </w:rPr>
            </w:pPr>
            <w:r>
              <w:rPr>
                <w:rFonts w:ascii="Arial" w:eastAsia="굴림" w:hAnsi="Arial" w:cs="Arial" w:hint="eastAsia"/>
                <w:sz w:val="20"/>
                <w:lang w:val="en-US" w:eastAsia="ko-KR"/>
              </w:rPr>
              <w:t xml:space="preserve">But, if one reception of either a RTS frame or a CTS frame is assumed, the comment may be correct. </w:t>
            </w:r>
          </w:p>
          <w:p w:rsidR="000F6AB5" w:rsidRDefault="000F6AB5" w:rsidP="00206A5C">
            <w:pPr>
              <w:rPr>
                <w:rFonts w:ascii="Arial" w:eastAsia="굴림" w:hAnsi="Arial" w:cs="Arial"/>
                <w:sz w:val="20"/>
                <w:lang w:val="en-US" w:eastAsia="ko-KR"/>
              </w:rPr>
            </w:pPr>
            <w:r>
              <w:rPr>
                <w:rFonts w:ascii="Arial" w:eastAsia="굴림" w:hAnsi="Arial" w:cs="Arial" w:hint="eastAsia"/>
                <w:sz w:val="20"/>
                <w:lang w:val="en-US" w:eastAsia="ko-KR"/>
              </w:rPr>
              <w:t xml:space="preserve">In that case, the below scenario can be helpful to the commenter for more understanding. </w:t>
            </w:r>
          </w:p>
          <w:p w:rsidR="000F6AB5" w:rsidRDefault="000F6AB5" w:rsidP="00206A5C">
            <w:pPr>
              <w:rPr>
                <w:rFonts w:ascii="Arial" w:eastAsia="굴림" w:hAnsi="Arial" w:cs="Arial"/>
                <w:sz w:val="20"/>
                <w:lang w:val="en-US" w:eastAsia="ko-KR"/>
              </w:rPr>
            </w:pPr>
          </w:p>
          <w:p w:rsidR="00F75211" w:rsidRDefault="000F6AB5" w:rsidP="00072C05">
            <w:pPr>
              <w:rPr>
                <w:rFonts w:ascii="Arial" w:hAnsi="Arial" w:cs="Arial"/>
                <w:sz w:val="20"/>
                <w:lang w:eastAsia="ko-KR"/>
              </w:rPr>
            </w:pPr>
            <w:proofErr w:type="spellStart"/>
            <w:r>
              <w:rPr>
                <w:rFonts w:ascii="Arial" w:eastAsia="굴림" w:hAnsi="Arial" w:cs="Arial" w:hint="eastAsia"/>
                <w:sz w:val="20"/>
                <w:lang w:val="en-US" w:eastAsia="ko-KR"/>
              </w:rPr>
              <w:t>A</w:t>
            </w:r>
            <w:r w:rsidR="00417F37">
              <w:rPr>
                <w:rFonts w:ascii="Arial" w:eastAsia="굴림" w:hAnsi="Arial" w:cs="Arial" w:hint="eastAsia"/>
                <w:sz w:val="20"/>
                <w:lang w:val="en-US" w:eastAsia="ko-KR"/>
              </w:rPr>
              <w:t>n</w:t>
            </w:r>
            <w:proofErr w:type="spellEnd"/>
            <w:r w:rsidR="00417F37">
              <w:rPr>
                <w:rFonts w:ascii="Arial" w:eastAsia="굴림" w:hAnsi="Arial" w:cs="Arial" w:hint="eastAsia"/>
                <w:sz w:val="20"/>
                <w:lang w:val="en-US" w:eastAsia="ko-KR"/>
              </w:rPr>
              <w:t xml:space="preserve"> HE STA transmits </w:t>
            </w:r>
            <w:r w:rsidR="00F75211" w:rsidRPr="00072C05">
              <w:rPr>
                <w:rFonts w:ascii="Arial" w:hAnsi="Arial" w:cs="Arial"/>
                <w:sz w:val="20"/>
                <w:lang w:eastAsia="ko-KR"/>
              </w:rPr>
              <w:t>an RTS frame with the UPLINK_FLAG set to 1 in an Extended Range SU PPDU</w:t>
            </w:r>
            <w:r w:rsidR="00F75211">
              <w:rPr>
                <w:rFonts w:ascii="Arial" w:hAnsi="Arial" w:cs="Arial" w:hint="eastAsia"/>
                <w:sz w:val="20"/>
                <w:lang w:eastAsia="ko-KR"/>
              </w:rPr>
              <w:t xml:space="preserve"> and an </w:t>
            </w:r>
            <w:r w:rsidR="00F75211" w:rsidRPr="00072C05">
              <w:rPr>
                <w:rFonts w:ascii="Arial" w:hAnsi="Arial" w:cs="Arial"/>
                <w:sz w:val="20"/>
                <w:lang w:eastAsia="ko-KR"/>
              </w:rPr>
              <w:t>AP transmits a CTS frame in a</w:t>
            </w:r>
            <w:r w:rsidR="00F75211">
              <w:rPr>
                <w:rFonts w:ascii="Arial" w:hAnsi="Arial" w:cs="Arial" w:hint="eastAsia"/>
                <w:sz w:val="20"/>
                <w:lang w:eastAsia="ko-KR"/>
              </w:rPr>
              <w:t xml:space="preserve"> non-HT PPDU </w:t>
            </w:r>
            <w:r w:rsidR="00F75211" w:rsidRPr="00F75211">
              <w:rPr>
                <w:rFonts w:ascii="Arial" w:hAnsi="Arial" w:cs="Arial"/>
                <w:sz w:val="20"/>
                <w:lang w:eastAsia="ko-KR"/>
              </w:rPr>
              <w:t>(PPDU format switching</w:t>
            </w:r>
            <w:r w:rsidR="00F75211">
              <w:rPr>
                <w:rFonts w:ascii="Arial" w:hAnsi="Arial" w:cs="Arial" w:hint="eastAsia"/>
                <w:sz w:val="20"/>
                <w:lang w:eastAsia="ko-KR"/>
              </w:rPr>
              <w:t xml:space="preserve"> case</w:t>
            </w:r>
            <w:r w:rsidR="00F75211" w:rsidRPr="00F75211">
              <w:rPr>
                <w:rFonts w:ascii="Arial" w:hAnsi="Arial" w:cs="Arial"/>
                <w:sz w:val="20"/>
                <w:lang w:eastAsia="ko-KR"/>
              </w:rPr>
              <w:t>)</w:t>
            </w:r>
            <w:r w:rsidR="00F75211">
              <w:rPr>
                <w:rFonts w:ascii="Arial" w:hAnsi="Arial" w:cs="Arial" w:hint="eastAsia"/>
                <w:sz w:val="20"/>
                <w:lang w:eastAsia="ko-KR"/>
              </w:rPr>
              <w:t xml:space="preserve">. </w:t>
            </w:r>
          </w:p>
          <w:p w:rsidR="00F75211" w:rsidRDefault="00F75211" w:rsidP="00072C05">
            <w:pPr>
              <w:rPr>
                <w:rFonts w:ascii="Arial" w:hAnsi="Arial" w:cs="Arial"/>
                <w:sz w:val="20"/>
                <w:lang w:eastAsia="ko-KR"/>
              </w:rPr>
            </w:pPr>
            <w:r>
              <w:rPr>
                <w:rFonts w:ascii="Arial" w:hAnsi="Arial" w:cs="Arial" w:hint="eastAsia"/>
                <w:sz w:val="20"/>
                <w:lang w:eastAsia="ko-KR"/>
              </w:rPr>
              <w:t>T</w:t>
            </w:r>
            <w:r w:rsidRPr="00F75211">
              <w:rPr>
                <w:rFonts w:ascii="Arial" w:hAnsi="Arial" w:cs="Arial"/>
                <w:sz w:val="20"/>
                <w:lang w:eastAsia="ko-KR"/>
              </w:rPr>
              <w:t xml:space="preserve">he 3rd party HE STAs </w:t>
            </w:r>
            <w:proofErr w:type="spellStart"/>
            <w:r>
              <w:rPr>
                <w:rFonts w:ascii="Arial" w:hAnsi="Arial" w:cs="Arial" w:hint="eastAsia"/>
                <w:sz w:val="20"/>
                <w:lang w:eastAsia="ko-KR"/>
              </w:rPr>
              <w:t>can not</w:t>
            </w:r>
            <w:proofErr w:type="spellEnd"/>
            <w:r>
              <w:rPr>
                <w:rFonts w:ascii="Arial" w:hAnsi="Arial" w:cs="Arial" w:hint="eastAsia"/>
                <w:sz w:val="20"/>
                <w:lang w:eastAsia="ko-KR"/>
              </w:rPr>
              <w:t xml:space="preserve"> </w:t>
            </w:r>
            <w:r w:rsidR="000F6AB5">
              <w:rPr>
                <w:rFonts w:ascii="Arial" w:hAnsi="Arial" w:cs="Arial"/>
                <w:sz w:val="20"/>
                <w:lang w:eastAsia="ko-KR"/>
              </w:rPr>
              <w:t xml:space="preserve">the CTS frame sent from the AP because the CTS frame is </w:t>
            </w:r>
          </w:p>
          <w:p w:rsidR="00F75211" w:rsidRDefault="00F75211" w:rsidP="00072C05">
            <w:pPr>
              <w:rPr>
                <w:rFonts w:ascii="Arial" w:eastAsia="굴림" w:hAnsi="Arial" w:cs="Arial"/>
                <w:sz w:val="20"/>
                <w:lang w:eastAsia="ko-KR"/>
              </w:rPr>
            </w:pPr>
            <w:r>
              <w:rPr>
                <w:rFonts w:ascii="Arial" w:eastAsia="굴림" w:hAnsi="Arial" w:cs="Arial" w:hint="eastAsia"/>
                <w:sz w:val="20"/>
                <w:lang w:eastAsia="ko-KR"/>
              </w:rPr>
              <w:t xml:space="preserve">So, if the HE STA wants the higher protection, the </w:t>
            </w:r>
            <w:r>
              <w:rPr>
                <w:rFonts w:ascii="Arial" w:eastAsia="굴림" w:hAnsi="Arial" w:cs="Arial" w:hint="eastAsia"/>
                <w:sz w:val="20"/>
                <w:lang w:eastAsia="ko-KR"/>
              </w:rPr>
              <w:lastRenderedPageBreak/>
              <w:t xml:space="preserve">spec allows </w:t>
            </w:r>
            <w:r w:rsidRPr="00417F37">
              <w:rPr>
                <w:rFonts w:ascii="Arial" w:eastAsia="굴림" w:hAnsi="Arial" w:cs="Arial"/>
                <w:sz w:val="20"/>
                <w:lang w:val="en-US" w:eastAsia="ko-KR"/>
              </w:rPr>
              <w:t xml:space="preserve">the UPLINK_FLAG </w:t>
            </w:r>
            <w:r w:rsidR="00A353F5">
              <w:rPr>
                <w:rFonts w:ascii="Arial" w:eastAsia="굴림" w:hAnsi="Arial" w:cs="Arial" w:hint="eastAsia"/>
                <w:sz w:val="20"/>
                <w:lang w:val="en-US" w:eastAsia="ko-KR"/>
              </w:rPr>
              <w:t>in the</w:t>
            </w:r>
            <w:r w:rsidR="00A353F5" w:rsidRPr="00072C05">
              <w:rPr>
                <w:rFonts w:ascii="Arial" w:hAnsi="Arial" w:cs="Arial"/>
                <w:sz w:val="20"/>
                <w:lang w:eastAsia="ko-KR"/>
              </w:rPr>
              <w:t xml:space="preserve"> Extended Range SU PPDU</w:t>
            </w:r>
            <w:r w:rsidR="00A353F5">
              <w:rPr>
                <w:rFonts w:ascii="Arial" w:hAnsi="Arial" w:cs="Arial" w:hint="eastAsia"/>
                <w:sz w:val="20"/>
                <w:lang w:eastAsia="ko-KR"/>
              </w:rPr>
              <w:t xml:space="preserve"> </w:t>
            </w:r>
            <w:r>
              <w:rPr>
                <w:rFonts w:ascii="Arial" w:eastAsia="굴림" w:hAnsi="Arial" w:cs="Arial" w:hint="eastAsia"/>
                <w:sz w:val="20"/>
                <w:lang w:eastAsia="ko-KR"/>
              </w:rPr>
              <w:t xml:space="preserve">to be set to 0. </w:t>
            </w:r>
          </w:p>
          <w:p w:rsidR="00A353F5" w:rsidRDefault="00A353F5" w:rsidP="00072C05">
            <w:pPr>
              <w:rPr>
                <w:rFonts w:ascii="Arial" w:eastAsia="굴림" w:hAnsi="Arial" w:cs="Arial"/>
                <w:sz w:val="20"/>
                <w:lang w:eastAsia="ko-KR"/>
              </w:rPr>
            </w:pPr>
          </w:p>
          <w:p w:rsidR="00756A2F" w:rsidRPr="00206A5C" w:rsidRDefault="00F75211" w:rsidP="00072C05">
            <w:pPr>
              <w:rPr>
                <w:rFonts w:ascii="Arial" w:eastAsia="굴림" w:hAnsi="Arial" w:cs="Arial"/>
                <w:sz w:val="20"/>
                <w:lang w:eastAsia="ko-KR"/>
              </w:rPr>
            </w:pPr>
            <w:r>
              <w:rPr>
                <w:rFonts w:ascii="Arial" w:eastAsia="굴림" w:hAnsi="Arial" w:cs="Arial" w:hint="eastAsia"/>
                <w:sz w:val="20"/>
                <w:lang w:eastAsia="ko-KR"/>
              </w:rPr>
              <w:t>Another example is a CTS-to-self frame</w:t>
            </w:r>
            <w:r w:rsidR="00A353F5">
              <w:rPr>
                <w:rFonts w:ascii="Arial" w:eastAsia="굴림" w:hAnsi="Arial" w:cs="Arial" w:hint="eastAsia"/>
                <w:sz w:val="20"/>
                <w:lang w:eastAsia="ko-KR"/>
              </w:rPr>
              <w:t xml:space="preserve"> carried in an</w:t>
            </w:r>
            <w:r w:rsidR="00A353F5">
              <w:rPr>
                <w:rFonts w:ascii="Arial" w:eastAsia="굴림" w:hAnsi="Arial" w:cs="Arial" w:hint="eastAsia"/>
                <w:sz w:val="20"/>
                <w:lang w:val="en-US" w:eastAsia="ko-KR"/>
              </w:rPr>
              <w:t xml:space="preserve"> </w:t>
            </w:r>
            <w:r w:rsidR="00A353F5" w:rsidRPr="00072C05">
              <w:rPr>
                <w:rFonts w:ascii="Arial" w:hAnsi="Arial" w:cs="Arial"/>
                <w:sz w:val="20"/>
                <w:lang w:eastAsia="ko-KR"/>
              </w:rPr>
              <w:t>Extended Range SU PPDU</w:t>
            </w:r>
            <w:r>
              <w:rPr>
                <w:rFonts w:ascii="Arial" w:eastAsia="굴림" w:hAnsi="Arial" w:cs="Arial" w:hint="eastAsia"/>
                <w:sz w:val="20"/>
                <w:lang w:eastAsia="ko-KR"/>
              </w:rPr>
              <w:t xml:space="preserve">. When an HE STA transmits a CTS-to-self frame, it can set the </w:t>
            </w:r>
            <w:r w:rsidRPr="00417F37">
              <w:rPr>
                <w:rFonts w:ascii="Arial" w:eastAsia="굴림" w:hAnsi="Arial" w:cs="Arial"/>
                <w:sz w:val="20"/>
                <w:lang w:val="en-US" w:eastAsia="ko-KR"/>
              </w:rPr>
              <w:t xml:space="preserve">UPLINK_FLAG </w:t>
            </w:r>
            <w:r>
              <w:rPr>
                <w:rFonts w:ascii="Arial" w:eastAsia="굴림" w:hAnsi="Arial" w:cs="Arial" w:hint="eastAsia"/>
                <w:sz w:val="20"/>
                <w:lang w:eastAsia="ko-KR"/>
              </w:rPr>
              <w:t>to 0.</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lastRenderedPageBreak/>
              <w:t>5735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Why only extended range SU PPDU is excluded in this case. If the intention is to ask 3rd party device to set NAV when transmitting RTS or CTS, then HE SU PPDU should also be included.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proofErr w:type="spellStart"/>
            <w:r w:rsidRPr="00072C05">
              <w:rPr>
                <w:rFonts w:ascii="Arial" w:eastAsia="굴림" w:hAnsi="Arial" w:cs="Arial"/>
                <w:color w:val="000000"/>
                <w:sz w:val="20"/>
                <w:lang w:val="en-US" w:eastAsia="ko-KR"/>
              </w:rPr>
              <w:t>Chagne</w:t>
            </w:r>
            <w:proofErr w:type="spellEnd"/>
            <w:r w:rsidRPr="00072C05">
              <w:rPr>
                <w:rFonts w:ascii="Arial" w:eastAsia="굴림" w:hAnsi="Arial" w:cs="Arial"/>
                <w:color w:val="000000"/>
                <w:sz w:val="20"/>
                <w:lang w:val="en-US" w:eastAsia="ko-KR"/>
              </w:rPr>
              <w:t xml:space="preserve">  "</w:t>
            </w:r>
            <w:proofErr w:type="spellStart"/>
            <w:r w:rsidRPr="00072C05">
              <w:rPr>
                <w:rFonts w:ascii="Arial" w:eastAsia="굴림" w:hAnsi="Arial" w:cs="Arial"/>
                <w:color w:val="000000"/>
                <w:sz w:val="20"/>
                <w:lang w:val="en-US" w:eastAsia="ko-KR"/>
              </w:rPr>
              <w:t>an</w:t>
            </w:r>
            <w:proofErr w:type="spellEnd"/>
            <w:r w:rsidRPr="00072C05">
              <w:rPr>
                <w:rFonts w:ascii="Arial" w:eastAsia="굴림" w:hAnsi="Arial" w:cs="Arial"/>
                <w:color w:val="000000"/>
                <w:sz w:val="20"/>
                <w:lang w:val="en-US" w:eastAsia="ko-KR"/>
              </w:rPr>
              <w:t xml:space="preserve"> HE extended range SU PPDU" to "an HE SU PPDU or HE extended range SU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D67F3" w:rsidRPr="004521A1" w:rsidRDefault="00FD67F3" w:rsidP="00FD67F3">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FD67F3" w:rsidRPr="004521A1" w:rsidRDefault="00FD67F3" w:rsidP="00FD67F3">
            <w:pPr>
              <w:rPr>
                <w:rFonts w:ascii="Arial" w:eastAsia="굴림" w:hAnsi="Arial" w:cs="Arial"/>
                <w:sz w:val="20"/>
                <w:lang w:val="en-US" w:eastAsia="ko-KR"/>
              </w:rPr>
            </w:pPr>
            <w:r w:rsidRPr="004521A1">
              <w:rPr>
                <w:rFonts w:ascii="Arial" w:eastAsia="굴림" w:hAnsi="Arial" w:cs="Arial"/>
                <w:sz w:val="20"/>
                <w:lang w:val="en-US" w:eastAsia="ko-KR"/>
              </w:rPr>
              <w:t>Agree in principl</w:t>
            </w:r>
            <w:r w:rsidR="0041784B">
              <w:rPr>
                <w:rFonts w:ascii="Arial" w:eastAsia="굴림" w:hAnsi="Arial" w:cs="Arial" w:hint="eastAsia"/>
                <w:sz w:val="20"/>
                <w:lang w:val="en-US" w:eastAsia="ko-KR"/>
              </w:rPr>
              <w:t>e</w:t>
            </w:r>
            <w:r w:rsidRPr="004521A1">
              <w:rPr>
                <w:rFonts w:ascii="Arial" w:eastAsia="굴림" w:hAnsi="Arial" w:cs="Arial"/>
                <w:sz w:val="20"/>
                <w:lang w:val="en-US" w:eastAsia="ko-KR"/>
              </w:rPr>
              <w:t xml:space="preserve">. </w:t>
            </w:r>
          </w:p>
          <w:p w:rsidR="00072C05" w:rsidRPr="00072C05" w:rsidRDefault="00FD67F3">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D8756F">
              <w:rPr>
                <w:rFonts w:ascii="Arial" w:eastAsia="굴림" w:hAnsi="Arial" w:cs="Arial" w:hint="eastAsia"/>
                <w:sz w:val="20"/>
                <w:lang w:val="en-US" w:eastAsia="ko-KR"/>
              </w:rPr>
              <w:t>0248</w:t>
            </w:r>
            <w:r>
              <w:rPr>
                <w:rFonts w:ascii="Arial" w:eastAsia="굴림" w:hAnsi="Arial" w:cs="Arial"/>
                <w:sz w:val="20"/>
                <w:lang w:val="en-US" w:eastAsia="ko-KR"/>
              </w:rPr>
              <w:t>r</w:t>
            </w:r>
            <w:r>
              <w:rPr>
                <w:rFonts w:ascii="Arial" w:eastAsia="굴림" w:hAnsi="Arial" w:cs="Arial" w:hint="eastAsia"/>
                <w:sz w:val="20"/>
                <w:lang w:val="en-US" w:eastAsia="ko-KR"/>
              </w:rPr>
              <w:t>0</w:t>
            </w:r>
            <w:r w:rsidRPr="004521A1">
              <w:rPr>
                <w:rFonts w:ascii="Arial" w:eastAsia="굴림" w:hAnsi="Arial" w:cs="Arial"/>
                <w:sz w:val="20"/>
                <w:lang w:val="en-US" w:eastAsia="ko-KR"/>
              </w:rPr>
              <w:t>.</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4266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(T)DLS peer STA is not defined or linked to IEEE 802.11-2016 or IEEE 802.11ac-2013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Add text clarification and figure to support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42E63" w:rsidRDefault="00E42E63" w:rsidP="00072C05">
            <w:pPr>
              <w:rPr>
                <w:rFonts w:ascii="Arial" w:eastAsia="굴림" w:hAnsi="Arial" w:cs="Arial"/>
                <w:sz w:val="20"/>
                <w:lang w:val="en-US" w:eastAsia="ko-KR"/>
              </w:rPr>
            </w:pPr>
            <w:r>
              <w:rPr>
                <w:rFonts w:ascii="Arial" w:eastAsia="굴림" w:hAnsi="Arial" w:cs="Arial" w:hint="eastAsia"/>
                <w:sz w:val="20"/>
                <w:lang w:val="en-US" w:eastAsia="ko-KR"/>
              </w:rPr>
              <w:t>Re</w:t>
            </w:r>
            <w:r w:rsidR="005706F8">
              <w:rPr>
                <w:rFonts w:ascii="Arial" w:eastAsia="굴림" w:hAnsi="Arial" w:cs="Arial" w:hint="eastAsia"/>
                <w:sz w:val="20"/>
                <w:lang w:val="en-US" w:eastAsia="ko-KR"/>
              </w:rPr>
              <w:t xml:space="preserve">vised- </w:t>
            </w:r>
          </w:p>
          <w:p w:rsidR="00E42E63" w:rsidRDefault="004F29D0" w:rsidP="00E42E63">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00E42E63">
              <w:rPr>
                <w:rFonts w:ascii="Arial" w:eastAsia="굴림" w:hAnsi="Arial" w:cs="Arial" w:hint="eastAsia"/>
                <w:sz w:val="20"/>
                <w:lang w:val="en-US" w:eastAsia="ko-KR"/>
              </w:rPr>
              <w:t xml:space="preserve">TDLS peer STA is </w:t>
            </w:r>
            <w:proofErr w:type="spellStart"/>
            <w:r w:rsidR="00E42E63">
              <w:rPr>
                <w:rFonts w:ascii="Arial" w:eastAsia="굴림" w:hAnsi="Arial" w:cs="Arial" w:hint="eastAsia"/>
                <w:sz w:val="20"/>
                <w:lang w:val="en-US" w:eastAsia="ko-KR"/>
              </w:rPr>
              <w:t>defiend</w:t>
            </w:r>
            <w:proofErr w:type="spellEnd"/>
            <w:r w:rsidR="00E42E63">
              <w:rPr>
                <w:rFonts w:ascii="Arial" w:eastAsia="굴림" w:hAnsi="Arial" w:cs="Arial" w:hint="eastAsia"/>
                <w:sz w:val="20"/>
                <w:lang w:val="en-US" w:eastAsia="ko-KR"/>
              </w:rPr>
              <w:t xml:space="preserve"> in IEEE 802.11-2016 as the following: </w:t>
            </w:r>
          </w:p>
          <w:p w:rsidR="00E42E63" w:rsidRDefault="00E42E63" w:rsidP="00072C05">
            <w:pPr>
              <w:rPr>
                <w:rFonts w:ascii="Arial" w:eastAsia="굴림" w:hAnsi="Arial" w:cs="Arial"/>
                <w:sz w:val="20"/>
                <w:lang w:val="en-US" w:eastAsia="ko-KR"/>
              </w:rPr>
            </w:pPr>
            <w:r>
              <w:rPr>
                <w:rFonts w:ascii="Arial" w:eastAsia="굴림" w:hAnsi="Arial" w:cs="Arial"/>
                <w:sz w:val="20"/>
                <w:lang w:val="en-US" w:eastAsia="ko-KR"/>
              </w:rPr>
              <w:t>“</w:t>
            </w:r>
            <w:proofErr w:type="gramStart"/>
            <w:r w:rsidRPr="00E42E63">
              <w:rPr>
                <w:rFonts w:ascii="Arial" w:eastAsia="굴림" w:hAnsi="Arial" w:cs="Arial"/>
                <w:sz w:val="20"/>
                <w:lang w:val="en-US" w:eastAsia="ko-KR"/>
              </w:rPr>
              <w:t>tunneled</w:t>
            </w:r>
            <w:proofErr w:type="gramEnd"/>
            <w:r w:rsidRPr="00E42E63">
              <w:rPr>
                <w:rFonts w:ascii="Arial" w:eastAsia="굴림" w:hAnsi="Arial" w:cs="Arial"/>
                <w:sz w:val="20"/>
                <w:lang w:val="en-US" w:eastAsia="ko-KR"/>
              </w:rPr>
              <w:t xml:space="preserve"> direct-link setup (TDLS) peer station (STA): A STA with a TDLS direct link.</w:t>
            </w:r>
            <w:r>
              <w:rPr>
                <w:rFonts w:ascii="Arial" w:eastAsia="굴림" w:hAnsi="Arial" w:cs="Arial"/>
                <w:sz w:val="20"/>
                <w:lang w:val="en-US" w:eastAsia="ko-KR"/>
              </w:rPr>
              <w:t>”</w:t>
            </w:r>
          </w:p>
          <w:p w:rsidR="00E42E63" w:rsidRDefault="00E42E63" w:rsidP="00072C05">
            <w:pPr>
              <w:rPr>
                <w:rFonts w:ascii="Arial" w:eastAsia="굴림" w:hAnsi="Arial" w:cs="Arial"/>
                <w:sz w:val="20"/>
                <w:lang w:val="en-US" w:eastAsia="ko-KR"/>
              </w:rPr>
            </w:pPr>
          </w:p>
          <w:p w:rsidR="005706F8" w:rsidRDefault="005706F8" w:rsidP="00072C05">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terminology</w:t>
            </w:r>
            <w:r>
              <w:rPr>
                <w:rFonts w:ascii="Arial" w:eastAsia="굴림" w:hAnsi="Arial" w:cs="Arial" w:hint="eastAsia"/>
                <w:sz w:val="20"/>
                <w:lang w:val="en-US" w:eastAsia="ko-KR"/>
              </w:rPr>
              <w:t xml:space="preserve"> of a </w:t>
            </w:r>
            <w:r w:rsidRPr="005706F8">
              <w:rPr>
                <w:rFonts w:ascii="Arial" w:eastAsia="굴림" w:hAnsi="Arial" w:cs="Arial"/>
                <w:sz w:val="20"/>
                <w:lang w:val="en-US" w:eastAsia="ko-KR"/>
              </w:rPr>
              <w:t>DLS or TDLS peer STA</w:t>
            </w:r>
            <w:r>
              <w:rPr>
                <w:rFonts w:ascii="Arial" w:eastAsia="굴림" w:hAnsi="Arial" w:cs="Arial" w:hint="eastAsia"/>
                <w:sz w:val="20"/>
                <w:lang w:val="en-US" w:eastAsia="ko-KR"/>
              </w:rPr>
              <w:t xml:space="preserve"> is used in IEEE 802.11-2016. </w:t>
            </w:r>
          </w:p>
          <w:p w:rsidR="005706F8" w:rsidRDefault="005706F8" w:rsidP="00072C05">
            <w:pPr>
              <w:rPr>
                <w:rFonts w:ascii="Arial" w:eastAsia="굴림" w:hAnsi="Arial" w:cs="Arial"/>
                <w:sz w:val="20"/>
                <w:lang w:val="en-US" w:eastAsia="ko-KR"/>
              </w:rPr>
            </w:pPr>
          </w:p>
          <w:p w:rsidR="005706F8" w:rsidRDefault="005706F8" w:rsidP="00072C05">
            <w:pPr>
              <w:rPr>
                <w:rFonts w:ascii="Arial" w:eastAsia="굴림" w:hAnsi="Arial" w:cs="Arial"/>
                <w:sz w:val="20"/>
                <w:lang w:val="en-US" w:eastAsia="ko-KR"/>
              </w:rPr>
            </w:pPr>
            <w:r>
              <w:rPr>
                <w:rFonts w:ascii="Arial" w:eastAsia="굴림" w:hAnsi="Arial" w:cs="Arial" w:hint="eastAsia"/>
                <w:sz w:val="20"/>
                <w:lang w:val="en-US" w:eastAsia="ko-KR"/>
              </w:rPr>
              <w:t xml:space="preserve">Change </w:t>
            </w:r>
            <w:r>
              <w:rPr>
                <w:rFonts w:ascii="Arial" w:eastAsia="굴림" w:hAnsi="Arial" w:cs="Arial"/>
                <w:sz w:val="20"/>
                <w:lang w:val="en-US" w:eastAsia="ko-KR"/>
              </w:rPr>
              <w:t>“</w:t>
            </w:r>
            <w:r>
              <w:rPr>
                <w:rFonts w:ascii="Arial" w:eastAsia="굴림" w:hAnsi="Arial" w:cs="Arial" w:hint="eastAsia"/>
                <w:sz w:val="20"/>
                <w:lang w:val="en-US" w:eastAsia="ko-KR"/>
              </w:rPr>
              <w:t>(T</w:t>
            </w:r>
            <w:proofErr w:type="gramStart"/>
            <w:r>
              <w:rPr>
                <w:rFonts w:ascii="Arial" w:eastAsia="굴림" w:hAnsi="Arial" w:cs="Arial" w:hint="eastAsia"/>
                <w:sz w:val="20"/>
                <w:lang w:val="en-US" w:eastAsia="ko-KR"/>
              </w:rPr>
              <w:t>)DLS</w:t>
            </w:r>
            <w:proofErr w:type="gramEnd"/>
            <w:r>
              <w:rPr>
                <w:rFonts w:ascii="Arial" w:eastAsia="굴림" w:hAnsi="Arial" w:cs="Arial" w:hint="eastAsia"/>
                <w:sz w:val="20"/>
                <w:lang w:val="en-US" w:eastAsia="ko-KR"/>
              </w:rPr>
              <w:t xml:space="preserve"> peer STA</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DLS or TDLS peer STA</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5706F8" w:rsidRDefault="005706F8" w:rsidP="00072C05">
            <w:pPr>
              <w:rPr>
                <w:rFonts w:ascii="Arial" w:eastAsia="굴림" w:hAnsi="Arial" w:cs="Arial"/>
                <w:sz w:val="20"/>
                <w:lang w:val="en-US" w:eastAsia="ko-KR"/>
              </w:rPr>
            </w:pPr>
          </w:p>
          <w:p w:rsidR="004F29D0" w:rsidRPr="00206A5C" w:rsidRDefault="005706F8" w:rsidP="00206A5C">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D8756F">
              <w:rPr>
                <w:rFonts w:ascii="Arial" w:eastAsia="굴림" w:hAnsi="Arial" w:cs="Arial" w:hint="eastAsia"/>
                <w:sz w:val="20"/>
                <w:lang w:val="en-US" w:eastAsia="ko-KR"/>
              </w:rPr>
              <w:t>0248</w:t>
            </w:r>
            <w:r>
              <w:rPr>
                <w:rFonts w:ascii="Arial" w:eastAsia="굴림" w:hAnsi="Arial" w:cs="Arial"/>
                <w:sz w:val="20"/>
                <w:lang w:val="en-US" w:eastAsia="ko-KR"/>
              </w:rPr>
              <w:t>r</w:t>
            </w:r>
            <w:r>
              <w:rPr>
                <w:rFonts w:ascii="Arial" w:eastAsia="굴림" w:hAnsi="Arial" w:cs="Arial" w:hint="eastAsia"/>
                <w:sz w:val="20"/>
                <w:lang w:val="en-US" w:eastAsia="ko-KR"/>
              </w:rPr>
              <w:t>0</w:t>
            </w:r>
            <w:r w:rsidRPr="004521A1">
              <w:rPr>
                <w:rFonts w:ascii="Arial" w:eastAsia="굴림" w:hAnsi="Arial" w:cs="Arial"/>
                <w:sz w:val="20"/>
                <w:lang w:val="en-US" w:eastAsia="ko-KR"/>
              </w:rPr>
              <w:t>.</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4479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(T)DLS peer STA is not defined or linked to IEEE 802.11-2016 or IEEE 802.11ac-2013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Add text clarification and figure to support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The TDLS peer STA is </w:t>
            </w:r>
            <w:proofErr w:type="spellStart"/>
            <w:r>
              <w:rPr>
                <w:rFonts w:ascii="Arial" w:eastAsia="굴림" w:hAnsi="Arial" w:cs="Arial" w:hint="eastAsia"/>
                <w:sz w:val="20"/>
                <w:lang w:val="en-US" w:eastAsia="ko-KR"/>
              </w:rPr>
              <w:t>defiend</w:t>
            </w:r>
            <w:proofErr w:type="spellEnd"/>
            <w:r>
              <w:rPr>
                <w:rFonts w:ascii="Arial" w:eastAsia="굴림" w:hAnsi="Arial" w:cs="Arial" w:hint="eastAsia"/>
                <w:sz w:val="20"/>
                <w:lang w:val="en-US" w:eastAsia="ko-KR"/>
              </w:rPr>
              <w:t xml:space="preserve"> in IEEE 802.11-2016 as the following: </w:t>
            </w:r>
          </w:p>
          <w:p w:rsidR="005706F8" w:rsidRDefault="005706F8" w:rsidP="005706F8">
            <w:pPr>
              <w:rPr>
                <w:rFonts w:ascii="Arial" w:eastAsia="굴림" w:hAnsi="Arial" w:cs="Arial"/>
                <w:sz w:val="20"/>
                <w:lang w:val="en-US" w:eastAsia="ko-KR"/>
              </w:rPr>
            </w:pPr>
            <w:r>
              <w:rPr>
                <w:rFonts w:ascii="Arial" w:eastAsia="굴림" w:hAnsi="Arial" w:cs="Arial"/>
                <w:sz w:val="20"/>
                <w:lang w:val="en-US" w:eastAsia="ko-KR"/>
              </w:rPr>
              <w:t>“</w:t>
            </w:r>
            <w:proofErr w:type="gramStart"/>
            <w:r w:rsidRPr="00E42E63">
              <w:rPr>
                <w:rFonts w:ascii="Arial" w:eastAsia="굴림" w:hAnsi="Arial" w:cs="Arial"/>
                <w:sz w:val="20"/>
                <w:lang w:val="en-US" w:eastAsia="ko-KR"/>
              </w:rPr>
              <w:t>tunneled</w:t>
            </w:r>
            <w:proofErr w:type="gramEnd"/>
            <w:r w:rsidRPr="00E42E63">
              <w:rPr>
                <w:rFonts w:ascii="Arial" w:eastAsia="굴림" w:hAnsi="Arial" w:cs="Arial"/>
                <w:sz w:val="20"/>
                <w:lang w:val="en-US" w:eastAsia="ko-KR"/>
              </w:rPr>
              <w:t xml:space="preserve"> direct-link setup (TDLS) peer station (STA): A STA with a TDLS direct link.</w:t>
            </w:r>
            <w:r>
              <w:rPr>
                <w:rFonts w:ascii="Arial" w:eastAsia="굴림" w:hAnsi="Arial" w:cs="Arial"/>
                <w:sz w:val="20"/>
                <w:lang w:val="en-US" w:eastAsia="ko-KR"/>
              </w:rPr>
              <w:t>”</w:t>
            </w:r>
          </w:p>
          <w:p w:rsidR="005706F8" w:rsidRDefault="005706F8" w:rsidP="005706F8">
            <w:pPr>
              <w:rPr>
                <w:rFonts w:ascii="Arial" w:eastAsia="굴림" w:hAnsi="Arial" w:cs="Arial"/>
                <w:sz w:val="20"/>
                <w:lang w:val="en-US" w:eastAsia="ko-KR"/>
              </w:rPr>
            </w:pP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terminology</w:t>
            </w:r>
            <w:r>
              <w:rPr>
                <w:rFonts w:ascii="Arial" w:eastAsia="굴림" w:hAnsi="Arial" w:cs="Arial" w:hint="eastAsia"/>
                <w:sz w:val="20"/>
                <w:lang w:val="en-US" w:eastAsia="ko-KR"/>
              </w:rPr>
              <w:t xml:space="preserve"> of a </w:t>
            </w:r>
            <w:r w:rsidRPr="005706F8">
              <w:rPr>
                <w:rFonts w:ascii="Arial" w:eastAsia="굴림" w:hAnsi="Arial" w:cs="Arial"/>
                <w:sz w:val="20"/>
                <w:lang w:val="en-US" w:eastAsia="ko-KR"/>
              </w:rPr>
              <w:t>DLS or TDLS peer STA</w:t>
            </w:r>
            <w:r>
              <w:rPr>
                <w:rFonts w:ascii="Arial" w:eastAsia="굴림" w:hAnsi="Arial" w:cs="Arial" w:hint="eastAsia"/>
                <w:sz w:val="20"/>
                <w:lang w:val="en-US" w:eastAsia="ko-KR"/>
              </w:rPr>
              <w:t xml:space="preserve"> is used in IEEE 802.11-2016. </w:t>
            </w:r>
          </w:p>
          <w:p w:rsidR="005706F8" w:rsidRDefault="005706F8" w:rsidP="005706F8">
            <w:pPr>
              <w:rPr>
                <w:rFonts w:ascii="Arial" w:eastAsia="굴림" w:hAnsi="Arial" w:cs="Arial"/>
                <w:sz w:val="20"/>
                <w:lang w:val="en-US" w:eastAsia="ko-KR"/>
              </w:rPr>
            </w:pP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Change </w:t>
            </w:r>
            <w:r>
              <w:rPr>
                <w:rFonts w:ascii="Arial" w:eastAsia="굴림" w:hAnsi="Arial" w:cs="Arial"/>
                <w:sz w:val="20"/>
                <w:lang w:val="en-US" w:eastAsia="ko-KR"/>
              </w:rPr>
              <w:t>“</w:t>
            </w:r>
            <w:r>
              <w:rPr>
                <w:rFonts w:ascii="Arial" w:eastAsia="굴림" w:hAnsi="Arial" w:cs="Arial" w:hint="eastAsia"/>
                <w:sz w:val="20"/>
                <w:lang w:val="en-US" w:eastAsia="ko-KR"/>
              </w:rPr>
              <w:t>(T</w:t>
            </w:r>
            <w:proofErr w:type="gramStart"/>
            <w:r>
              <w:rPr>
                <w:rFonts w:ascii="Arial" w:eastAsia="굴림" w:hAnsi="Arial" w:cs="Arial" w:hint="eastAsia"/>
                <w:sz w:val="20"/>
                <w:lang w:val="en-US" w:eastAsia="ko-KR"/>
              </w:rPr>
              <w:t>)DLS</w:t>
            </w:r>
            <w:proofErr w:type="gramEnd"/>
            <w:r>
              <w:rPr>
                <w:rFonts w:ascii="Arial" w:eastAsia="굴림" w:hAnsi="Arial" w:cs="Arial" w:hint="eastAsia"/>
                <w:sz w:val="20"/>
                <w:lang w:val="en-US" w:eastAsia="ko-KR"/>
              </w:rPr>
              <w:t xml:space="preserve"> peer STA</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DLS or TDLS peer STA</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5706F8" w:rsidRDefault="005706F8" w:rsidP="005706F8">
            <w:pPr>
              <w:rPr>
                <w:rFonts w:ascii="Arial" w:eastAsia="굴림" w:hAnsi="Arial" w:cs="Arial"/>
                <w:sz w:val="20"/>
                <w:lang w:val="en-US" w:eastAsia="ko-KR"/>
              </w:rPr>
            </w:pPr>
          </w:p>
          <w:p w:rsidR="00072C05" w:rsidRPr="00072C05" w:rsidRDefault="005706F8" w:rsidP="004F29D0">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D8756F">
              <w:rPr>
                <w:rFonts w:ascii="Arial" w:eastAsia="굴림" w:hAnsi="Arial" w:cs="Arial" w:hint="eastAsia"/>
                <w:sz w:val="20"/>
                <w:lang w:val="en-US" w:eastAsia="ko-KR"/>
              </w:rPr>
              <w:t>0248</w:t>
            </w:r>
            <w:r>
              <w:rPr>
                <w:rFonts w:ascii="Arial" w:eastAsia="굴림" w:hAnsi="Arial" w:cs="Arial"/>
                <w:sz w:val="20"/>
                <w:lang w:val="en-US" w:eastAsia="ko-KR"/>
              </w:rPr>
              <w:t>r</w:t>
            </w:r>
            <w:r>
              <w:rPr>
                <w:rFonts w:ascii="Arial" w:eastAsia="굴림" w:hAnsi="Arial" w:cs="Arial" w:hint="eastAsia"/>
                <w:sz w:val="20"/>
                <w:lang w:val="en-US" w:eastAsia="ko-KR"/>
              </w:rPr>
              <w:t>0</w:t>
            </w:r>
            <w:r w:rsidRPr="004521A1">
              <w:rPr>
                <w:rFonts w:ascii="Arial" w:eastAsia="굴림" w:hAnsi="Arial" w:cs="Arial"/>
                <w:sz w:val="20"/>
                <w:lang w:val="en-US" w:eastAsia="ko-KR"/>
              </w:rPr>
              <w:t>.</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lastRenderedPageBreak/>
              <w:t>5211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 xml:space="preserve">Regarding, "A STA transmitting </w:t>
            </w:r>
            <w:proofErr w:type="spellStart"/>
            <w:r w:rsidRPr="00072C05">
              <w:rPr>
                <w:rFonts w:ascii="Arial" w:hAnsi="Arial" w:cs="Arial"/>
                <w:sz w:val="20"/>
                <w:lang w:eastAsia="ko-KR"/>
              </w:rPr>
              <w:t>an</w:t>
            </w:r>
            <w:proofErr w:type="spellEnd"/>
            <w:r w:rsidRPr="00072C05">
              <w:rPr>
                <w:rFonts w:ascii="Arial" w:hAnsi="Arial" w:cs="Arial"/>
                <w:sz w:val="20"/>
                <w:lang w:eastAsia="ko-KR"/>
              </w:rPr>
              <w:t xml:space="preserve"> HE PPDU in a direct path to a (T</w:t>
            </w:r>
            <w:proofErr w:type="gramStart"/>
            <w:r w:rsidRPr="00072C05">
              <w:rPr>
                <w:rFonts w:ascii="Arial" w:hAnsi="Arial" w:cs="Arial"/>
                <w:sz w:val="20"/>
                <w:lang w:eastAsia="ko-KR"/>
              </w:rPr>
              <w:t>)DLS</w:t>
            </w:r>
            <w:proofErr w:type="gramEnd"/>
            <w:r w:rsidRPr="00072C05">
              <w:rPr>
                <w:rFonts w:ascii="Arial" w:hAnsi="Arial" w:cs="Arial"/>
                <w:sz w:val="20"/>
                <w:lang w:eastAsia="ko-KR"/>
              </w:rPr>
              <w:t xml:space="preserve"> peer STA", we need additional control by the network over peer-to-peer operation.  Specifically, channel selection in </w:t>
            </w:r>
            <w:proofErr w:type="gramStart"/>
            <w:r w:rsidRPr="00072C05">
              <w:rPr>
                <w:rFonts w:ascii="Arial" w:hAnsi="Arial" w:cs="Arial"/>
                <w:sz w:val="20"/>
                <w:lang w:eastAsia="ko-KR"/>
              </w:rPr>
              <w:t>an</w:t>
            </w:r>
            <w:proofErr w:type="gramEnd"/>
            <w:r w:rsidRPr="00072C05">
              <w:rPr>
                <w:rFonts w:ascii="Arial" w:hAnsi="Arial" w:cs="Arial"/>
                <w:sz w:val="20"/>
                <w:lang w:eastAsia="ko-KR"/>
              </w:rPr>
              <w:t xml:space="preserve"> dense ESS is critical in achieving high efficiency.  The network must be able to dictate which channels may be used by clients in order to manage interference.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define such a protocol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72C05" w:rsidRDefault="001A2ABD" w:rsidP="00072C0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1A2ABD" w:rsidRDefault="001A2ABD" w:rsidP="00206A5C">
            <w:pPr>
              <w:rPr>
                <w:rFonts w:ascii="Arial" w:eastAsia="굴림" w:hAnsi="Arial" w:cs="Arial"/>
                <w:sz w:val="20"/>
                <w:lang w:val="en-US" w:eastAsia="ko-KR"/>
              </w:rPr>
            </w:pPr>
            <w:r>
              <w:rPr>
                <w:rFonts w:ascii="Arial" w:eastAsia="굴림" w:hAnsi="Arial" w:cs="Arial" w:hint="eastAsia"/>
                <w:sz w:val="20"/>
                <w:lang w:val="en-US" w:eastAsia="ko-KR"/>
              </w:rPr>
              <w:t xml:space="preserve">The channel usage procedure in the base specification can be used for the channel selection mechanism of the P2P operation. </w:t>
            </w:r>
          </w:p>
          <w:p w:rsidR="00E42E63" w:rsidRDefault="00E42E63" w:rsidP="00206A5C">
            <w:pPr>
              <w:rPr>
                <w:rFonts w:ascii="Arial" w:eastAsia="굴림" w:hAnsi="Arial" w:cs="Arial"/>
                <w:sz w:val="20"/>
                <w:lang w:val="en-US" w:eastAsia="ko-KR"/>
              </w:rPr>
            </w:pPr>
            <w:r>
              <w:rPr>
                <w:rFonts w:ascii="Arial" w:eastAsia="굴림" w:hAnsi="Arial" w:cs="Arial" w:hint="eastAsia"/>
                <w:sz w:val="20"/>
                <w:lang w:val="en-US" w:eastAsia="ko-KR"/>
              </w:rPr>
              <w:t xml:space="preserve">Please review the channel usage </w:t>
            </w:r>
            <w:r>
              <w:rPr>
                <w:rFonts w:ascii="Arial" w:eastAsia="굴림" w:hAnsi="Arial" w:cs="Arial"/>
                <w:sz w:val="20"/>
                <w:lang w:val="en-US" w:eastAsia="ko-KR"/>
              </w:rPr>
              <w:t>procedure</w:t>
            </w:r>
            <w:r>
              <w:rPr>
                <w:rFonts w:ascii="Arial" w:eastAsia="굴림" w:hAnsi="Arial" w:cs="Arial" w:hint="eastAsia"/>
                <w:sz w:val="20"/>
                <w:lang w:val="en-US" w:eastAsia="ko-KR"/>
              </w:rPr>
              <w:t xml:space="preserve">. </w:t>
            </w:r>
          </w:p>
          <w:p w:rsidR="001A2ABD" w:rsidRPr="00206A5C" w:rsidRDefault="00E42E63" w:rsidP="00206A5C">
            <w:pPr>
              <w:rPr>
                <w:rFonts w:ascii="Arial" w:eastAsia="굴림" w:hAnsi="Arial" w:cs="Arial"/>
                <w:sz w:val="20"/>
                <w:lang w:val="en-US" w:eastAsia="ko-KR"/>
              </w:rPr>
            </w:pPr>
            <w:r>
              <w:rPr>
                <w:rFonts w:ascii="Arial" w:eastAsia="굴림" w:hAnsi="Arial" w:cs="Arial" w:hint="eastAsia"/>
                <w:sz w:val="20"/>
                <w:lang w:val="en-US" w:eastAsia="ko-KR"/>
              </w:rPr>
              <w:t xml:space="preserve">Then, if the commenter thinks that the channel usage </w:t>
            </w:r>
            <w:r>
              <w:rPr>
                <w:rFonts w:ascii="Arial" w:eastAsia="굴림" w:hAnsi="Arial" w:cs="Arial"/>
                <w:sz w:val="20"/>
                <w:lang w:val="en-US" w:eastAsia="ko-KR"/>
              </w:rPr>
              <w:t>procedure</w:t>
            </w:r>
            <w:r>
              <w:rPr>
                <w:rFonts w:ascii="Arial" w:eastAsia="굴림" w:hAnsi="Arial" w:cs="Arial" w:hint="eastAsia"/>
                <w:sz w:val="20"/>
                <w:lang w:val="en-US" w:eastAsia="ko-KR"/>
              </w:rPr>
              <w:t xml:space="preserve"> is not enough, please provide additional input. </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10290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What parameter should be used for Public Action frame sent from an AP to an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Define what parameter should be used for Public Action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72C05" w:rsidRDefault="005A31A9" w:rsidP="00072C0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5A31A9" w:rsidRDefault="00A353F5" w:rsidP="00206A5C">
            <w:pPr>
              <w:rPr>
                <w:rFonts w:ascii="Arial" w:eastAsia="굴림" w:hAnsi="Arial" w:cs="Arial"/>
                <w:sz w:val="20"/>
                <w:lang w:val="en-US" w:eastAsia="ko-KR"/>
              </w:rPr>
            </w:pPr>
            <w:r>
              <w:rPr>
                <w:rFonts w:ascii="Arial" w:eastAsia="굴림" w:hAnsi="Arial" w:cs="Arial" w:hint="eastAsia"/>
                <w:sz w:val="20"/>
                <w:lang w:val="en-US" w:eastAsia="ko-KR"/>
              </w:rPr>
              <w:t xml:space="preserve">The first bullet already covers the Public Action frame. </w:t>
            </w:r>
          </w:p>
          <w:p w:rsidR="00A353F5" w:rsidRDefault="00A353F5" w:rsidP="00206A5C">
            <w:pPr>
              <w:rPr>
                <w:rFonts w:ascii="Arial" w:eastAsia="굴림" w:hAnsi="Arial" w:cs="Arial"/>
                <w:sz w:val="20"/>
                <w:lang w:val="en-US" w:eastAsia="ko-KR"/>
              </w:rPr>
            </w:pPr>
            <w:r>
              <w:rPr>
                <w:rFonts w:ascii="Arial" w:eastAsia="굴림" w:hAnsi="Arial" w:cs="Arial"/>
                <w:sz w:val="20"/>
                <w:lang w:val="en-US" w:eastAsia="ko-KR"/>
              </w:rPr>
              <w:t>“</w:t>
            </w:r>
            <w:r w:rsidRPr="00A353F5">
              <w:rPr>
                <w:rFonts w:ascii="Arial" w:eastAsia="굴림" w:hAnsi="Arial" w:cs="Arial"/>
                <w:sz w:val="20"/>
                <w:lang w:val="en-US" w:eastAsia="ko-KR"/>
              </w:rPr>
              <w:t xml:space="preserve">A STA transmitting </w:t>
            </w:r>
            <w:proofErr w:type="spellStart"/>
            <w:r w:rsidRPr="00A353F5">
              <w:rPr>
                <w:rFonts w:ascii="Arial" w:eastAsia="굴림" w:hAnsi="Arial" w:cs="Arial"/>
                <w:sz w:val="20"/>
                <w:lang w:val="en-US" w:eastAsia="ko-KR"/>
              </w:rPr>
              <w:t>an</w:t>
            </w:r>
            <w:proofErr w:type="spellEnd"/>
            <w:r w:rsidRPr="00A353F5">
              <w:rPr>
                <w:rFonts w:ascii="Arial" w:eastAsia="굴림" w:hAnsi="Arial" w:cs="Arial"/>
                <w:sz w:val="20"/>
                <w:lang w:val="en-US" w:eastAsia="ko-KR"/>
              </w:rPr>
              <w:t xml:space="preserve"> HE PPDU</w:t>
            </w:r>
            <w:r>
              <w:rPr>
                <w:rFonts w:ascii="Arial" w:eastAsia="굴림" w:hAnsi="Arial" w:cs="Arial"/>
                <w:sz w:val="20"/>
                <w:lang w:val="en-US" w:eastAsia="ko-KR"/>
              </w:rPr>
              <w:t>…”</w:t>
            </w:r>
          </w:p>
          <w:p w:rsidR="00A353F5" w:rsidRPr="00072C05" w:rsidRDefault="00A353F5" w:rsidP="00206A5C">
            <w:pPr>
              <w:rPr>
                <w:rFonts w:ascii="Arial" w:eastAsia="굴림" w:hAnsi="Arial" w:cs="Arial"/>
                <w:sz w:val="20"/>
                <w:lang w:val="en-US" w:eastAsia="ko-KR"/>
              </w:rPr>
            </w:pPr>
            <w:r>
              <w:rPr>
                <w:rFonts w:ascii="Arial" w:eastAsia="굴림" w:hAnsi="Arial" w:cs="Arial" w:hint="eastAsia"/>
                <w:sz w:val="20"/>
                <w:lang w:val="en-US" w:eastAsia="ko-KR"/>
              </w:rPr>
              <w:t xml:space="preserve">Because in the base specification a term of a STA includes both a non-AP STA and an AP STA. </w:t>
            </w:r>
            <w:bookmarkStart w:id="0" w:name="_GoBack"/>
            <w:bookmarkEnd w:id="0"/>
          </w:p>
        </w:tc>
      </w:tr>
    </w:tbl>
    <w:p w:rsidR="00D35914" w:rsidRDefault="00D35914" w:rsidP="00AF7B72">
      <w:pPr>
        <w:widowControl w:val="0"/>
        <w:autoSpaceDE w:val="0"/>
        <w:autoSpaceDN w:val="0"/>
        <w:adjustRightInd w:val="0"/>
        <w:jc w:val="both"/>
        <w:rPr>
          <w:rFonts w:eastAsia="Arial,Bold"/>
          <w:b/>
          <w:bCs/>
          <w:szCs w:val="22"/>
          <w:lang w:val="en-US" w:eastAsia="ko-KR"/>
        </w:rPr>
      </w:pPr>
    </w:p>
    <w:p w:rsidR="00D35914" w:rsidRPr="00AF7B72" w:rsidRDefault="00D35914" w:rsidP="00AF7B72">
      <w:pPr>
        <w:pStyle w:val="af"/>
        <w:ind w:leftChars="0" w:left="0"/>
        <w:rPr>
          <w:b/>
          <w:bCs/>
          <w:i/>
          <w:iCs/>
          <w:lang w:eastAsia="ko-KR"/>
        </w:rPr>
      </w:pPr>
      <w:proofErr w:type="spellStart"/>
      <w:r w:rsidRPr="0041784B">
        <w:rPr>
          <w:b/>
          <w:bCs/>
          <w:i/>
          <w:iCs/>
          <w:lang w:eastAsia="ko-KR"/>
        </w:rPr>
        <w:t>TGax</w:t>
      </w:r>
      <w:proofErr w:type="spellEnd"/>
      <w:r w:rsidRPr="0041784B">
        <w:rPr>
          <w:b/>
          <w:bCs/>
          <w:i/>
          <w:iCs/>
          <w:lang w:eastAsia="ko-KR"/>
        </w:rPr>
        <w:t xml:space="preserve"> editor: change the sub-clause </w:t>
      </w:r>
      <w:r w:rsidR="00E02CEA" w:rsidRPr="0041784B">
        <w:rPr>
          <w:b/>
          <w:bCs/>
          <w:i/>
          <w:iCs/>
          <w:lang w:eastAsia="ko-KR"/>
        </w:rPr>
        <w:t>27.</w:t>
      </w:r>
      <w:r w:rsidR="00D50D09" w:rsidRPr="0041784B">
        <w:rPr>
          <w:b/>
          <w:bCs/>
          <w:i/>
          <w:iCs/>
          <w:lang w:eastAsia="ko-KR"/>
        </w:rPr>
        <w:t>11</w:t>
      </w:r>
      <w:r w:rsidR="00E02CEA" w:rsidRPr="0041784B">
        <w:rPr>
          <w:b/>
          <w:bCs/>
          <w:i/>
          <w:iCs/>
          <w:lang w:eastAsia="ko-KR"/>
        </w:rPr>
        <w:t>.</w:t>
      </w:r>
      <w:r w:rsidR="00FD67F3" w:rsidRPr="0041784B">
        <w:rPr>
          <w:b/>
          <w:bCs/>
          <w:i/>
          <w:iCs/>
          <w:lang w:eastAsia="ko-KR"/>
        </w:rPr>
        <w:t>2</w:t>
      </w:r>
      <w:r w:rsidR="00E02CEA" w:rsidRPr="0041784B">
        <w:rPr>
          <w:b/>
          <w:bCs/>
          <w:i/>
          <w:iCs/>
          <w:lang w:eastAsia="ko-KR"/>
        </w:rPr>
        <w:t xml:space="preserve"> </w:t>
      </w:r>
      <w:r w:rsidRPr="0041784B">
        <w:rPr>
          <w:b/>
          <w:bCs/>
          <w:i/>
          <w:iCs/>
          <w:lang w:eastAsia="ko-KR"/>
        </w:rPr>
        <w:t>as the following:</w:t>
      </w:r>
    </w:p>
    <w:p w:rsidR="00FD67F3" w:rsidRDefault="00FD67F3" w:rsidP="0041784B">
      <w:pPr>
        <w:pStyle w:val="H3"/>
        <w:numPr>
          <w:ilvl w:val="0"/>
          <w:numId w:val="3"/>
        </w:numPr>
        <w:suppressAutoHyphens/>
        <w:rPr>
          <w:w w:val="100"/>
        </w:rPr>
      </w:pPr>
      <w:r>
        <w:rPr>
          <w:w w:val="100"/>
        </w:rPr>
        <w:t>UPLINK_FLAG</w:t>
      </w:r>
    </w:p>
    <w:p w:rsidR="00FD67F3" w:rsidRDefault="00FD67F3" w:rsidP="00FD67F3">
      <w:pPr>
        <w:pStyle w:val="T"/>
        <w:rPr>
          <w:w w:val="100"/>
        </w:rPr>
      </w:pPr>
      <w:r>
        <w:rPr>
          <w:w w:val="100"/>
        </w:rPr>
        <w:t>The Uplink Flag is carried in the TXVECTOR parameter UPLINK_FLAG of an HE SU PPDU, HE extended range SU PPDU, and HE MU PPDU and is set as follows:</w:t>
      </w:r>
    </w:p>
    <w:p w:rsidR="00FD67F3" w:rsidRDefault="00FD67F3" w:rsidP="0041784B">
      <w:pPr>
        <w:pStyle w:val="DL1"/>
        <w:numPr>
          <w:ilvl w:val="0"/>
          <w:numId w:val="2"/>
        </w:numPr>
        <w:ind w:left="640" w:hanging="440"/>
        <w:rPr>
          <w:w w:val="100"/>
        </w:rPr>
      </w:pPr>
      <w:r>
        <w:rPr>
          <w:w w:val="100"/>
        </w:rPr>
        <w:t xml:space="preserve">A STA transmitting </w:t>
      </w:r>
      <w:proofErr w:type="spellStart"/>
      <w:r>
        <w:rPr>
          <w:w w:val="100"/>
        </w:rPr>
        <w:t>an</w:t>
      </w:r>
      <w:proofErr w:type="spellEnd"/>
      <w:r>
        <w:rPr>
          <w:w w:val="100"/>
        </w:rPr>
        <w:t xml:space="preserve"> HE PPDU that is addressed to an AP shall set the TXVECTOR parameter UPLINK_FLAG to 1, except when the HE PPDU is </w:t>
      </w:r>
      <w:r w:rsidR="005A31A9" w:rsidRPr="0041784B">
        <w:rPr>
          <w:color w:val="FF0000"/>
          <w:w w:val="100"/>
          <w:u w:val="single"/>
        </w:rPr>
        <w:t xml:space="preserve">either </w:t>
      </w:r>
      <w:r w:rsidRPr="0041784B">
        <w:rPr>
          <w:color w:val="FF0000"/>
          <w:w w:val="100"/>
          <w:u w:val="single"/>
        </w:rPr>
        <w:t xml:space="preserve">an </w:t>
      </w:r>
      <w:r w:rsidR="005A31A9" w:rsidRPr="0041784B">
        <w:rPr>
          <w:color w:val="FF0000"/>
          <w:w w:val="100"/>
          <w:u w:val="single"/>
        </w:rPr>
        <w:t xml:space="preserve">HE SU PPDU </w:t>
      </w:r>
      <w:r w:rsidR="005A31A9">
        <w:rPr>
          <w:rFonts w:hint="eastAsia"/>
          <w:w w:val="100"/>
        </w:rPr>
        <w:t xml:space="preserve">or an </w:t>
      </w:r>
      <w:r>
        <w:rPr>
          <w:w w:val="100"/>
        </w:rPr>
        <w:t>HE extended range SU PPDU with the TXOP Duration field set to all 1s and contains an RTS or CTS frame in which case the STA may set the TXVECTOR parameter UPLINK_FLAG to 0</w:t>
      </w:r>
    </w:p>
    <w:p w:rsidR="00FD67F3" w:rsidRDefault="00FD67F3" w:rsidP="0041784B">
      <w:pPr>
        <w:pStyle w:val="DL1"/>
        <w:numPr>
          <w:ilvl w:val="0"/>
          <w:numId w:val="2"/>
        </w:numPr>
        <w:ind w:left="640" w:hanging="440"/>
        <w:rPr>
          <w:w w:val="100"/>
        </w:rPr>
      </w:pPr>
      <w:r>
        <w:rPr>
          <w:w w:val="100"/>
        </w:rPr>
        <w:t xml:space="preserve">An AP transmitting </w:t>
      </w:r>
      <w:proofErr w:type="spellStart"/>
      <w:r>
        <w:rPr>
          <w:w w:val="100"/>
        </w:rPr>
        <w:t>an</w:t>
      </w:r>
      <w:proofErr w:type="spellEnd"/>
      <w:r>
        <w:rPr>
          <w:w w:val="100"/>
        </w:rPr>
        <w:t xml:space="preserve"> HE PPDU that is addressed to a non-AP STA shall set the TXVECTOR parameter UPLINK_FLAG to 0</w:t>
      </w:r>
    </w:p>
    <w:p w:rsidR="00FD67F3" w:rsidRDefault="00FD67F3" w:rsidP="0041784B">
      <w:pPr>
        <w:pStyle w:val="DL1"/>
        <w:numPr>
          <w:ilvl w:val="0"/>
          <w:numId w:val="2"/>
        </w:numPr>
        <w:ind w:left="640" w:hanging="440"/>
        <w:rPr>
          <w:w w:val="100"/>
        </w:rPr>
      </w:pPr>
      <w:r>
        <w:rPr>
          <w:w w:val="100"/>
        </w:rPr>
        <w:t xml:space="preserve">A STA transmitting </w:t>
      </w:r>
      <w:proofErr w:type="spellStart"/>
      <w:r>
        <w:rPr>
          <w:w w:val="100"/>
        </w:rPr>
        <w:t>an</w:t>
      </w:r>
      <w:proofErr w:type="spellEnd"/>
      <w:r>
        <w:rPr>
          <w:w w:val="100"/>
        </w:rPr>
        <w:t xml:space="preserve"> HE PPDU in a direct path to a </w:t>
      </w:r>
      <w:r w:rsidRPr="00D22857">
        <w:rPr>
          <w:strike/>
          <w:color w:val="FF0000"/>
          <w:w w:val="100"/>
        </w:rPr>
        <w:t>(T)</w:t>
      </w:r>
      <w:r>
        <w:rPr>
          <w:w w:val="100"/>
        </w:rPr>
        <w:t xml:space="preserve">DLS </w:t>
      </w:r>
      <w:r w:rsidR="005706F8" w:rsidRPr="00D22857">
        <w:rPr>
          <w:rFonts w:hint="eastAsia"/>
          <w:color w:val="FF0000"/>
          <w:w w:val="100"/>
          <w:u w:val="single"/>
        </w:rPr>
        <w:t>or TDLS</w:t>
      </w:r>
      <w:r w:rsidR="005706F8">
        <w:rPr>
          <w:rFonts w:hint="eastAsia"/>
          <w:w w:val="100"/>
        </w:rPr>
        <w:t xml:space="preserve"> </w:t>
      </w:r>
      <w:r>
        <w:rPr>
          <w:w w:val="100"/>
        </w:rPr>
        <w:t>peer STA, or to a member of an IBSS, or to a mesh STA, shall set the TXVECTOR parameter UPLINK_FLAG to 0</w:t>
      </w:r>
    </w:p>
    <w:p w:rsidR="00FD67F3" w:rsidRDefault="00FD67F3" w:rsidP="00FD67F3">
      <w:pPr>
        <w:pStyle w:val="Note"/>
        <w:rPr>
          <w:w w:val="100"/>
        </w:rPr>
      </w:pPr>
      <w:r>
        <w:rPr>
          <w:w w:val="100"/>
        </w:rPr>
        <w:t xml:space="preserve">NOTE—A </w:t>
      </w:r>
      <w:r w:rsidRPr="00D22857">
        <w:rPr>
          <w:strike/>
          <w:color w:val="FF0000"/>
          <w:w w:val="100"/>
        </w:rPr>
        <w:t>(T)</w:t>
      </w:r>
      <w:r>
        <w:rPr>
          <w:w w:val="100"/>
        </w:rPr>
        <w:t xml:space="preserve">DLS </w:t>
      </w:r>
      <w:r w:rsidR="005706F8">
        <w:rPr>
          <w:rFonts w:hint="eastAsia"/>
          <w:w w:val="100"/>
        </w:rPr>
        <w:t xml:space="preserve">or </w:t>
      </w:r>
      <w:r w:rsidR="005706F8" w:rsidRPr="00D22857">
        <w:rPr>
          <w:rFonts w:hint="eastAsia"/>
          <w:color w:val="FF0000"/>
          <w:w w:val="100"/>
          <w:u w:val="single"/>
        </w:rPr>
        <w:t>TDLS</w:t>
      </w:r>
      <w:r w:rsidR="005706F8">
        <w:rPr>
          <w:rFonts w:hint="eastAsia"/>
          <w:w w:val="100"/>
        </w:rPr>
        <w:t xml:space="preserve"> </w:t>
      </w:r>
      <w:r>
        <w:rPr>
          <w:w w:val="100"/>
        </w:rPr>
        <w:t>peer STA or the member of an IBSS can identify that the HE PPDU is sent in a direct path from the To DS and From DS fields of the MAC header of its MPDU(s)</w:t>
      </w:r>
    </w:p>
    <w:p w:rsidR="00FD67F3" w:rsidRPr="0041784B" w:rsidRDefault="00FD67F3" w:rsidP="00142047">
      <w:pPr>
        <w:pStyle w:val="T"/>
      </w:pPr>
      <w:r>
        <w:rPr>
          <w:w w:val="100"/>
        </w:rPr>
        <w:t xml:space="preserve">The TXVECTOR parameter UPLINK_FLAG is not present for </w:t>
      </w:r>
      <w:proofErr w:type="gramStart"/>
      <w:r>
        <w:rPr>
          <w:w w:val="100"/>
        </w:rPr>
        <w:t>HE</w:t>
      </w:r>
      <w:proofErr w:type="gramEnd"/>
      <w:r>
        <w:rPr>
          <w:w w:val="100"/>
        </w:rPr>
        <w:t xml:space="preserve"> trigger-based PPDUs.</w:t>
      </w:r>
    </w:p>
    <w:sectPr w:rsidR="00FD67F3" w:rsidRPr="0041784B"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206" w:rsidRDefault="001B7206">
      <w:r>
        <w:separator/>
      </w:r>
    </w:p>
  </w:endnote>
  <w:endnote w:type="continuationSeparator" w:id="0">
    <w:p w:rsidR="001B7206" w:rsidRDefault="001B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F31F66">
    <w:pPr>
      <w:pStyle w:val="a3"/>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A17569">
      <w:rPr>
        <w:noProof/>
      </w:rPr>
      <w:t>4</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206" w:rsidRDefault="001B7206">
      <w:r>
        <w:separator/>
      </w:r>
    </w:p>
  </w:footnote>
  <w:footnote w:type="continuationSeparator" w:id="0">
    <w:p w:rsidR="001B7206" w:rsidRDefault="001B7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072C05">
    <w:pPr>
      <w:pStyle w:val="a4"/>
      <w:tabs>
        <w:tab w:val="clear" w:pos="6480"/>
        <w:tab w:val="center" w:pos="4680"/>
        <w:tab w:val="right" w:pos="9360"/>
      </w:tabs>
      <w:rPr>
        <w:lang w:eastAsia="ko-KR"/>
      </w:rPr>
    </w:pPr>
    <w:r>
      <w:rPr>
        <w:rFonts w:hint="eastAsia"/>
        <w:lang w:eastAsia="ko-KR"/>
      </w:rPr>
      <w:t xml:space="preserve">February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sidR="00E56075">
        <w:rPr>
          <w:rFonts w:hint="eastAsia"/>
          <w:lang w:eastAsia="ko-KR"/>
        </w:rPr>
        <w:t>7</w:t>
      </w:r>
      <w:r w:rsidR="00BE4D7C">
        <w:t>/</w:t>
      </w:r>
      <w:r w:rsidR="00D8756F">
        <w:rPr>
          <w:rFonts w:hint="eastAsia"/>
          <w:lang w:eastAsia="ko-KR"/>
        </w:rPr>
        <w:t>0248</w:t>
      </w:r>
      <w:r w:rsidR="00BE4D7C">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047"/>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4E14"/>
    <w:rsid w:val="00195BC9"/>
    <w:rsid w:val="001966B3"/>
    <w:rsid w:val="001977C0"/>
    <w:rsid w:val="001A2240"/>
    <w:rsid w:val="001A2ABD"/>
    <w:rsid w:val="001A3156"/>
    <w:rsid w:val="001A342C"/>
    <w:rsid w:val="001A3BC6"/>
    <w:rsid w:val="001A552E"/>
    <w:rsid w:val="001A74D0"/>
    <w:rsid w:val="001A7DFA"/>
    <w:rsid w:val="001B01F0"/>
    <w:rsid w:val="001B047A"/>
    <w:rsid w:val="001B252D"/>
    <w:rsid w:val="001B2904"/>
    <w:rsid w:val="001B2EE1"/>
    <w:rsid w:val="001B5E65"/>
    <w:rsid w:val="001B615B"/>
    <w:rsid w:val="001B63BC"/>
    <w:rsid w:val="001B6F1D"/>
    <w:rsid w:val="001B6F32"/>
    <w:rsid w:val="001B7206"/>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6A5C"/>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7C5B"/>
    <w:rsid w:val="00407F4C"/>
    <w:rsid w:val="004122A2"/>
    <w:rsid w:val="00412A90"/>
    <w:rsid w:val="00412D0F"/>
    <w:rsid w:val="0041784B"/>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292"/>
    <w:rsid w:val="00662343"/>
    <w:rsid w:val="00662637"/>
    <w:rsid w:val="00662AB2"/>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E05"/>
    <w:rsid w:val="007137D7"/>
    <w:rsid w:val="00714BBA"/>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A1"/>
    <w:rsid w:val="007463FB"/>
    <w:rsid w:val="007467C4"/>
    <w:rsid w:val="00747A58"/>
    <w:rsid w:val="007513CD"/>
    <w:rsid w:val="00751F59"/>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6D8"/>
    <w:rsid w:val="007929B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90385"/>
    <w:rsid w:val="00A91053"/>
    <w:rsid w:val="00A9177A"/>
    <w:rsid w:val="00A91EAA"/>
    <w:rsid w:val="00A9264B"/>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11AA"/>
    <w:rsid w:val="00B2230D"/>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7988"/>
    <w:rsid w:val="00D17CDD"/>
    <w:rsid w:val="00D22857"/>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3080F"/>
    <w:rsid w:val="00E33B8F"/>
    <w:rsid w:val="00E34DFC"/>
    <w:rsid w:val="00E357EF"/>
    <w:rsid w:val="00E359E2"/>
    <w:rsid w:val="00E378A2"/>
    <w:rsid w:val="00E40405"/>
    <w:rsid w:val="00E4056F"/>
    <w:rsid w:val="00E40610"/>
    <w:rsid w:val="00E40905"/>
    <w:rsid w:val="00E41064"/>
    <w:rsid w:val="00E42E63"/>
    <w:rsid w:val="00E440E4"/>
    <w:rsid w:val="00E44BBB"/>
    <w:rsid w:val="00E44E0B"/>
    <w:rsid w:val="00E46055"/>
    <w:rsid w:val="00E52B1D"/>
    <w:rsid w:val="00E53C1B"/>
    <w:rsid w:val="00E544BE"/>
    <w:rsid w:val="00E54D26"/>
    <w:rsid w:val="00E55A03"/>
    <w:rsid w:val="00E55DBF"/>
    <w:rsid w:val="00E56075"/>
    <w:rsid w:val="00E5708C"/>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5211"/>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086A2-05B0-42BA-99EE-CE1A047A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1067</Words>
  <Characters>6088</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7141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15</cp:revision>
  <cp:lastPrinted>2010-05-04T00:47:00Z</cp:lastPrinted>
  <dcterms:created xsi:type="dcterms:W3CDTF">2017-02-08T23:33:00Z</dcterms:created>
  <dcterms:modified xsi:type="dcterms:W3CDTF">2017-02-10T20:51:00Z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