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5EEEB2E4" w:rsidR="00FD13DD" w:rsidRDefault="00E163E8" w:rsidP="00FD13DD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417BB7">
              <w:rPr>
                <w:lang w:eastAsia="ko-KR"/>
              </w:rPr>
              <w:t>28.1.1</w:t>
            </w:r>
            <w:r w:rsidR="00FD13DD">
              <w:rPr>
                <w:lang w:eastAsia="ko-KR"/>
              </w:rPr>
              <w:t xml:space="preserve"> (</w:t>
            </w:r>
            <w:r w:rsidR="00417BB7">
              <w:rPr>
                <w:lang w:eastAsia="ko-KR"/>
              </w:rPr>
              <w:t>HE PHY Introduction</w:t>
            </w:r>
            <w:r w:rsidR="00FD13DD">
              <w:rPr>
                <w:lang w:eastAsia="ko-KR"/>
              </w:rPr>
              <w:t xml:space="preserve">) </w:t>
            </w:r>
            <w:r w:rsidR="00953D56">
              <w:rPr>
                <w:lang w:eastAsia="ko-KR"/>
              </w:rPr>
              <w:t xml:space="preserve"> </w:t>
            </w:r>
          </w:p>
          <w:p w14:paraId="52B0F29E" w14:textId="72E0A784" w:rsidR="00C723BC" w:rsidRPr="00183F4C" w:rsidRDefault="00953D56" w:rsidP="00FD13DD">
            <w:pPr>
              <w:pStyle w:val="T2"/>
            </w:pPr>
            <w:r>
              <w:rPr>
                <w:lang w:eastAsia="ko-KR"/>
              </w:rPr>
              <w:t xml:space="preserve">Part </w:t>
            </w:r>
            <w:r w:rsidR="009438EE">
              <w:rPr>
                <w:lang w:eastAsia="ko-KR"/>
              </w:rPr>
              <w:t>3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548B9B3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AE6FFF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E6FFF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75EF2F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  <w:p w14:paraId="57CF593C" w14:textId="26C71BE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77777777" w:rsidR="00193B54" w:rsidRPr="002C60AE" w:rsidRDefault="00193B54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C38BF2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77F17681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93B54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180AF8A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58A397F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ACD8850" w14:textId="77777777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5C2548" w:rsidR="00193B54" w:rsidRPr="00777246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4BB8714B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>the following</w:t>
      </w:r>
      <w:r w:rsidR="00FC4D70">
        <w:rPr>
          <w:lang w:eastAsia="ko-KR"/>
        </w:rPr>
        <w:t xml:space="preserve"> </w:t>
      </w:r>
      <w:r w:rsidR="00774CF5">
        <w:rPr>
          <w:lang w:eastAsia="ko-KR"/>
        </w:rPr>
        <w:t>1</w:t>
      </w:r>
      <w:r w:rsidR="00745413">
        <w:rPr>
          <w:lang w:eastAsia="ko-KR"/>
        </w:rPr>
        <w:t>8</w:t>
      </w:r>
      <w:r w:rsidR="00FD13DD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747768">
        <w:rPr>
          <w:lang w:eastAsia="ko-KR"/>
        </w:rPr>
        <w:t>Clause 28.1.1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15CEDE53" w14:textId="77BD47E6" w:rsidR="00C3596F" w:rsidRDefault="00C3596F" w:rsidP="003E4403">
      <w:pPr>
        <w:jc w:val="both"/>
      </w:pPr>
    </w:p>
    <w:p w14:paraId="12297171" w14:textId="77777777" w:rsidR="004B7FCA" w:rsidRDefault="00774CF5" w:rsidP="00774CF5">
      <w:r>
        <w:t>8623, 8624, 8635, 8637,</w:t>
      </w:r>
      <w:r w:rsidR="004B7FCA">
        <w:t xml:space="preserve"> </w:t>
      </w:r>
      <w:r>
        <w:t xml:space="preserve">8638, </w:t>
      </w:r>
    </w:p>
    <w:p w14:paraId="7E9E7995" w14:textId="77777777" w:rsidR="004B7FCA" w:rsidRDefault="00774CF5" w:rsidP="00774CF5">
      <w:r>
        <w:t>8639, 8640, 8733, 8734,</w:t>
      </w:r>
      <w:r w:rsidR="004B7FCA">
        <w:t xml:space="preserve"> </w:t>
      </w:r>
      <w:r>
        <w:t xml:space="preserve">8736, </w:t>
      </w:r>
    </w:p>
    <w:p w14:paraId="10119B13" w14:textId="7B2A4F78" w:rsidR="00774CF5" w:rsidRDefault="00774CF5" w:rsidP="00774CF5">
      <w:r>
        <w:t>8738, 8740, 8741, 8742, 8743</w:t>
      </w:r>
      <w:r w:rsidR="00B731CC">
        <w:t>,</w:t>
      </w:r>
    </w:p>
    <w:p w14:paraId="1D2A4F20" w14:textId="45731555" w:rsidR="00B731CC" w:rsidRDefault="00B731CC" w:rsidP="00774CF5">
      <w:r>
        <w:t>10360, 10404, 10355</w:t>
      </w:r>
    </w:p>
    <w:p w14:paraId="3EC9B8DD" w14:textId="77777777" w:rsidR="00747768" w:rsidRDefault="00747768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084868BA" w14:textId="0CC9826B" w:rsidR="007728D4" w:rsidRDefault="007728D4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CID 10360 and </w:t>
      </w:r>
      <w:proofErr w:type="gramStart"/>
      <w:r>
        <w:t>8639  edited</w:t>
      </w:r>
      <w:proofErr w:type="gramEnd"/>
      <w:r>
        <w:t>.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370623" w:rsidRPr="001F620B" w14:paraId="63A95200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5C68801" w14:textId="509C2E82" w:rsidR="00370623" w:rsidRPr="003676FB" w:rsidRDefault="00370623" w:rsidP="00370623">
            <w:pPr>
              <w:jc w:val="center"/>
              <w:rPr>
                <w:sz w:val="20"/>
                <w:highlight w:val="yellow"/>
                <w:lang w:val="en-US"/>
              </w:rPr>
            </w:pPr>
            <w:r w:rsidRPr="003C121A">
              <w:rPr>
                <w:sz w:val="20"/>
                <w:lang w:val="en-US"/>
              </w:rPr>
              <w:t>8623</w:t>
            </w:r>
          </w:p>
        </w:tc>
        <w:tc>
          <w:tcPr>
            <w:tcW w:w="931" w:type="dxa"/>
            <w:shd w:val="clear" w:color="auto" w:fill="auto"/>
          </w:tcPr>
          <w:p w14:paraId="6C5C5C5C" w14:textId="12B113AF" w:rsidR="00370623" w:rsidRDefault="00370623" w:rsidP="0037062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2E5038FF" w14:textId="53F9318B" w:rsidR="00370623" w:rsidRDefault="00370623" w:rsidP="0037062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219.04</w:t>
            </w:r>
          </w:p>
        </w:tc>
        <w:tc>
          <w:tcPr>
            <w:tcW w:w="3048" w:type="dxa"/>
            <w:shd w:val="clear" w:color="auto" w:fill="auto"/>
          </w:tcPr>
          <w:p w14:paraId="56A766FA" w14:textId="013664BF" w:rsidR="00370623" w:rsidRPr="009B0374" w:rsidRDefault="00370623" w:rsidP="00370623">
            <w:pPr>
              <w:rPr>
                <w:sz w:val="20"/>
              </w:rPr>
            </w:pPr>
            <w:r w:rsidRPr="009B0374">
              <w:rPr>
                <w:sz w:val="20"/>
              </w:rPr>
              <w:t>The bullet list with additional mandatory requirements can be simplified. For instance, it looks like Clause 19 is mandatory in all cases.</w:t>
            </w:r>
          </w:p>
        </w:tc>
        <w:tc>
          <w:tcPr>
            <w:tcW w:w="2409" w:type="dxa"/>
            <w:shd w:val="clear" w:color="auto" w:fill="auto"/>
          </w:tcPr>
          <w:p w14:paraId="6F266493" w14:textId="1EC3AE0F" w:rsidR="00370623" w:rsidRPr="009B0374" w:rsidRDefault="00370623" w:rsidP="00370623">
            <w:pPr>
              <w:rPr>
                <w:sz w:val="20"/>
              </w:rPr>
            </w:pPr>
            <w:r w:rsidRPr="009B0374">
              <w:rPr>
                <w:sz w:val="20"/>
              </w:rPr>
              <w:t>Change to:</w:t>
            </w:r>
            <w:r w:rsidRPr="009B0374">
              <w:rPr>
                <w:sz w:val="20"/>
              </w:rPr>
              <w:br/>
              <w:t>"compliant with the mandatory requirements of the following PHY specifications:</w:t>
            </w:r>
            <w:r w:rsidRPr="009B0374">
              <w:rPr>
                <w:sz w:val="20"/>
              </w:rPr>
              <w:br/>
              <w:t>- Clause 19</w:t>
            </w:r>
            <w:r w:rsidRPr="009B0374">
              <w:rPr>
                <w:sz w:val="20"/>
              </w:rPr>
              <w:br/>
              <w:t>- Clause 21 for AP STAs and for non-AP STAs capable of 40 and 80 MHz channel widths in 5 GHz"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9EE7A67" w14:textId="25FC1EC4" w:rsidR="00370623" w:rsidRDefault="00370623" w:rsidP="00370623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2EED60DA" w14:textId="5D771B5E" w:rsidR="00370623" w:rsidRDefault="00370623" w:rsidP="00370623">
            <w:pPr>
              <w:rPr>
                <w:sz w:val="20"/>
              </w:rPr>
            </w:pPr>
            <w:r>
              <w:rPr>
                <w:sz w:val="20"/>
              </w:rPr>
              <w:t>Current sentences provide further clarification on Clause 19 requirements.</w:t>
            </w:r>
          </w:p>
        </w:tc>
      </w:tr>
      <w:tr w:rsidR="007D031B" w:rsidRPr="001F620B" w14:paraId="363D070A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C84E71F" w14:textId="5E43DCAE" w:rsidR="007D031B" w:rsidRPr="003C121A" w:rsidRDefault="007D031B" w:rsidP="007D03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8624</w:t>
            </w:r>
          </w:p>
        </w:tc>
        <w:tc>
          <w:tcPr>
            <w:tcW w:w="931" w:type="dxa"/>
            <w:shd w:val="clear" w:color="auto" w:fill="auto"/>
          </w:tcPr>
          <w:p w14:paraId="01A36E4D" w14:textId="6C75D514" w:rsidR="007D031B" w:rsidRDefault="007D031B" w:rsidP="007D03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75CB31DF" w14:textId="5CB9A4F3" w:rsidR="007D031B" w:rsidRDefault="007D031B" w:rsidP="007D031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209.24</w:t>
            </w:r>
          </w:p>
        </w:tc>
        <w:tc>
          <w:tcPr>
            <w:tcW w:w="3048" w:type="dxa"/>
            <w:shd w:val="clear" w:color="auto" w:fill="auto"/>
          </w:tcPr>
          <w:p w14:paraId="0F45372B" w14:textId="7DD79ADB" w:rsidR="007D031B" w:rsidRPr="009B0374" w:rsidRDefault="007D031B" w:rsidP="007D031B">
            <w:pPr>
              <w:rPr>
                <w:sz w:val="20"/>
              </w:rPr>
            </w:pPr>
            <w:r w:rsidRPr="009B0374">
              <w:rPr>
                <w:sz w:val="20"/>
              </w:rPr>
              <w:t>Other than mandating Clause 21, how can it be said that the HE PHY is "based on the VHT PHY"? The differences are in fact significant.</w:t>
            </w:r>
          </w:p>
        </w:tc>
        <w:tc>
          <w:tcPr>
            <w:tcW w:w="2409" w:type="dxa"/>
            <w:shd w:val="clear" w:color="auto" w:fill="auto"/>
          </w:tcPr>
          <w:p w14:paraId="6D623513" w14:textId="535CD1C6" w:rsidR="007D031B" w:rsidRPr="009B0374" w:rsidRDefault="007D031B" w:rsidP="007D031B">
            <w:pPr>
              <w:rPr>
                <w:sz w:val="20"/>
              </w:rPr>
            </w:pPr>
            <w:r w:rsidRPr="009B0374">
              <w:rPr>
                <w:sz w:val="20"/>
              </w:rPr>
              <w:t>I see no need to need to document the whole genealogy. This adds little information. Delete sentence (lines 24-32).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AE874DE" w14:textId="7719271F" w:rsidR="007D031B" w:rsidRDefault="007D031B" w:rsidP="007D031B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6B9B0C8A" w14:textId="1AFED2DD" w:rsidR="007D031B" w:rsidRDefault="007D031B" w:rsidP="007D031B">
            <w:pPr>
              <w:rPr>
                <w:sz w:val="20"/>
              </w:rPr>
            </w:pPr>
            <w:r>
              <w:rPr>
                <w:sz w:val="20"/>
              </w:rPr>
              <w:t>Yes, HE has many more functions on top of 11ac but the statements in ln 24-32 are true. Furthermore, similar description exists in 11ac spec.</w:t>
            </w:r>
          </w:p>
        </w:tc>
      </w:tr>
      <w:tr w:rsidR="001032B5" w:rsidRPr="001F620B" w14:paraId="28ABC2F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D02E938" w14:textId="60639D2D" w:rsidR="001032B5" w:rsidRPr="006243C4" w:rsidRDefault="001032B5" w:rsidP="001032B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8635</w:t>
            </w:r>
          </w:p>
        </w:tc>
        <w:tc>
          <w:tcPr>
            <w:tcW w:w="931" w:type="dxa"/>
            <w:shd w:val="clear" w:color="auto" w:fill="auto"/>
          </w:tcPr>
          <w:p w14:paraId="03B9DE04" w14:textId="6891B591" w:rsidR="001032B5" w:rsidRDefault="001032B5" w:rsidP="001032B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C86FCAC" w14:textId="429818B1" w:rsidR="001032B5" w:rsidRDefault="001032B5" w:rsidP="001032B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210.18</w:t>
            </w:r>
          </w:p>
        </w:tc>
        <w:tc>
          <w:tcPr>
            <w:tcW w:w="3048" w:type="dxa"/>
            <w:shd w:val="clear" w:color="auto" w:fill="auto"/>
          </w:tcPr>
          <w:p w14:paraId="31981552" w14:textId="53B0BE33" w:rsidR="001032B5" w:rsidRPr="009B0374" w:rsidRDefault="001032B5" w:rsidP="001032B5">
            <w:pPr>
              <w:rPr>
                <w:sz w:val="20"/>
              </w:rPr>
            </w:pPr>
            <w:r w:rsidRPr="009B0374">
              <w:rPr>
                <w:sz w:val="20"/>
              </w:rPr>
              <w:t>"</w:t>
            </w:r>
            <w:proofErr w:type="spellStart"/>
            <w:r w:rsidRPr="009B0374">
              <w:rPr>
                <w:sz w:val="20"/>
              </w:rPr>
              <w:t>An</w:t>
            </w:r>
            <w:proofErr w:type="spellEnd"/>
            <w:r w:rsidRPr="009B0374">
              <w:rPr>
                <w:sz w:val="20"/>
              </w:rPr>
              <w:t xml:space="preserve"> HE PPDU using HE MCS 10 or 11". Also, an RU within an MU PPDU using MCS 10 or 11?</w:t>
            </w:r>
          </w:p>
        </w:tc>
        <w:tc>
          <w:tcPr>
            <w:tcW w:w="2409" w:type="dxa"/>
            <w:shd w:val="clear" w:color="auto" w:fill="auto"/>
          </w:tcPr>
          <w:p w14:paraId="3276C587" w14:textId="3E7D97A0" w:rsidR="001032B5" w:rsidRPr="009B0374" w:rsidRDefault="001032B5" w:rsidP="001032B5">
            <w:pPr>
              <w:rPr>
                <w:sz w:val="20"/>
              </w:rPr>
            </w:pPr>
            <w:r w:rsidRPr="009B0374">
              <w:rPr>
                <w:sz w:val="20"/>
              </w:rPr>
              <w:t>Clarify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32E9A95" w14:textId="574D2703" w:rsidR="001032B5" w:rsidRDefault="001032B5" w:rsidP="001032B5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1184A49D" w14:textId="45DE86EA" w:rsidR="001032B5" w:rsidRDefault="001032B5" w:rsidP="001032B5">
            <w:pPr>
              <w:rPr>
                <w:sz w:val="20"/>
              </w:rPr>
            </w:pPr>
            <w:r>
              <w:rPr>
                <w:sz w:val="20"/>
              </w:rPr>
              <w:t>The sentence is clear. The rule is not dependent on RU sizes.</w:t>
            </w:r>
          </w:p>
        </w:tc>
      </w:tr>
      <w:tr w:rsidR="003F43FA" w:rsidRPr="001F620B" w14:paraId="2D50BD27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DC5588C" w14:textId="0D753CE4" w:rsidR="003F43FA" w:rsidRDefault="003F43FA" w:rsidP="003F43F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8637</w:t>
            </w:r>
          </w:p>
        </w:tc>
        <w:tc>
          <w:tcPr>
            <w:tcW w:w="931" w:type="dxa"/>
            <w:shd w:val="clear" w:color="auto" w:fill="auto"/>
          </w:tcPr>
          <w:p w14:paraId="66E2B11F" w14:textId="65ADA163" w:rsidR="003F43FA" w:rsidRDefault="003F43FA" w:rsidP="003F43F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21B1F04B" w14:textId="51153366" w:rsidR="003F43FA" w:rsidRDefault="003F43FA" w:rsidP="003F43F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210.31</w:t>
            </w:r>
          </w:p>
        </w:tc>
        <w:tc>
          <w:tcPr>
            <w:tcW w:w="3048" w:type="dxa"/>
            <w:shd w:val="clear" w:color="auto" w:fill="auto"/>
          </w:tcPr>
          <w:p w14:paraId="425C34A7" w14:textId="49F51654" w:rsidR="003F43FA" w:rsidRPr="009B0374" w:rsidRDefault="003F43FA" w:rsidP="003F43FA">
            <w:pPr>
              <w:rPr>
                <w:sz w:val="20"/>
              </w:rPr>
            </w:pPr>
            <w:r w:rsidRPr="009B0374">
              <w:rPr>
                <w:sz w:val="20"/>
              </w:rPr>
              <w:t>"LDPC when declaring support for MCS10 and MCS11". Confirm that this also applies to 20 MHz-only STAs.</w:t>
            </w:r>
          </w:p>
        </w:tc>
        <w:tc>
          <w:tcPr>
            <w:tcW w:w="2409" w:type="dxa"/>
            <w:shd w:val="clear" w:color="auto" w:fill="auto"/>
          </w:tcPr>
          <w:p w14:paraId="665CC87A" w14:textId="5A66698F" w:rsidR="003F43FA" w:rsidRPr="009B0374" w:rsidRDefault="003F43FA" w:rsidP="003F43FA">
            <w:pPr>
              <w:rPr>
                <w:sz w:val="20"/>
              </w:rPr>
            </w:pPr>
            <w:r w:rsidRPr="009B0374">
              <w:rPr>
                <w:sz w:val="20"/>
              </w:rPr>
              <w:t>See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5EC7302" w14:textId="7D052C5F" w:rsidR="003F43FA" w:rsidRDefault="003F43FA" w:rsidP="003F43FA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4D94B565" w14:textId="77777777" w:rsidR="003F43FA" w:rsidRDefault="003F43FA" w:rsidP="003F43FA">
            <w:pPr>
              <w:rPr>
                <w:sz w:val="20"/>
              </w:rPr>
            </w:pPr>
            <w:r>
              <w:rPr>
                <w:sz w:val="20"/>
              </w:rPr>
              <w:t xml:space="preserve">HE STA refers to both an HE AP STA and HE non-AP STA. </w:t>
            </w:r>
          </w:p>
          <w:p w14:paraId="506E3234" w14:textId="77777777" w:rsidR="003F43FA" w:rsidRDefault="003F43FA" w:rsidP="003F43FA">
            <w:pPr>
              <w:rPr>
                <w:sz w:val="20"/>
              </w:rPr>
            </w:pPr>
            <w:r>
              <w:rPr>
                <w:sz w:val="20"/>
              </w:rPr>
              <w:t xml:space="preserve">A 20 MHz-only STA is </w:t>
            </w:r>
            <w:proofErr w:type="gramStart"/>
            <w:r>
              <w:rPr>
                <w:sz w:val="20"/>
              </w:rPr>
              <w:t>an</w:t>
            </w:r>
            <w:proofErr w:type="gramEnd"/>
            <w:r>
              <w:rPr>
                <w:sz w:val="20"/>
              </w:rPr>
              <w:t xml:space="preserve"> non-AP STA.</w:t>
            </w:r>
          </w:p>
          <w:p w14:paraId="38DADBF8" w14:textId="77777777" w:rsidR="003F43FA" w:rsidRDefault="003F43FA" w:rsidP="003F43FA">
            <w:pPr>
              <w:rPr>
                <w:sz w:val="20"/>
              </w:rPr>
            </w:pPr>
            <w:r>
              <w:rPr>
                <w:sz w:val="20"/>
              </w:rPr>
              <w:t>Thus current sentence applies to 20 MHz-only STAs.</w:t>
            </w:r>
          </w:p>
          <w:p w14:paraId="1083DA0C" w14:textId="04CE7273" w:rsidR="003F43FA" w:rsidRDefault="003F43FA" w:rsidP="003F43FA">
            <w:pPr>
              <w:rPr>
                <w:sz w:val="20"/>
              </w:rPr>
            </w:pPr>
            <w:r>
              <w:rPr>
                <w:sz w:val="20"/>
              </w:rPr>
              <w:t>Exceptions relating to 20 MHz-only STAs are called upon in clause 28.1.1, wherever applicable.</w:t>
            </w:r>
          </w:p>
        </w:tc>
      </w:tr>
      <w:tr w:rsidR="006006DF" w:rsidRPr="001F620B" w14:paraId="0B866417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3620A52" w14:textId="50B938DE" w:rsidR="006006DF" w:rsidRDefault="006006DF" w:rsidP="006006D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8638</w:t>
            </w:r>
          </w:p>
        </w:tc>
        <w:tc>
          <w:tcPr>
            <w:tcW w:w="931" w:type="dxa"/>
            <w:shd w:val="clear" w:color="auto" w:fill="auto"/>
          </w:tcPr>
          <w:p w14:paraId="0332AFE7" w14:textId="6CC77A15" w:rsidR="006006DF" w:rsidRDefault="006006DF" w:rsidP="006006D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4A92E8AA" w14:textId="3BA364E0" w:rsidR="006006DF" w:rsidRDefault="006006DF" w:rsidP="006006D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210.37</w:t>
            </w:r>
          </w:p>
        </w:tc>
        <w:tc>
          <w:tcPr>
            <w:tcW w:w="3048" w:type="dxa"/>
            <w:shd w:val="clear" w:color="auto" w:fill="auto"/>
          </w:tcPr>
          <w:p w14:paraId="00F4A100" w14:textId="77AED9BA" w:rsidR="006006DF" w:rsidRPr="009B0374" w:rsidRDefault="006006DF" w:rsidP="006006DF">
            <w:pPr>
              <w:rPr>
                <w:sz w:val="20"/>
              </w:rPr>
            </w:pPr>
            <w:r w:rsidRPr="009B0374">
              <w:rPr>
                <w:sz w:val="20"/>
              </w:rPr>
              <w:t>The GI/HE-LTF mandatory requirements are to support certain combinations of values. Reword for clarity.</w:t>
            </w:r>
          </w:p>
        </w:tc>
        <w:tc>
          <w:tcPr>
            <w:tcW w:w="2409" w:type="dxa"/>
            <w:shd w:val="clear" w:color="auto" w:fill="auto"/>
          </w:tcPr>
          <w:p w14:paraId="43D11BF2" w14:textId="09E3B4C7" w:rsidR="006006DF" w:rsidRPr="009B0374" w:rsidRDefault="006006DF" w:rsidP="006006DF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For instance "Support for 0.8 </w:t>
            </w:r>
            <w:proofErr w:type="spellStart"/>
            <w:r w:rsidRPr="009B0374">
              <w:rPr>
                <w:sz w:val="20"/>
              </w:rPr>
              <w:t>usec</w:t>
            </w:r>
            <w:proofErr w:type="spellEnd"/>
            <w:r w:rsidRPr="009B0374">
              <w:rPr>
                <w:sz w:val="20"/>
              </w:rPr>
              <w:t xml:space="preserve"> GI in combination with 2x LTF" (similarly for other cases)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613DCC9" w14:textId="77777777" w:rsidR="006006DF" w:rsidRDefault="006006DF" w:rsidP="006006DF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4829ED6E" w14:textId="698EAD7F" w:rsidR="006006DF" w:rsidRDefault="006006DF" w:rsidP="006006DF">
            <w:pPr>
              <w:rPr>
                <w:sz w:val="20"/>
              </w:rPr>
            </w:pPr>
            <w:r>
              <w:rPr>
                <w:sz w:val="20"/>
              </w:rPr>
              <w:t xml:space="preserve">Agree with the comment. Choice of words is different. The </w:t>
            </w:r>
            <w:proofErr w:type="spellStart"/>
            <w:r>
              <w:rPr>
                <w:sz w:val="20"/>
              </w:rPr>
              <w:t>commentor</w:t>
            </w:r>
            <w:proofErr w:type="spellEnd"/>
            <w:r>
              <w:rPr>
                <w:sz w:val="20"/>
              </w:rPr>
              <w:t xml:space="preserve"> suggests “combination” while current sentence using alternate way to describe the same.</w:t>
            </w:r>
          </w:p>
        </w:tc>
      </w:tr>
      <w:tr w:rsidR="005F0D8E" w:rsidRPr="001F620B" w14:paraId="49F5FCD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7F291E0" w14:textId="7CF13B30" w:rsidR="005F0D8E" w:rsidRDefault="005F0D8E" w:rsidP="005F0D8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8639</w:t>
            </w:r>
          </w:p>
        </w:tc>
        <w:tc>
          <w:tcPr>
            <w:tcW w:w="931" w:type="dxa"/>
            <w:shd w:val="clear" w:color="auto" w:fill="auto"/>
          </w:tcPr>
          <w:p w14:paraId="1FD30748" w14:textId="4D788909" w:rsidR="005F0D8E" w:rsidRDefault="005F0D8E" w:rsidP="005F0D8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7DCB24E0" w14:textId="242E0DFD" w:rsidR="005F0D8E" w:rsidRDefault="005F0D8E" w:rsidP="005F0D8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210.52</w:t>
            </w:r>
          </w:p>
        </w:tc>
        <w:tc>
          <w:tcPr>
            <w:tcW w:w="3048" w:type="dxa"/>
            <w:shd w:val="clear" w:color="auto" w:fill="auto"/>
          </w:tcPr>
          <w:p w14:paraId="7552AFC4" w14:textId="347DB215" w:rsidR="005F0D8E" w:rsidRPr="009B0374" w:rsidRDefault="005F0D8E" w:rsidP="005F0D8E">
            <w:pPr>
              <w:rPr>
                <w:sz w:val="20"/>
              </w:rPr>
            </w:pPr>
            <w:r w:rsidRPr="009B0374">
              <w:rPr>
                <w:sz w:val="20"/>
              </w:rPr>
              <w:t>Mandatory support for number of spatial streams is not listed</w:t>
            </w:r>
          </w:p>
        </w:tc>
        <w:tc>
          <w:tcPr>
            <w:tcW w:w="2409" w:type="dxa"/>
            <w:shd w:val="clear" w:color="auto" w:fill="auto"/>
          </w:tcPr>
          <w:p w14:paraId="002DDEEE" w14:textId="55259709" w:rsidR="005F0D8E" w:rsidRPr="009B0374" w:rsidRDefault="005F0D8E" w:rsidP="005F0D8E">
            <w:pPr>
              <w:rPr>
                <w:sz w:val="20"/>
              </w:rPr>
            </w:pPr>
            <w:r w:rsidRPr="009B0374">
              <w:rPr>
                <w:sz w:val="20"/>
              </w:rPr>
              <w:t>What is the mandatory number of spatial streams?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48E5B96" w14:textId="77777777" w:rsidR="00CB1917" w:rsidRDefault="00CB1917" w:rsidP="00CB191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Revised—</w:t>
            </w:r>
          </w:p>
          <w:p w14:paraId="645C3001" w14:textId="39DF7798" w:rsidR="00CB1917" w:rsidRPr="00D10BAB" w:rsidRDefault="00CB1917" w:rsidP="00CB191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 in principal. </w:t>
            </w:r>
            <w:r>
              <w:rPr>
                <w:sz w:val="20"/>
              </w:rPr>
              <w:t>Proposed resolution accounts for the suggested change.</w:t>
            </w:r>
          </w:p>
          <w:p w14:paraId="3FAA7E24" w14:textId="77777777" w:rsidR="00CB1917" w:rsidRDefault="00CB1917" w:rsidP="00CB1917">
            <w:pPr>
              <w:rPr>
                <w:sz w:val="20"/>
              </w:rPr>
            </w:pPr>
          </w:p>
          <w:p w14:paraId="7ACDF326" w14:textId="30273F08" w:rsidR="005F0D8E" w:rsidRDefault="00CB1917" w:rsidP="0043731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437318">
              <w:rPr>
                <w:sz w:val="20"/>
              </w:rPr>
              <w:t>0246</w:t>
            </w:r>
            <w:r>
              <w:rPr>
                <w:sz w:val="20"/>
              </w:rPr>
              <w:t>r</w:t>
            </w:r>
            <w:r w:rsidR="00437318">
              <w:rPr>
                <w:sz w:val="20"/>
              </w:rPr>
              <w:t>1</w:t>
            </w:r>
            <w:r>
              <w:rPr>
                <w:sz w:val="20"/>
              </w:rPr>
              <w:t xml:space="preserve"> under al</w:t>
            </w:r>
            <w:r w:rsidR="00437318">
              <w:rPr>
                <w:sz w:val="20"/>
              </w:rPr>
              <w:t>l headings that include CID 8639</w:t>
            </w:r>
            <w:r>
              <w:rPr>
                <w:sz w:val="20"/>
              </w:rPr>
              <w:t>.</w:t>
            </w:r>
          </w:p>
        </w:tc>
      </w:tr>
      <w:tr w:rsidR="00A34B2A" w:rsidRPr="001F620B" w14:paraId="60286DD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779E0AA" w14:textId="7FAD5B04" w:rsidR="00A34B2A" w:rsidRDefault="00A34B2A" w:rsidP="00A34B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8640</w:t>
            </w:r>
          </w:p>
        </w:tc>
        <w:tc>
          <w:tcPr>
            <w:tcW w:w="931" w:type="dxa"/>
            <w:shd w:val="clear" w:color="auto" w:fill="auto"/>
          </w:tcPr>
          <w:p w14:paraId="79ACB9BD" w14:textId="3889ADFA" w:rsidR="00A34B2A" w:rsidRDefault="00A34B2A" w:rsidP="00A34B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725E7BA5" w14:textId="0E531EC3" w:rsidR="00A34B2A" w:rsidRDefault="00A34B2A" w:rsidP="00A34B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210.57</w:t>
            </w:r>
          </w:p>
        </w:tc>
        <w:tc>
          <w:tcPr>
            <w:tcW w:w="3048" w:type="dxa"/>
            <w:shd w:val="clear" w:color="auto" w:fill="auto"/>
          </w:tcPr>
          <w:p w14:paraId="2DBA700A" w14:textId="01988FD9" w:rsidR="00A34B2A" w:rsidRPr="009B0374" w:rsidRDefault="00A34B2A" w:rsidP="00A34B2A">
            <w:pPr>
              <w:rPr>
                <w:sz w:val="20"/>
              </w:rPr>
            </w:pPr>
            <w:r w:rsidRPr="009B0374">
              <w:rPr>
                <w:sz w:val="20"/>
              </w:rPr>
              <w:t>The GI/HE-LTF mandatory requirements are to support certain combinations of values. Reword for clarity.</w:t>
            </w:r>
          </w:p>
        </w:tc>
        <w:tc>
          <w:tcPr>
            <w:tcW w:w="2409" w:type="dxa"/>
            <w:shd w:val="clear" w:color="auto" w:fill="auto"/>
          </w:tcPr>
          <w:p w14:paraId="6468F64A" w14:textId="54D32D41" w:rsidR="00A34B2A" w:rsidRPr="009B0374" w:rsidRDefault="00A34B2A" w:rsidP="00A34B2A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For instance "Support for 0.8 </w:t>
            </w:r>
            <w:proofErr w:type="spellStart"/>
            <w:r w:rsidRPr="009B0374">
              <w:rPr>
                <w:sz w:val="20"/>
              </w:rPr>
              <w:t>usec</w:t>
            </w:r>
            <w:proofErr w:type="spellEnd"/>
            <w:r w:rsidRPr="009B0374">
              <w:rPr>
                <w:sz w:val="20"/>
              </w:rPr>
              <w:t xml:space="preserve"> GI in combination with 1x LTF" (similarly for other cases)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5B7BDA1" w14:textId="77777777" w:rsidR="00A34B2A" w:rsidRDefault="00A34B2A" w:rsidP="00A34B2A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29BD59BD" w14:textId="64F29C0F" w:rsidR="00A34B2A" w:rsidRDefault="00A34B2A" w:rsidP="00A34B2A">
            <w:pPr>
              <w:rPr>
                <w:sz w:val="20"/>
              </w:rPr>
            </w:pPr>
            <w:r>
              <w:rPr>
                <w:sz w:val="20"/>
              </w:rPr>
              <w:t xml:space="preserve">Agree with the comment. Choice of words is different. The </w:t>
            </w:r>
            <w:proofErr w:type="spellStart"/>
            <w:r>
              <w:rPr>
                <w:sz w:val="20"/>
              </w:rPr>
              <w:t>commentor</w:t>
            </w:r>
            <w:proofErr w:type="spellEnd"/>
            <w:r>
              <w:rPr>
                <w:sz w:val="20"/>
              </w:rPr>
              <w:t xml:space="preserve"> suggests “combination” while current </w:t>
            </w:r>
            <w:r>
              <w:rPr>
                <w:sz w:val="20"/>
              </w:rPr>
              <w:lastRenderedPageBreak/>
              <w:t>sentence using alternate way to describe the same.</w:t>
            </w:r>
          </w:p>
        </w:tc>
      </w:tr>
      <w:tr w:rsidR="00F17B4B" w:rsidRPr="001F620B" w14:paraId="3CE35ED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DAC61C8" w14:textId="79B9C72D" w:rsidR="00F17B4B" w:rsidRDefault="00F17B4B" w:rsidP="00F17B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8733</w:t>
            </w:r>
          </w:p>
        </w:tc>
        <w:tc>
          <w:tcPr>
            <w:tcW w:w="931" w:type="dxa"/>
            <w:shd w:val="clear" w:color="auto" w:fill="auto"/>
          </w:tcPr>
          <w:p w14:paraId="09303424" w14:textId="671AF338" w:rsidR="00F17B4B" w:rsidRDefault="00F17B4B" w:rsidP="00F17B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194CED92" w14:textId="435AC209" w:rsidR="00F17B4B" w:rsidRDefault="00F17B4B" w:rsidP="00F17B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211.10</w:t>
            </w:r>
          </w:p>
        </w:tc>
        <w:tc>
          <w:tcPr>
            <w:tcW w:w="3048" w:type="dxa"/>
            <w:shd w:val="clear" w:color="auto" w:fill="auto"/>
          </w:tcPr>
          <w:p w14:paraId="3742BF20" w14:textId="2D385E85" w:rsidR="00F17B4B" w:rsidRPr="009B0374" w:rsidRDefault="00F17B4B" w:rsidP="00F17B4B">
            <w:pPr>
              <w:rPr>
                <w:sz w:val="20"/>
              </w:rPr>
            </w:pPr>
            <w:r w:rsidRPr="009B0374">
              <w:rPr>
                <w:sz w:val="20"/>
              </w:rPr>
              <w:t>Beam change missing from list?</w:t>
            </w:r>
          </w:p>
        </w:tc>
        <w:tc>
          <w:tcPr>
            <w:tcW w:w="2409" w:type="dxa"/>
            <w:shd w:val="clear" w:color="auto" w:fill="auto"/>
          </w:tcPr>
          <w:p w14:paraId="16AAF43C" w14:textId="668ECF22" w:rsidR="00F17B4B" w:rsidRPr="009B0374" w:rsidRDefault="00F17B4B" w:rsidP="00F17B4B">
            <w:pPr>
              <w:rPr>
                <w:sz w:val="20"/>
              </w:rPr>
            </w:pPr>
            <w:r w:rsidRPr="009B0374">
              <w:rPr>
                <w:sz w:val="20"/>
              </w:rPr>
              <w:t>Add here if appropriate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FAD3BBF" w14:textId="3DBA8A97" w:rsidR="00F17B4B" w:rsidRDefault="00F17B4B" w:rsidP="00F17B4B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376871D2" w14:textId="38639CC5" w:rsidR="00F17B4B" w:rsidRDefault="00F17B4B" w:rsidP="00F17B4B">
            <w:pPr>
              <w:rPr>
                <w:sz w:val="20"/>
              </w:rPr>
            </w:pPr>
            <w:r>
              <w:rPr>
                <w:sz w:val="20"/>
              </w:rPr>
              <w:t>The complete list of HE PHY functions is PICS. Clause 28.1.1 tries to highlight majority of them.</w:t>
            </w:r>
          </w:p>
        </w:tc>
      </w:tr>
      <w:tr w:rsidR="005B727D" w:rsidRPr="001F620B" w14:paraId="4DDA46F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628DD1A" w14:textId="49E2854B" w:rsidR="005B727D" w:rsidRDefault="005B727D" w:rsidP="005B727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8734</w:t>
            </w:r>
          </w:p>
        </w:tc>
        <w:tc>
          <w:tcPr>
            <w:tcW w:w="931" w:type="dxa"/>
            <w:shd w:val="clear" w:color="auto" w:fill="auto"/>
          </w:tcPr>
          <w:p w14:paraId="68B6D8B4" w14:textId="1220743A" w:rsidR="005B727D" w:rsidRDefault="005B727D" w:rsidP="005B727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49A45C50" w14:textId="021790B8" w:rsidR="005B727D" w:rsidRDefault="005B727D" w:rsidP="005B727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211.16</w:t>
            </w:r>
          </w:p>
        </w:tc>
        <w:tc>
          <w:tcPr>
            <w:tcW w:w="3048" w:type="dxa"/>
            <w:shd w:val="clear" w:color="auto" w:fill="auto"/>
          </w:tcPr>
          <w:p w14:paraId="41764A9F" w14:textId="5147CB1A" w:rsidR="005B727D" w:rsidRPr="009B0374" w:rsidRDefault="005B727D" w:rsidP="005B727D">
            <w:pPr>
              <w:rPr>
                <w:sz w:val="20"/>
              </w:rPr>
            </w:pPr>
            <w:r w:rsidRPr="009B0374">
              <w:rPr>
                <w:sz w:val="20"/>
              </w:rPr>
              <w:t>Shouldn't sounding also be mandatory for APs that have to support MU-MIMO?</w:t>
            </w:r>
          </w:p>
        </w:tc>
        <w:tc>
          <w:tcPr>
            <w:tcW w:w="2409" w:type="dxa"/>
            <w:shd w:val="clear" w:color="auto" w:fill="auto"/>
          </w:tcPr>
          <w:p w14:paraId="72197C44" w14:textId="4A47961C" w:rsidR="005B727D" w:rsidRPr="009B0374" w:rsidRDefault="005B727D" w:rsidP="005B727D">
            <w:pPr>
              <w:rPr>
                <w:sz w:val="20"/>
              </w:rPr>
            </w:pPr>
            <w:r w:rsidRPr="009B0374">
              <w:rPr>
                <w:sz w:val="20"/>
              </w:rPr>
              <w:t>Clarify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7569F11" w14:textId="09ED4EA4" w:rsidR="005B727D" w:rsidRDefault="005B727D" w:rsidP="005B727D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56C139FB" w14:textId="4433BF64" w:rsidR="005B727D" w:rsidRDefault="005B727D" w:rsidP="005B727D">
            <w:pPr>
              <w:rPr>
                <w:sz w:val="20"/>
              </w:rPr>
            </w:pPr>
            <w:r>
              <w:rPr>
                <w:sz w:val="20"/>
              </w:rPr>
              <w:t>MU-MIMO implicitly requires sounding otherwise the function doesn’t work. Hence, there is no need to call upon sounding function here.</w:t>
            </w:r>
          </w:p>
        </w:tc>
      </w:tr>
      <w:tr w:rsidR="00AB3B02" w:rsidRPr="001F620B" w14:paraId="07DB5B5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2E37D93" w14:textId="054AECF3" w:rsidR="00AB3B02" w:rsidRDefault="00AB3B02" w:rsidP="00AB3B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8736</w:t>
            </w:r>
          </w:p>
        </w:tc>
        <w:tc>
          <w:tcPr>
            <w:tcW w:w="931" w:type="dxa"/>
            <w:shd w:val="clear" w:color="auto" w:fill="auto"/>
          </w:tcPr>
          <w:p w14:paraId="2C5542E6" w14:textId="2670D46F" w:rsidR="00AB3B02" w:rsidRDefault="00AB3B02" w:rsidP="00AB3B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5DF44ADE" w14:textId="51927BF7" w:rsidR="00AB3B02" w:rsidRDefault="00AB3B02" w:rsidP="00AB3B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212.06</w:t>
            </w:r>
          </w:p>
        </w:tc>
        <w:tc>
          <w:tcPr>
            <w:tcW w:w="3048" w:type="dxa"/>
            <w:shd w:val="clear" w:color="auto" w:fill="auto"/>
          </w:tcPr>
          <w:p w14:paraId="7FE91444" w14:textId="70BA2773" w:rsidR="00AB3B02" w:rsidRPr="009B0374" w:rsidRDefault="00AB3B02" w:rsidP="00AB3B02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Should CFO/power compensation </w:t>
            </w:r>
            <w:proofErr w:type="spellStart"/>
            <w:r w:rsidRPr="009B0374">
              <w:rPr>
                <w:sz w:val="20"/>
              </w:rPr>
              <w:t>etc</w:t>
            </w:r>
            <w:proofErr w:type="spellEnd"/>
            <w:r w:rsidRPr="009B0374">
              <w:rPr>
                <w:sz w:val="20"/>
              </w:rPr>
              <w:t xml:space="preserve"> ... be mandatory for non-AP STA that supports UL MU?</w:t>
            </w:r>
          </w:p>
        </w:tc>
        <w:tc>
          <w:tcPr>
            <w:tcW w:w="2409" w:type="dxa"/>
            <w:shd w:val="clear" w:color="auto" w:fill="auto"/>
          </w:tcPr>
          <w:p w14:paraId="2BBB6AF1" w14:textId="308851ED" w:rsidR="00AB3B02" w:rsidRPr="009B0374" w:rsidRDefault="00AB3B02" w:rsidP="00AB3B02">
            <w:pPr>
              <w:rPr>
                <w:sz w:val="20"/>
              </w:rPr>
            </w:pPr>
            <w:r w:rsidRPr="009B0374">
              <w:rPr>
                <w:sz w:val="20"/>
              </w:rPr>
              <w:t>Add appropriate requirement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BF52175" w14:textId="3ED64193" w:rsidR="00AB3B02" w:rsidRDefault="00AB3B02" w:rsidP="00AB3B02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3C9E74A7" w14:textId="77777777" w:rsidR="00AB3B02" w:rsidRDefault="00AB3B02" w:rsidP="00AB3B02">
            <w:pPr>
              <w:rPr>
                <w:sz w:val="20"/>
              </w:rPr>
            </w:pPr>
            <w:r>
              <w:rPr>
                <w:sz w:val="20"/>
              </w:rPr>
              <w:t>Yes, it is mandatory.</w:t>
            </w:r>
          </w:p>
          <w:p w14:paraId="50026B4D" w14:textId="26D808DC" w:rsidR="00AB3B02" w:rsidRDefault="00AB3B02" w:rsidP="00AB3B02">
            <w:pPr>
              <w:rPr>
                <w:sz w:val="20"/>
              </w:rPr>
            </w:pPr>
            <w:r>
              <w:rPr>
                <w:sz w:val="20"/>
              </w:rPr>
              <w:t>The complete list of HE PHY functions is PICS. Clause 28.1.1 tries to highlight majority of them.</w:t>
            </w:r>
          </w:p>
        </w:tc>
      </w:tr>
      <w:tr w:rsidR="00AD6ECA" w:rsidRPr="001F620B" w14:paraId="1C77E57A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1D636F3" w14:textId="3EAB48BF" w:rsidR="00AD6ECA" w:rsidRPr="00AD6ECA" w:rsidRDefault="00AD6ECA" w:rsidP="00AD6ECA">
            <w:pPr>
              <w:jc w:val="center"/>
              <w:rPr>
                <w:sz w:val="20"/>
                <w:highlight w:val="yellow"/>
                <w:lang w:val="en-US"/>
              </w:rPr>
            </w:pPr>
            <w:r w:rsidRPr="00114C39">
              <w:rPr>
                <w:sz w:val="20"/>
                <w:lang w:val="en-US"/>
              </w:rPr>
              <w:t>8738</w:t>
            </w:r>
          </w:p>
        </w:tc>
        <w:tc>
          <w:tcPr>
            <w:tcW w:w="931" w:type="dxa"/>
            <w:shd w:val="clear" w:color="auto" w:fill="auto"/>
          </w:tcPr>
          <w:p w14:paraId="5206DFDE" w14:textId="4C128F8B" w:rsidR="00AD6ECA" w:rsidRDefault="00AD6ECA" w:rsidP="00AD6EC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6CC72E73" w14:textId="7F199E42" w:rsidR="00AD6ECA" w:rsidRDefault="00AD6ECA" w:rsidP="00AD6EC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212.09</w:t>
            </w:r>
          </w:p>
        </w:tc>
        <w:tc>
          <w:tcPr>
            <w:tcW w:w="3048" w:type="dxa"/>
            <w:shd w:val="clear" w:color="auto" w:fill="auto"/>
          </w:tcPr>
          <w:p w14:paraId="304DD3B6" w14:textId="59A95664" w:rsidR="00AD6ECA" w:rsidRPr="009B0374" w:rsidRDefault="00AD6ECA" w:rsidP="00AD6ECA">
            <w:pPr>
              <w:rPr>
                <w:sz w:val="20"/>
              </w:rPr>
            </w:pPr>
            <w:r w:rsidRPr="009B0374">
              <w:rPr>
                <w:sz w:val="20"/>
              </w:rPr>
              <w:t>Do we need a term for a non-AP STA sending an HE MU PPDU? This sounds like neither uplink nor downlink. Can it only send to the AP or to other STAs as well?</w:t>
            </w:r>
          </w:p>
        </w:tc>
        <w:tc>
          <w:tcPr>
            <w:tcW w:w="2409" w:type="dxa"/>
            <w:shd w:val="clear" w:color="auto" w:fill="auto"/>
          </w:tcPr>
          <w:p w14:paraId="34BFB02E" w14:textId="506420C1" w:rsidR="00AD6ECA" w:rsidRPr="009B0374" w:rsidRDefault="00AD6ECA" w:rsidP="00AD6ECA">
            <w:pPr>
              <w:rPr>
                <w:sz w:val="20"/>
              </w:rPr>
            </w:pPr>
            <w:r w:rsidRPr="009B0374">
              <w:rPr>
                <w:sz w:val="20"/>
              </w:rPr>
              <w:t>Clarify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C497191" w14:textId="029368CC" w:rsidR="00AD6ECA" w:rsidRDefault="00AD6ECA" w:rsidP="00AD6ECA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38D69DFE" w14:textId="6C281D18" w:rsidR="00AD6ECA" w:rsidRDefault="00AD6ECA" w:rsidP="00AD6ECA">
            <w:pPr>
              <w:rPr>
                <w:sz w:val="20"/>
              </w:rPr>
            </w:pPr>
            <w:r>
              <w:rPr>
                <w:sz w:val="20"/>
              </w:rPr>
              <w:t>It refers to an UL SU transmission using an HE MU PPDU. For P2P/Mesh, etc., the UL/DL field is set accordingly in HE-SIG-A.</w:t>
            </w:r>
          </w:p>
        </w:tc>
      </w:tr>
      <w:tr w:rsidR="001E6DB3" w:rsidRPr="001F620B" w14:paraId="53C384D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3D859D5" w14:textId="0ECCC4DD" w:rsidR="001E6DB3" w:rsidRDefault="001E6DB3" w:rsidP="001E6D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8740</w:t>
            </w:r>
          </w:p>
        </w:tc>
        <w:tc>
          <w:tcPr>
            <w:tcW w:w="931" w:type="dxa"/>
            <w:shd w:val="clear" w:color="auto" w:fill="auto"/>
          </w:tcPr>
          <w:p w14:paraId="7DFB24C8" w14:textId="52CCD34A" w:rsidR="001E6DB3" w:rsidRDefault="001E6DB3" w:rsidP="001E6D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28.1.4</w:t>
            </w:r>
          </w:p>
        </w:tc>
        <w:tc>
          <w:tcPr>
            <w:tcW w:w="720" w:type="dxa"/>
            <w:shd w:val="clear" w:color="auto" w:fill="auto"/>
          </w:tcPr>
          <w:p w14:paraId="26BEF5C8" w14:textId="16D2ADFA" w:rsidR="001E6DB3" w:rsidRDefault="001E6DB3" w:rsidP="001E6D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213.49</w:t>
            </w:r>
          </w:p>
        </w:tc>
        <w:tc>
          <w:tcPr>
            <w:tcW w:w="3048" w:type="dxa"/>
            <w:shd w:val="clear" w:color="auto" w:fill="auto"/>
          </w:tcPr>
          <w:p w14:paraId="06E7CD81" w14:textId="3C29438A" w:rsidR="001E6DB3" w:rsidRPr="009B0374" w:rsidRDefault="001E6DB3" w:rsidP="001E6DB3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"Support for the HE SU PPDU format is mandatory." No need to state this here. This bullet lists only possible formats. Mandatory </w:t>
            </w:r>
            <w:proofErr w:type="spellStart"/>
            <w:r w:rsidRPr="009B0374">
              <w:rPr>
                <w:sz w:val="20"/>
              </w:rPr>
              <w:t>vs.optional</w:t>
            </w:r>
            <w:proofErr w:type="spellEnd"/>
            <w:r w:rsidRPr="009B0374">
              <w:rPr>
                <w:sz w:val="20"/>
              </w:rPr>
              <w:t xml:space="preserve"> is already covered in 28.1.1.</w:t>
            </w:r>
          </w:p>
        </w:tc>
        <w:tc>
          <w:tcPr>
            <w:tcW w:w="2409" w:type="dxa"/>
            <w:shd w:val="clear" w:color="auto" w:fill="auto"/>
          </w:tcPr>
          <w:p w14:paraId="05C38B29" w14:textId="1610DD8D" w:rsidR="001E6DB3" w:rsidRPr="009B0374" w:rsidRDefault="001E6DB3" w:rsidP="001E6DB3">
            <w:pPr>
              <w:rPr>
                <w:sz w:val="20"/>
              </w:rPr>
            </w:pPr>
            <w:r w:rsidRPr="009B0374">
              <w:rPr>
                <w:sz w:val="20"/>
              </w:rPr>
              <w:t>Delete "Support for the HE SU PPDU format is mandatory."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0102A97" w14:textId="23808AF9" w:rsidR="001E6DB3" w:rsidRDefault="001E6DB3" w:rsidP="001E6DB3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39BE4756" w14:textId="329CB156" w:rsidR="001E6DB3" w:rsidRDefault="001E6DB3" w:rsidP="00B73345">
            <w:pPr>
              <w:rPr>
                <w:sz w:val="20"/>
              </w:rPr>
            </w:pPr>
            <w:r>
              <w:rPr>
                <w:sz w:val="20"/>
              </w:rPr>
              <w:t>The current description makes it very clear about M/O support of frame formats. It is helpful</w:t>
            </w:r>
            <w:r w:rsidR="008C69EB">
              <w:rPr>
                <w:sz w:val="20"/>
              </w:rPr>
              <w:t xml:space="preserve"> to have </w:t>
            </w:r>
            <w:r w:rsidR="00B73345">
              <w:rPr>
                <w:sz w:val="20"/>
              </w:rPr>
              <w:t>basic</w:t>
            </w:r>
            <w:r w:rsidR="008C69EB">
              <w:rPr>
                <w:sz w:val="20"/>
              </w:rPr>
              <w:t xml:space="preserve"> information </w:t>
            </w:r>
            <w:r w:rsidR="00B73345">
              <w:rPr>
                <w:sz w:val="20"/>
              </w:rPr>
              <w:t xml:space="preserve">on PPDU formats </w:t>
            </w:r>
            <w:r w:rsidR="008C69EB">
              <w:rPr>
                <w:sz w:val="20"/>
              </w:rPr>
              <w:t>in one clause.</w:t>
            </w:r>
          </w:p>
        </w:tc>
      </w:tr>
      <w:tr w:rsidR="008C69EB" w:rsidRPr="001F620B" w14:paraId="45A0AFBA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7B88DC5" w14:textId="408245BE" w:rsidR="008C69EB" w:rsidRDefault="008C69EB" w:rsidP="008C69E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8741</w:t>
            </w:r>
          </w:p>
        </w:tc>
        <w:tc>
          <w:tcPr>
            <w:tcW w:w="931" w:type="dxa"/>
            <w:shd w:val="clear" w:color="auto" w:fill="auto"/>
          </w:tcPr>
          <w:p w14:paraId="2E23A5AB" w14:textId="60BA5553" w:rsidR="008C69EB" w:rsidRDefault="008C69EB" w:rsidP="008C69E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28.1.4</w:t>
            </w:r>
          </w:p>
        </w:tc>
        <w:tc>
          <w:tcPr>
            <w:tcW w:w="720" w:type="dxa"/>
            <w:shd w:val="clear" w:color="auto" w:fill="auto"/>
          </w:tcPr>
          <w:p w14:paraId="28976890" w14:textId="6768400B" w:rsidR="008C69EB" w:rsidRDefault="008C69EB" w:rsidP="008C69E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213.52</w:t>
            </w:r>
          </w:p>
        </w:tc>
        <w:tc>
          <w:tcPr>
            <w:tcW w:w="3048" w:type="dxa"/>
            <w:shd w:val="clear" w:color="auto" w:fill="auto"/>
          </w:tcPr>
          <w:p w14:paraId="5393352D" w14:textId="54CD72C3" w:rsidR="008C69EB" w:rsidRPr="009B0374" w:rsidRDefault="008C69EB" w:rsidP="008C69EB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"Support for the HE extended range SU PPDU format is mandatory." No need to state this here. This bullet lists only possible formats. Mandatory </w:t>
            </w:r>
            <w:proofErr w:type="spellStart"/>
            <w:r w:rsidRPr="009B0374">
              <w:rPr>
                <w:sz w:val="20"/>
              </w:rPr>
              <w:t>vs.optional</w:t>
            </w:r>
            <w:proofErr w:type="spellEnd"/>
            <w:r w:rsidRPr="009B0374">
              <w:rPr>
                <w:sz w:val="20"/>
              </w:rPr>
              <w:t xml:space="preserve"> is already covered in 28.1.1.</w:t>
            </w:r>
          </w:p>
        </w:tc>
        <w:tc>
          <w:tcPr>
            <w:tcW w:w="2409" w:type="dxa"/>
            <w:shd w:val="clear" w:color="auto" w:fill="auto"/>
          </w:tcPr>
          <w:p w14:paraId="516BE985" w14:textId="68B89627" w:rsidR="008C69EB" w:rsidRPr="009B0374" w:rsidRDefault="008C69EB" w:rsidP="008C69EB">
            <w:pPr>
              <w:rPr>
                <w:sz w:val="20"/>
              </w:rPr>
            </w:pPr>
            <w:r w:rsidRPr="009B0374">
              <w:rPr>
                <w:sz w:val="20"/>
              </w:rPr>
              <w:t>Delete "Support for the HE extended range SU PPDU format is mandatory."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6201747" w14:textId="77777777" w:rsidR="008C69EB" w:rsidRDefault="008C69EB" w:rsidP="008C69EB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33EA7BEB" w14:textId="3839899F" w:rsidR="008C69EB" w:rsidRDefault="008C69EB" w:rsidP="00B73345">
            <w:pPr>
              <w:rPr>
                <w:sz w:val="20"/>
              </w:rPr>
            </w:pPr>
            <w:r>
              <w:rPr>
                <w:sz w:val="20"/>
              </w:rPr>
              <w:t>The current description makes it very clear about M/O support of frame formats. It is helpful</w:t>
            </w:r>
            <w:r w:rsidR="00B73345">
              <w:rPr>
                <w:sz w:val="20"/>
              </w:rPr>
              <w:t xml:space="preserve"> to have basic information on PPDU formants in one clause</w:t>
            </w:r>
            <w:r w:rsidR="00DA171C">
              <w:rPr>
                <w:sz w:val="20"/>
              </w:rPr>
              <w:t>.</w:t>
            </w:r>
          </w:p>
        </w:tc>
      </w:tr>
      <w:tr w:rsidR="00DA171C" w:rsidRPr="001F620B" w14:paraId="16699A6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0A1374E" w14:textId="73748101" w:rsidR="00DA171C" w:rsidRDefault="007C24D5" w:rsidP="00DA1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  <w:r w:rsidR="00DA171C">
              <w:rPr>
                <w:sz w:val="20"/>
                <w:lang w:val="en-US"/>
              </w:rPr>
              <w:t>742</w:t>
            </w:r>
          </w:p>
        </w:tc>
        <w:tc>
          <w:tcPr>
            <w:tcW w:w="931" w:type="dxa"/>
            <w:shd w:val="clear" w:color="auto" w:fill="auto"/>
          </w:tcPr>
          <w:p w14:paraId="63D37EF4" w14:textId="45CDEC7B" w:rsidR="00DA171C" w:rsidRDefault="00DA171C" w:rsidP="00DA1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28.1.4</w:t>
            </w:r>
          </w:p>
        </w:tc>
        <w:tc>
          <w:tcPr>
            <w:tcW w:w="720" w:type="dxa"/>
            <w:shd w:val="clear" w:color="auto" w:fill="auto"/>
          </w:tcPr>
          <w:p w14:paraId="43BA4BC1" w14:textId="07F5FC95" w:rsidR="00DA171C" w:rsidRDefault="00DA171C" w:rsidP="00DA1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312.55</w:t>
            </w:r>
          </w:p>
        </w:tc>
        <w:tc>
          <w:tcPr>
            <w:tcW w:w="3048" w:type="dxa"/>
            <w:shd w:val="clear" w:color="auto" w:fill="auto"/>
          </w:tcPr>
          <w:p w14:paraId="5CF90148" w14:textId="4C530AFB" w:rsidR="00DA171C" w:rsidRPr="009B0374" w:rsidRDefault="00DA171C" w:rsidP="00DA171C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"Support for the HE MU PPDU format is mandatory." No need to state this here. This bullet lists only possible formats. Mandatory </w:t>
            </w:r>
            <w:proofErr w:type="spellStart"/>
            <w:r w:rsidRPr="009B0374">
              <w:rPr>
                <w:sz w:val="20"/>
              </w:rPr>
              <w:t>vs.optional</w:t>
            </w:r>
            <w:proofErr w:type="spellEnd"/>
            <w:r w:rsidRPr="009B0374">
              <w:rPr>
                <w:sz w:val="20"/>
              </w:rPr>
              <w:t xml:space="preserve"> is already covered in 28.1.1.</w:t>
            </w:r>
          </w:p>
        </w:tc>
        <w:tc>
          <w:tcPr>
            <w:tcW w:w="2409" w:type="dxa"/>
            <w:shd w:val="clear" w:color="auto" w:fill="auto"/>
          </w:tcPr>
          <w:p w14:paraId="57B2FCA6" w14:textId="28D929F5" w:rsidR="00DA171C" w:rsidRPr="009B0374" w:rsidRDefault="00DA171C" w:rsidP="00DA171C">
            <w:pPr>
              <w:rPr>
                <w:sz w:val="20"/>
              </w:rPr>
            </w:pPr>
            <w:r w:rsidRPr="009B0374">
              <w:rPr>
                <w:sz w:val="20"/>
              </w:rPr>
              <w:t>Delete "Support for the HE MU PPDU format is mandatory."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F48368C" w14:textId="77777777" w:rsidR="00DA171C" w:rsidRDefault="00DA171C" w:rsidP="00DA171C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08934FD0" w14:textId="606147FD" w:rsidR="00DA171C" w:rsidRDefault="00DA171C" w:rsidP="00DA171C">
            <w:pPr>
              <w:rPr>
                <w:sz w:val="20"/>
              </w:rPr>
            </w:pPr>
            <w:r>
              <w:rPr>
                <w:sz w:val="20"/>
              </w:rPr>
              <w:t>The current description makes it very clear about M/O support of frame formats. It is helpful to have basic information on PPDU formants in one clause.</w:t>
            </w:r>
          </w:p>
        </w:tc>
      </w:tr>
      <w:tr w:rsidR="007C24D5" w:rsidRPr="001F620B" w14:paraId="6B93417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CCBD738" w14:textId="57860A02" w:rsidR="007C24D5" w:rsidRDefault="007C24D5" w:rsidP="007C24D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8743</w:t>
            </w:r>
          </w:p>
        </w:tc>
        <w:tc>
          <w:tcPr>
            <w:tcW w:w="931" w:type="dxa"/>
            <w:shd w:val="clear" w:color="auto" w:fill="auto"/>
          </w:tcPr>
          <w:p w14:paraId="230C452E" w14:textId="0888D931" w:rsidR="007C24D5" w:rsidRDefault="007C24D5" w:rsidP="007C24D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28.1.4</w:t>
            </w:r>
          </w:p>
        </w:tc>
        <w:tc>
          <w:tcPr>
            <w:tcW w:w="720" w:type="dxa"/>
            <w:shd w:val="clear" w:color="auto" w:fill="auto"/>
          </w:tcPr>
          <w:p w14:paraId="28C6B447" w14:textId="0500F0C4" w:rsidR="007C24D5" w:rsidRDefault="007C24D5" w:rsidP="007C24D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213.60</w:t>
            </w:r>
          </w:p>
        </w:tc>
        <w:tc>
          <w:tcPr>
            <w:tcW w:w="3048" w:type="dxa"/>
            <w:shd w:val="clear" w:color="auto" w:fill="auto"/>
          </w:tcPr>
          <w:p w14:paraId="69FED4F8" w14:textId="2EE99D5E" w:rsidR="007C24D5" w:rsidRPr="009B0374" w:rsidRDefault="007C24D5" w:rsidP="007C24D5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"Support for the HE trigger-based PPDU format is mandatory." No need to state this here. This bullet lists only possible formats. Mandatory </w:t>
            </w:r>
            <w:proofErr w:type="spellStart"/>
            <w:r w:rsidRPr="009B0374">
              <w:rPr>
                <w:sz w:val="20"/>
              </w:rPr>
              <w:t>vs.optional</w:t>
            </w:r>
            <w:proofErr w:type="spellEnd"/>
            <w:r w:rsidRPr="009B0374">
              <w:rPr>
                <w:sz w:val="20"/>
              </w:rPr>
              <w:t xml:space="preserve"> is already covered in 28.1.1.</w:t>
            </w:r>
          </w:p>
        </w:tc>
        <w:tc>
          <w:tcPr>
            <w:tcW w:w="2409" w:type="dxa"/>
            <w:shd w:val="clear" w:color="auto" w:fill="auto"/>
          </w:tcPr>
          <w:p w14:paraId="703D0B60" w14:textId="5346DF96" w:rsidR="007C24D5" w:rsidRPr="009B0374" w:rsidRDefault="007C24D5" w:rsidP="007C24D5">
            <w:pPr>
              <w:rPr>
                <w:sz w:val="20"/>
              </w:rPr>
            </w:pPr>
            <w:r w:rsidRPr="009B0374">
              <w:rPr>
                <w:sz w:val="20"/>
              </w:rPr>
              <w:t>Delete "Support for the HE trigger-based PPDU format is mandatory."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52E3AEB" w14:textId="77777777" w:rsidR="007C24D5" w:rsidRDefault="007C24D5" w:rsidP="007C24D5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70EA678B" w14:textId="19971E6B" w:rsidR="007C24D5" w:rsidRDefault="007C24D5" w:rsidP="007C24D5">
            <w:pPr>
              <w:rPr>
                <w:sz w:val="20"/>
              </w:rPr>
            </w:pPr>
            <w:r>
              <w:rPr>
                <w:sz w:val="20"/>
              </w:rPr>
              <w:t>The current description makes it very clear about M/O support of frame formats. It is helpful to have basic information on PPDU formants in one clause.</w:t>
            </w:r>
          </w:p>
        </w:tc>
      </w:tr>
      <w:tr w:rsidR="009067AD" w:rsidRPr="001F620B" w14:paraId="6784C3E8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05F0DD6" w14:textId="6B5C817B" w:rsidR="009067AD" w:rsidRDefault="009067AD" w:rsidP="009067A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10360</w:t>
            </w:r>
          </w:p>
        </w:tc>
        <w:tc>
          <w:tcPr>
            <w:tcW w:w="931" w:type="dxa"/>
            <w:shd w:val="clear" w:color="auto" w:fill="auto"/>
          </w:tcPr>
          <w:p w14:paraId="59A2887B" w14:textId="4177B4B9" w:rsidR="009067AD" w:rsidRDefault="009067AD" w:rsidP="009067A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28.1.4</w:t>
            </w:r>
          </w:p>
        </w:tc>
        <w:tc>
          <w:tcPr>
            <w:tcW w:w="720" w:type="dxa"/>
            <w:shd w:val="clear" w:color="auto" w:fill="auto"/>
          </w:tcPr>
          <w:p w14:paraId="4B5ACA4D" w14:textId="41F0EAF4" w:rsidR="009067AD" w:rsidRDefault="009067AD" w:rsidP="009067A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213.58</w:t>
            </w:r>
          </w:p>
        </w:tc>
        <w:tc>
          <w:tcPr>
            <w:tcW w:w="3048" w:type="dxa"/>
            <w:shd w:val="clear" w:color="auto" w:fill="auto"/>
          </w:tcPr>
          <w:p w14:paraId="750FB83F" w14:textId="4CD0F2EB" w:rsidR="009067AD" w:rsidRPr="009067AD" w:rsidRDefault="009067AD" w:rsidP="009067AD">
            <w:pPr>
              <w:rPr>
                <w:sz w:val="20"/>
              </w:rPr>
            </w:pPr>
            <w:r w:rsidRPr="009067AD">
              <w:rPr>
                <w:sz w:val="20"/>
              </w:rPr>
              <w:t>The preamble format prior to the HE-STF field is identical to the</w:t>
            </w:r>
            <w:r w:rsidRPr="009067AD">
              <w:rPr>
                <w:sz w:val="20"/>
              </w:rPr>
              <w:br/>
              <w:t xml:space="preserve">HE SU PPDU. (1) How do you manage packet preamble </w:t>
            </w:r>
            <w:proofErr w:type="gramStart"/>
            <w:r w:rsidRPr="009067AD">
              <w:rPr>
                <w:sz w:val="20"/>
              </w:rPr>
              <w:t>overlap.</w:t>
            </w:r>
            <w:proofErr w:type="gramEnd"/>
            <w:r w:rsidRPr="009067AD">
              <w:rPr>
                <w:sz w:val="20"/>
              </w:rPr>
              <w:t xml:space="preserve"> Problem discussed here: https://mentor.ieee.org/802.11/dcn/15/11-15-0550-01-00ax-l-preamble-issues-for-ul-ofdma.pptx (2) add text that indicates preamble only transmitted in 20 MHz that contains data.</w:t>
            </w:r>
          </w:p>
        </w:tc>
        <w:tc>
          <w:tcPr>
            <w:tcW w:w="2409" w:type="dxa"/>
            <w:shd w:val="clear" w:color="auto" w:fill="auto"/>
          </w:tcPr>
          <w:p w14:paraId="771C45A4" w14:textId="07041045" w:rsidR="009067AD" w:rsidRPr="009067AD" w:rsidRDefault="009067AD" w:rsidP="009067AD">
            <w:pPr>
              <w:rPr>
                <w:sz w:val="20"/>
              </w:rPr>
            </w:pPr>
            <w:r w:rsidRPr="009067AD">
              <w:rPr>
                <w:sz w:val="20"/>
              </w:rPr>
              <w:t>As discussed in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85CE4FD" w14:textId="550BEDF8" w:rsidR="009067AD" w:rsidRDefault="009067AD" w:rsidP="009067AD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2A5C4495" w14:textId="77777777" w:rsidR="00A03C38" w:rsidRDefault="00A03C38" w:rsidP="00A03C38">
            <w:pPr>
              <w:pStyle w:val="ListParagraph"/>
              <w:numPr>
                <w:ilvl w:val="0"/>
                <w:numId w:val="37"/>
              </w:numPr>
              <w:spacing w:after="160" w:line="252" w:lineRule="auto"/>
              <w:ind w:leftChars="0"/>
              <w:contextualSpacing/>
              <w:rPr>
                <w:sz w:val="22"/>
                <w:lang w:val="en-US"/>
              </w:rPr>
            </w:pPr>
            <w:r>
              <w:t xml:space="preserve">Comment 1: on </w:t>
            </w:r>
            <w:proofErr w:type="spellStart"/>
            <w:r>
              <w:t>pg</w:t>
            </w:r>
            <w:proofErr w:type="spellEnd"/>
            <w:r>
              <w:t xml:space="preserve"> 263 line 50, D0.1: The total power of the time domain HE modulated field signals summed over all transmit chains should not exceed the total power of the time domain pre-HE modulated field signals summed over all transmit chains </w:t>
            </w:r>
          </w:p>
          <w:p w14:paraId="30BFC5A5" w14:textId="77777777" w:rsidR="00A03C38" w:rsidRDefault="00A03C38" w:rsidP="00A03C38">
            <w:pPr>
              <w:pStyle w:val="ListParagraph"/>
              <w:numPr>
                <w:ilvl w:val="1"/>
                <w:numId w:val="37"/>
              </w:numPr>
              <w:spacing w:after="160" w:line="252" w:lineRule="auto"/>
              <w:ind w:leftChars="0"/>
              <w:contextualSpacing/>
            </w:pPr>
            <w:r>
              <w:t>Implies that there may be a change in power between both regions of the packet.</w:t>
            </w:r>
          </w:p>
          <w:p w14:paraId="12A88F0E" w14:textId="1F5DDF15" w:rsidR="009067AD" w:rsidRPr="006A1F42" w:rsidRDefault="00A03C38" w:rsidP="006A1F42">
            <w:pPr>
              <w:rPr>
                <w:sz w:val="20"/>
              </w:rPr>
            </w:pPr>
            <w:r>
              <w:t xml:space="preserve">Comment 2: on </w:t>
            </w:r>
            <w:proofErr w:type="spellStart"/>
            <w:r>
              <w:t>pg</w:t>
            </w:r>
            <w:proofErr w:type="spellEnd"/>
            <w:r>
              <w:t xml:space="preserve"> 244 line 30 D0.1: In the HE trigger-based PPDU, the pre-HE-STF </w:t>
            </w:r>
            <w:r>
              <w:lastRenderedPageBreak/>
              <w:t>preamble, which includes legacy preamble, RL-SIG and HE-SIG-A fields, is sent only on the 20 MHz channels where the STA’s HE modulated fields are located.</w:t>
            </w:r>
          </w:p>
        </w:tc>
      </w:tr>
      <w:tr w:rsidR="009067AD" w:rsidRPr="001F620B" w14:paraId="111E6083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A1C7EA4" w14:textId="21E52E99" w:rsidR="009067AD" w:rsidRDefault="009067AD" w:rsidP="009067A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10404</w:t>
            </w:r>
          </w:p>
        </w:tc>
        <w:tc>
          <w:tcPr>
            <w:tcW w:w="931" w:type="dxa"/>
            <w:shd w:val="clear" w:color="auto" w:fill="auto"/>
          </w:tcPr>
          <w:p w14:paraId="52332973" w14:textId="008FFF9C" w:rsidR="009067AD" w:rsidRDefault="009067AD" w:rsidP="009067A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FCA12BF" w14:textId="3E5C9369" w:rsidR="009067AD" w:rsidRDefault="009067AD" w:rsidP="009067A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209.42</w:t>
            </w:r>
          </w:p>
        </w:tc>
        <w:tc>
          <w:tcPr>
            <w:tcW w:w="3048" w:type="dxa"/>
            <w:shd w:val="clear" w:color="auto" w:fill="auto"/>
          </w:tcPr>
          <w:p w14:paraId="563DE76D" w14:textId="66A46592" w:rsidR="009067AD" w:rsidRPr="009067AD" w:rsidRDefault="009067AD" w:rsidP="009067AD">
            <w:pPr>
              <w:rPr>
                <w:sz w:val="20"/>
              </w:rPr>
            </w:pPr>
            <w:r w:rsidRPr="00B731CC">
              <w:rPr>
                <w:sz w:val="20"/>
              </w:rPr>
              <w:t>"For</w:t>
            </w:r>
            <w:r w:rsidRPr="00B731CC">
              <w:rPr>
                <w:sz w:val="20"/>
              </w:rPr>
              <w:br/>
              <w:t>channel widths greater than or equal to 80 MHz, the HE PHY supports channel puncturing transmissions</w:t>
            </w:r>
            <w:r w:rsidRPr="00B731CC">
              <w:rPr>
                <w:sz w:val="20"/>
              </w:rPr>
              <w:br/>
              <w:t>where one or more of the non-primary 20 MHz channels in an HE MU PPDU with more than one RU is</w:t>
            </w:r>
            <w:r w:rsidRPr="00B731CC">
              <w:rPr>
                <w:sz w:val="20"/>
              </w:rPr>
              <w:br/>
              <w:t xml:space="preserve">zeroed out." No explicit description of channel puncturing in specification. No discussion of dual transmission with HE-trigger-based PPDU. The duality is alluded to in </w:t>
            </w:r>
            <w:proofErr w:type="spellStart"/>
            <w:r w:rsidRPr="00B731CC">
              <w:rPr>
                <w:sz w:val="20"/>
              </w:rPr>
              <w:t>pg</w:t>
            </w:r>
            <w:proofErr w:type="spellEnd"/>
            <w:r w:rsidRPr="00B731CC">
              <w:rPr>
                <w:sz w:val="20"/>
              </w:rPr>
              <w:t xml:space="preserve"> 268 line 62 "</w:t>
            </w:r>
            <w:proofErr w:type="gramStart"/>
            <w:r w:rsidRPr="00B731CC">
              <w:rPr>
                <w:sz w:val="20"/>
              </w:rPr>
              <w:t>Omega :</w:t>
            </w:r>
            <w:proofErr w:type="gramEnd"/>
            <w:r w:rsidRPr="00B731CC">
              <w:rPr>
                <w:sz w:val="20"/>
              </w:rPr>
              <w:t xml:space="preserve"> is a set of 20 MHz channels that contains the channels where pre-HE modulated fields are</w:t>
            </w:r>
            <w:r w:rsidRPr="00B731CC">
              <w:rPr>
                <w:sz w:val="20"/>
              </w:rPr>
              <w:br/>
              <w:t>located and the channel indices are within 0 to N20MHz - 1 in an HE trigger-based PPDU or</w:t>
            </w:r>
            <w:r w:rsidRPr="00B731CC">
              <w:rPr>
                <w:sz w:val="20"/>
              </w:rPr>
              <w:br/>
              <w:t xml:space="preserve">HE MU PPDU with preamble puncturing, or equal to {0, 1, …, N20MHz - 1} otherwise." but not explicitly stated. Also no link to preamble puncturing (see </w:t>
            </w:r>
            <w:proofErr w:type="spellStart"/>
            <w:r w:rsidRPr="00B731CC">
              <w:rPr>
                <w:sz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82 line 45)</w:t>
            </w:r>
          </w:p>
        </w:tc>
        <w:tc>
          <w:tcPr>
            <w:tcW w:w="2409" w:type="dxa"/>
            <w:shd w:val="clear" w:color="auto" w:fill="auto"/>
          </w:tcPr>
          <w:p w14:paraId="1FE429B9" w14:textId="4BD98B6C" w:rsidR="009067AD" w:rsidRPr="009067AD" w:rsidRDefault="009067AD" w:rsidP="009067AD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explicitly describe puncturing 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3C691F6" w14:textId="7264D67A" w:rsidR="009067AD" w:rsidRDefault="009067AD" w:rsidP="009067AD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0F2171FB" w14:textId="39CC802B" w:rsidR="009067AD" w:rsidRDefault="00345D53" w:rsidP="009067AD">
            <w:pPr>
              <w:rPr>
                <w:sz w:val="20"/>
              </w:rPr>
            </w:pPr>
            <w:proofErr w:type="gramStart"/>
            <w:r>
              <w:t>on</w:t>
            </w:r>
            <w:proofErr w:type="gramEnd"/>
            <w:r>
              <w:t xml:space="preserve"> </w:t>
            </w:r>
            <w:proofErr w:type="spellStart"/>
            <w:r>
              <w:t>pg</w:t>
            </w:r>
            <w:proofErr w:type="spellEnd"/>
            <w:r>
              <w:t xml:space="preserve"> 244 line 30 D0.1: In the HE trigger-based PPDU, the pre-HE-STF preamble, which includes legacy preamble, RL-SIG and HE-SIG-A fields, is sent only on the 20 MHz channels where the STA’s HE modulated fields are located.</w:t>
            </w:r>
            <w:bookmarkStart w:id="0" w:name="_GoBack"/>
            <w:bookmarkEnd w:id="0"/>
          </w:p>
        </w:tc>
      </w:tr>
      <w:tr w:rsidR="00B731CC" w:rsidRPr="001F620B" w14:paraId="162071C3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2021AC2" w14:textId="77777777" w:rsidR="00B731CC" w:rsidRDefault="00B731CC" w:rsidP="009067A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931" w:type="dxa"/>
            <w:shd w:val="clear" w:color="auto" w:fill="auto"/>
          </w:tcPr>
          <w:p w14:paraId="25C93375" w14:textId="77777777" w:rsidR="00B731CC" w:rsidRDefault="00B731CC" w:rsidP="009067A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32C7E513" w14:textId="77777777" w:rsidR="00B731CC" w:rsidRDefault="00B731CC" w:rsidP="009067A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048" w:type="dxa"/>
            <w:shd w:val="clear" w:color="auto" w:fill="auto"/>
          </w:tcPr>
          <w:p w14:paraId="39ABE504" w14:textId="77777777" w:rsidR="00B731CC" w:rsidRPr="00B731CC" w:rsidRDefault="00B731CC" w:rsidP="009067AD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27D9F80" w14:textId="77777777" w:rsidR="00B731CC" w:rsidRDefault="00B731CC" w:rsidP="009067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85CAB31" w14:textId="77777777" w:rsidR="00B731CC" w:rsidRDefault="00B731CC" w:rsidP="009067AD">
            <w:pPr>
              <w:rPr>
                <w:sz w:val="20"/>
              </w:rPr>
            </w:pPr>
          </w:p>
        </w:tc>
      </w:tr>
    </w:tbl>
    <w:p w14:paraId="2D43A42B" w14:textId="035302BB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65AB172E" w14:textId="31020C26" w:rsidR="00437318" w:rsidRDefault="00437318" w:rsidP="00437318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TGax</w:t>
      </w:r>
      <w:proofErr w:type="spellEnd"/>
      <w:r w:rsidRPr="00E90109">
        <w:rPr>
          <w:rStyle w:val="Strong"/>
          <w:highlight w:val="yellow"/>
        </w:rPr>
        <w:t xml:space="preserve"> Editor: Please make the following changes to </w:t>
      </w:r>
      <w:proofErr w:type="spellStart"/>
      <w:r>
        <w:rPr>
          <w:rStyle w:val="Strong"/>
          <w:highlight w:val="yellow"/>
        </w:rPr>
        <w:t>pg</w:t>
      </w:r>
      <w:proofErr w:type="spellEnd"/>
      <w:r>
        <w:rPr>
          <w:rStyle w:val="Strong"/>
          <w:highlight w:val="yellow"/>
        </w:rPr>
        <w:t xml:space="preserve"> 210, Ln 34</w:t>
      </w:r>
      <w:r w:rsidRPr="00E90109">
        <w:rPr>
          <w:rStyle w:val="Strong"/>
          <w:highlight w:val="yellow"/>
        </w:rPr>
        <w:t xml:space="preserve"> (</w:t>
      </w:r>
      <w:r>
        <w:rPr>
          <w:rStyle w:val="Strong"/>
          <w:highlight w:val="yellow"/>
        </w:rPr>
        <w:t>CIDs: 5789, and 9114</w:t>
      </w:r>
      <w:r w:rsidRPr="00E90109">
        <w:rPr>
          <w:rStyle w:val="Strong"/>
          <w:highlight w:val="yellow"/>
        </w:rPr>
        <w:t>)</w:t>
      </w:r>
    </w:p>
    <w:p w14:paraId="3698CF11" w14:textId="3D2C794B" w:rsidR="00437318" w:rsidRDefault="00437318" w:rsidP="00437318">
      <w:pPr>
        <w:pStyle w:val="ListParagraph"/>
        <w:numPr>
          <w:ilvl w:val="0"/>
          <w:numId w:val="36"/>
        </w:numPr>
        <w:spacing w:after="160" w:line="256" w:lineRule="auto"/>
        <w:ind w:leftChars="0"/>
        <w:rPr>
          <w:rStyle w:val="Strong"/>
          <w:b w:val="0"/>
        </w:rPr>
      </w:pPr>
      <w:r w:rsidRPr="00437318">
        <w:rPr>
          <w:rStyle w:val="Strong"/>
          <w:b w:val="0"/>
          <w:color w:val="FF0000"/>
          <w:u w:val="single"/>
        </w:rPr>
        <w:t>Single spatial stream</w:t>
      </w:r>
      <w:r w:rsidRPr="00437318">
        <w:rPr>
          <w:rStyle w:val="Strong"/>
          <w:b w:val="0"/>
        </w:rPr>
        <w:t xml:space="preserve"> </w:t>
      </w:r>
      <w:r w:rsidRPr="00437318">
        <w:rPr>
          <w:rStyle w:val="Strong"/>
          <w:b w:val="0"/>
          <w:highlight w:val="yellow"/>
        </w:rPr>
        <w:t>(#8639)</w:t>
      </w:r>
      <w:r>
        <w:rPr>
          <w:rStyle w:val="Strong"/>
          <w:b w:val="0"/>
        </w:rPr>
        <w:t xml:space="preserve"> </w:t>
      </w:r>
      <w:r w:rsidRPr="00437318">
        <w:rPr>
          <w:rStyle w:val="Strong"/>
          <w:b w:val="0"/>
        </w:rPr>
        <w:t>HE-MCSs 0 to 7 (transmit and receive) in all supported channel widths and RU sizes for HE SU PPDUs, HE MU PPDUs, and HE trigger-based PPDUs</w:t>
      </w:r>
    </w:p>
    <w:p w14:paraId="2B863539" w14:textId="519922A9" w:rsidR="00437318" w:rsidRPr="00437318" w:rsidRDefault="00437318" w:rsidP="00437318">
      <w:pPr>
        <w:spacing w:after="160" w:line="256" w:lineRule="auto"/>
        <w:rPr>
          <w:rStyle w:val="Strong"/>
          <w:highlight w:val="yellow"/>
        </w:rPr>
      </w:pPr>
      <w:proofErr w:type="spellStart"/>
      <w:r w:rsidRPr="00437318">
        <w:rPr>
          <w:rStyle w:val="Strong"/>
          <w:highlight w:val="yellow"/>
        </w:rPr>
        <w:t>TGax</w:t>
      </w:r>
      <w:proofErr w:type="spellEnd"/>
      <w:r w:rsidRPr="00437318">
        <w:rPr>
          <w:rStyle w:val="Strong"/>
          <w:highlight w:val="yellow"/>
        </w:rPr>
        <w:t xml:space="preserve"> Editor: Please </w:t>
      </w:r>
      <w:r>
        <w:rPr>
          <w:rStyle w:val="Strong"/>
          <w:highlight w:val="yellow"/>
        </w:rPr>
        <w:t xml:space="preserve">add the following line on </w:t>
      </w:r>
      <w:proofErr w:type="spellStart"/>
      <w:r>
        <w:rPr>
          <w:rStyle w:val="Strong"/>
          <w:highlight w:val="yellow"/>
        </w:rPr>
        <w:t>Pg</w:t>
      </w:r>
      <w:proofErr w:type="spellEnd"/>
      <w:r>
        <w:rPr>
          <w:rStyle w:val="Strong"/>
          <w:highlight w:val="yellow"/>
        </w:rPr>
        <w:t xml:space="preserve"> 210</w:t>
      </w:r>
      <w:r w:rsidRPr="00437318">
        <w:rPr>
          <w:rStyle w:val="Strong"/>
          <w:highlight w:val="yellow"/>
        </w:rPr>
        <w:t xml:space="preserve"> (CIDs: 5789, and 9114)</w:t>
      </w:r>
    </w:p>
    <w:p w14:paraId="318EE05C" w14:textId="62D0A9FD" w:rsidR="00437318" w:rsidRDefault="00437318" w:rsidP="00437318">
      <w:pPr>
        <w:spacing w:after="160" w:line="256" w:lineRule="auto"/>
        <w:rPr>
          <w:rStyle w:val="Strong"/>
          <w:b w:val="0"/>
        </w:rPr>
      </w:pPr>
      <w:proofErr w:type="spellStart"/>
      <w:r>
        <w:rPr>
          <w:rStyle w:val="Strong"/>
          <w:b w:val="0"/>
        </w:rPr>
        <w:t>An</w:t>
      </w:r>
      <w:proofErr w:type="spellEnd"/>
      <w:r>
        <w:rPr>
          <w:rStyle w:val="Strong"/>
          <w:b w:val="0"/>
        </w:rPr>
        <w:t xml:space="preserve"> HE STA may support the following Clause 28 features:</w:t>
      </w:r>
    </w:p>
    <w:p w14:paraId="3315B515" w14:textId="62FA0773" w:rsidR="00437318" w:rsidRPr="00437318" w:rsidRDefault="00437318" w:rsidP="00437318">
      <w:pPr>
        <w:pStyle w:val="ListParagraph"/>
        <w:numPr>
          <w:ilvl w:val="0"/>
          <w:numId w:val="36"/>
        </w:numPr>
        <w:spacing w:after="160" w:line="256" w:lineRule="auto"/>
        <w:ind w:leftChars="0"/>
        <w:rPr>
          <w:rStyle w:val="Strong"/>
          <w:b w:val="0"/>
        </w:rPr>
      </w:pPr>
      <w:r>
        <w:rPr>
          <w:rStyle w:val="Strong"/>
          <w:b w:val="0"/>
        </w:rPr>
        <w:t>HE-MCSs 8 to 11 (transmit and receive)</w:t>
      </w:r>
    </w:p>
    <w:p w14:paraId="6E360EA1" w14:textId="2CFCB0CD" w:rsidR="00437318" w:rsidRPr="00437318" w:rsidRDefault="00437318" w:rsidP="00437318">
      <w:pPr>
        <w:pStyle w:val="ListParagraph"/>
        <w:numPr>
          <w:ilvl w:val="0"/>
          <w:numId w:val="36"/>
        </w:numPr>
        <w:spacing w:after="160" w:line="256" w:lineRule="auto"/>
        <w:ind w:leftChars="0"/>
        <w:rPr>
          <w:rStyle w:val="Strong"/>
          <w:b w:val="0"/>
        </w:rPr>
      </w:pPr>
      <w:r>
        <w:rPr>
          <w:rStyle w:val="Strong"/>
          <w:b w:val="0"/>
          <w:color w:val="FF0000"/>
          <w:u w:val="single"/>
        </w:rPr>
        <w:t xml:space="preserve">Two or more spatial streams (transmit and receive) </w:t>
      </w:r>
      <w:r w:rsidRPr="00437318">
        <w:rPr>
          <w:rStyle w:val="Strong"/>
          <w:b w:val="0"/>
          <w:highlight w:val="yellow"/>
        </w:rPr>
        <w:t>(#8639)</w:t>
      </w:r>
    </w:p>
    <w:p w14:paraId="5665A8B1" w14:textId="77777777" w:rsidR="00437318" w:rsidRPr="001A2687" w:rsidRDefault="00437318" w:rsidP="00437318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1505643F" w14:textId="77777777" w:rsidR="00437318" w:rsidRPr="001A2687" w:rsidRDefault="00437318" w:rsidP="00437318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>
        <w:rPr>
          <w:b/>
          <w:color w:val="000000"/>
          <w:sz w:val="28"/>
          <w:lang w:val="en-US" w:eastAsia="ko-KR"/>
        </w:rPr>
        <w:t>Nov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p w14:paraId="217B1F5F" w14:textId="77777777" w:rsidR="00A07FCB" w:rsidRDefault="00A07FCB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</w:p>
    <w:sectPr w:rsidR="00A07FCB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E077A" w14:textId="77777777" w:rsidR="00A74F44" w:rsidRDefault="00A74F44">
      <w:r>
        <w:separator/>
      </w:r>
    </w:p>
  </w:endnote>
  <w:endnote w:type="continuationSeparator" w:id="0">
    <w:p w14:paraId="5296A240" w14:textId="77777777" w:rsidR="00A74F44" w:rsidRDefault="00A7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6EE19EE5" w:rsidR="00D34DC3" w:rsidRDefault="00576B8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4DC3">
        <w:t>Submission</w:t>
      </w:r>
    </w:fldSimple>
    <w:r w:rsidR="00D34DC3">
      <w:tab/>
      <w:t xml:space="preserve">page </w:t>
    </w:r>
    <w:r w:rsidR="00D34DC3">
      <w:fldChar w:fldCharType="begin"/>
    </w:r>
    <w:r w:rsidR="00D34DC3">
      <w:instrText xml:space="preserve">page </w:instrText>
    </w:r>
    <w:r w:rsidR="00D34DC3">
      <w:fldChar w:fldCharType="separate"/>
    </w:r>
    <w:r w:rsidR="00345D53">
      <w:rPr>
        <w:noProof/>
      </w:rPr>
      <w:t>3</w:t>
    </w:r>
    <w:r w:rsidR="00D34DC3">
      <w:rPr>
        <w:noProof/>
      </w:rPr>
      <w:fldChar w:fldCharType="end"/>
    </w:r>
    <w:r w:rsidR="00D34DC3">
      <w:tab/>
    </w:r>
    <w:r w:rsidR="00D34DC3">
      <w:rPr>
        <w:lang w:eastAsia="ko-KR"/>
      </w:rPr>
      <w:t>Lochan Verma</w:t>
    </w:r>
    <w:r w:rsidR="00D34DC3">
      <w:t>, Qualcomm Inc.</w:t>
    </w:r>
  </w:p>
  <w:p w14:paraId="68131EC6" w14:textId="77777777" w:rsidR="00D34DC3" w:rsidRDefault="00D34D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5696A" w14:textId="77777777" w:rsidR="00A74F44" w:rsidRDefault="00A74F44">
      <w:r>
        <w:separator/>
      </w:r>
    </w:p>
  </w:footnote>
  <w:footnote w:type="continuationSeparator" w:id="0">
    <w:p w14:paraId="554B9108" w14:textId="77777777" w:rsidR="00A74F44" w:rsidRDefault="00A7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43955A8B" w:rsidR="00D34DC3" w:rsidRDefault="00D34DC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802.11-17/024</w:t>
      </w:r>
      <w:r w:rsidR="009438EE">
        <w:t>6</w:t>
      </w:r>
      <w:r>
        <w:rPr>
          <w:lang w:eastAsia="ko-KR"/>
        </w:rPr>
        <w:t>r</w:t>
      </w:r>
    </w:fldSimple>
    <w:r w:rsidR="007728D4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24D7E"/>
    <w:multiLevelType w:val="hybridMultilevel"/>
    <w:tmpl w:val="DC66D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701BCA"/>
    <w:multiLevelType w:val="hybridMultilevel"/>
    <w:tmpl w:val="38046CE8"/>
    <w:lvl w:ilvl="0" w:tplc="D08AE90C">
      <w:start w:val="210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7770E"/>
    <w:multiLevelType w:val="hybridMultilevel"/>
    <w:tmpl w:val="6C0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A7967"/>
    <w:multiLevelType w:val="hybridMultilevel"/>
    <w:tmpl w:val="44446B56"/>
    <w:lvl w:ilvl="0" w:tplc="2ECEE11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2476C"/>
    <w:multiLevelType w:val="hybridMultilevel"/>
    <w:tmpl w:val="9DAA2540"/>
    <w:lvl w:ilvl="0" w:tplc="279CC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8"/>
  </w:num>
  <w:num w:numId="11">
    <w:abstractNumId w:val="15"/>
  </w:num>
  <w:num w:numId="12">
    <w:abstractNumId w:val="18"/>
  </w:num>
  <w:num w:numId="13">
    <w:abstractNumId w:val="7"/>
  </w:num>
  <w:num w:numId="14">
    <w:abstractNumId w:val="2"/>
  </w:num>
  <w:num w:numId="15">
    <w:abstractNumId w:val="20"/>
  </w:num>
  <w:num w:numId="16">
    <w:abstractNumId w:val="19"/>
  </w:num>
  <w:num w:numId="17">
    <w:abstractNumId w:val="30"/>
  </w:num>
  <w:num w:numId="18">
    <w:abstractNumId w:val="19"/>
  </w:num>
  <w:num w:numId="19">
    <w:abstractNumId w:val="30"/>
  </w:num>
  <w:num w:numId="20">
    <w:abstractNumId w:val="32"/>
  </w:num>
  <w:num w:numId="21">
    <w:abstractNumId w:val="12"/>
  </w:num>
  <w:num w:numId="22">
    <w:abstractNumId w:val="25"/>
  </w:num>
  <w:num w:numId="23">
    <w:abstractNumId w:val="31"/>
  </w:num>
  <w:num w:numId="24">
    <w:abstractNumId w:val="27"/>
  </w:num>
  <w:num w:numId="25">
    <w:abstractNumId w:val="29"/>
  </w:num>
  <w:num w:numId="26">
    <w:abstractNumId w:val="21"/>
  </w:num>
  <w:num w:numId="27">
    <w:abstractNumId w:val="16"/>
  </w:num>
  <w:num w:numId="28">
    <w:abstractNumId w:val="23"/>
  </w:num>
  <w:num w:numId="29">
    <w:abstractNumId w:val="6"/>
  </w:num>
  <w:num w:numId="30">
    <w:abstractNumId w:val="3"/>
  </w:num>
  <w:num w:numId="31">
    <w:abstractNumId w:val="11"/>
  </w:num>
  <w:num w:numId="32">
    <w:abstractNumId w:val="26"/>
  </w:num>
  <w:num w:numId="33">
    <w:abstractNumId w:val="9"/>
  </w:num>
  <w:num w:numId="34">
    <w:abstractNumId w:val="5"/>
  </w:num>
  <w:num w:numId="35">
    <w:abstractNumId w:val="28"/>
  </w:num>
  <w:num w:numId="36">
    <w:abstractNumId w:val="22"/>
  </w:num>
  <w:num w:numId="3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2CE4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0A23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E7C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371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166A"/>
    <w:rsid w:val="000B37F9"/>
    <w:rsid w:val="000B50F5"/>
    <w:rsid w:val="000B58CF"/>
    <w:rsid w:val="000B59FE"/>
    <w:rsid w:val="000C1B3F"/>
    <w:rsid w:val="000C3193"/>
    <w:rsid w:val="000C3635"/>
    <w:rsid w:val="000C54F3"/>
    <w:rsid w:val="000C6A2F"/>
    <w:rsid w:val="000C6E4B"/>
    <w:rsid w:val="000D0BB2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5A64"/>
    <w:rsid w:val="000F685B"/>
    <w:rsid w:val="000F6BB9"/>
    <w:rsid w:val="001005A8"/>
    <w:rsid w:val="00100937"/>
    <w:rsid w:val="00100E3B"/>
    <w:rsid w:val="001015F8"/>
    <w:rsid w:val="001032B5"/>
    <w:rsid w:val="001036C6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C39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13B"/>
    <w:rsid w:val="001274A8"/>
    <w:rsid w:val="001275D7"/>
    <w:rsid w:val="00127723"/>
    <w:rsid w:val="00130101"/>
    <w:rsid w:val="00130485"/>
    <w:rsid w:val="001323DB"/>
    <w:rsid w:val="00133FE3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2DFB"/>
    <w:rsid w:val="00152F7D"/>
    <w:rsid w:val="00154791"/>
    <w:rsid w:val="00154B26"/>
    <w:rsid w:val="001557CB"/>
    <w:rsid w:val="001559BB"/>
    <w:rsid w:val="00156C4B"/>
    <w:rsid w:val="0016428D"/>
    <w:rsid w:val="0016507E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689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E8D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DB3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4AA"/>
    <w:rsid w:val="0020058A"/>
    <w:rsid w:val="00200717"/>
    <w:rsid w:val="00201EF1"/>
    <w:rsid w:val="00202B59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824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4A"/>
    <w:rsid w:val="002773F1"/>
    <w:rsid w:val="002774D2"/>
    <w:rsid w:val="00281013"/>
    <w:rsid w:val="00281A5D"/>
    <w:rsid w:val="00282053"/>
    <w:rsid w:val="00282EFB"/>
    <w:rsid w:val="002833DD"/>
    <w:rsid w:val="00283DAF"/>
    <w:rsid w:val="00284C5E"/>
    <w:rsid w:val="00286285"/>
    <w:rsid w:val="00287149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A63BF"/>
    <w:rsid w:val="002A6A0C"/>
    <w:rsid w:val="002A7BA2"/>
    <w:rsid w:val="002B0983"/>
    <w:rsid w:val="002B5901"/>
    <w:rsid w:val="002B5973"/>
    <w:rsid w:val="002C271D"/>
    <w:rsid w:val="002C2A2B"/>
    <w:rsid w:val="002C49D8"/>
    <w:rsid w:val="002C63B7"/>
    <w:rsid w:val="002C6B4F"/>
    <w:rsid w:val="002C6CFB"/>
    <w:rsid w:val="002C72E1"/>
    <w:rsid w:val="002D001B"/>
    <w:rsid w:val="002D1D40"/>
    <w:rsid w:val="002D3073"/>
    <w:rsid w:val="002D518F"/>
    <w:rsid w:val="002D5D5C"/>
    <w:rsid w:val="002D5DBD"/>
    <w:rsid w:val="002D6F6A"/>
    <w:rsid w:val="002D7ED5"/>
    <w:rsid w:val="002E1B18"/>
    <w:rsid w:val="002E2017"/>
    <w:rsid w:val="002E340A"/>
    <w:rsid w:val="002E6064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1DBB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5D53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3CB9"/>
    <w:rsid w:val="00366AF0"/>
    <w:rsid w:val="003670B2"/>
    <w:rsid w:val="003676FB"/>
    <w:rsid w:val="00370623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8B2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09E8"/>
    <w:rsid w:val="003C121A"/>
    <w:rsid w:val="003C2B82"/>
    <w:rsid w:val="003C315D"/>
    <w:rsid w:val="003C47A5"/>
    <w:rsid w:val="003C47D1"/>
    <w:rsid w:val="003C56D8"/>
    <w:rsid w:val="003C58AE"/>
    <w:rsid w:val="003C74FF"/>
    <w:rsid w:val="003C792D"/>
    <w:rsid w:val="003C7D11"/>
    <w:rsid w:val="003D0525"/>
    <w:rsid w:val="003D151A"/>
    <w:rsid w:val="003D175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1409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43FA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17BB7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318"/>
    <w:rsid w:val="00437814"/>
    <w:rsid w:val="004402C9"/>
    <w:rsid w:val="00440FF1"/>
    <w:rsid w:val="004417F2"/>
    <w:rsid w:val="00442799"/>
    <w:rsid w:val="00443FBF"/>
    <w:rsid w:val="00444048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38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2EB4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3F2C"/>
    <w:rsid w:val="004B493F"/>
    <w:rsid w:val="004B50D6"/>
    <w:rsid w:val="004B7780"/>
    <w:rsid w:val="004B7FCA"/>
    <w:rsid w:val="004C0BD8"/>
    <w:rsid w:val="004C0F0A"/>
    <w:rsid w:val="004C12E7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6C8D"/>
    <w:rsid w:val="004E7E34"/>
    <w:rsid w:val="004F0CB7"/>
    <w:rsid w:val="004F1733"/>
    <w:rsid w:val="004F17DD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3D80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2DA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095E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5A0C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7B6"/>
    <w:rsid w:val="00575DE8"/>
    <w:rsid w:val="00576718"/>
    <w:rsid w:val="00576B8B"/>
    <w:rsid w:val="005770C4"/>
    <w:rsid w:val="00581BCD"/>
    <w:rsid w:val="00583212"/>
    <w:rsid w:val="00584948"/>
    <w:rsid w:val="00585D8F"/>
    <w:rsid w:val="00585FC5"/>
    <w:rsid w:val="00586072"/>
    <w:rsid w:val="0058644C"/>
    <w:rsid w:val="005868F1"/>
    <w:rsid w:val="00587F10"/>
    <w:rsid w:val="00590E04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514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27D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2CD3"/>
    <w:rsid w:val="005E2D2C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D8E"/>
    <w:rsid w:val="005F19DD"/>
    <w:rsid w:val="005F23B2"/>
    <w:rsid w:val="005F4AD8"/>
    <w:rsid w:val="005F5ADA"/>
    <w:rsid w:val="005F695C"/>
    <w:rsid w:val="005F71B8"/>
    <w:rsid w:val="005F7C51"/>
    <w:rsid w:val="006006DF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6A5F"/>
    <w:rsid w:val="00620750"/>
    <w:rsid w:val="00620AE0"/>
    <w:rsid w:val="00620F63"/>
    <w:rsid w:val="00621286"/>
    <w:rsid w:val="0062254C"/>
    <w:rsid w:val="0062298E"/>
    <w:rsid w:val="00622E16"/>
    <w:rsid w:val="0062350A"/>
    <w:rsid w:val="006243C4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8D2"/>
    <w:rsid w:val="00637D47"/>
    <w:rsid w:val="006404B3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B78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50AC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1F42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C1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5413"/>
    <w:rsid w:val="0074621F"/>
    <w:rsid w:val="007463FB"/>
    <w:rsid w:val="00747768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2EB6"/>
    <w:rsid w:val="00763239"/>
    <w:rsid w:val="007652F7"/>
    <w:rsid w:val="00765451"/>
    <w:rsid w:val="00766B1A"/>
    <w:rsid w:val="00766DFE"/>
    <w:rsid w:val="00767192"/>
    <w:rsid w:val="00772027"/>
    <w:rsid w:val="007728D4"/>
    <w:rsid w:val="00774CF5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5678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8B6"/>
    <w:rsid w:val="007A098E"/>
    <w:rsid w:val="007A149D"/>
    <w:rsid w:val="007A2E2B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24D5"/>
    <w:rsid w:val="007C3EE3"/>
    <w:rsid w:val="007C6C61"/>
    <w:rsid w:val="007C790C"/>
    <w:rsid w:val="007D031B"/>
    <w:rsid w:val="007D04F4"/>
    <w:rsid w:val="007D08BB"/>
    <w:rsid w:val="007D1085"/>
    <w:rsid w:val="007D16CB"/>
    <w:rsid w:val="007D1926"/>
    <w:rsid w:val="007D25CF"/>
    <w:rsid w:val="007D2B17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6ABD"/>
    <w:rsid w:val="007E79A4"/>
    <w:rsid w:val="007F072E"/>
    <w:rsid w:val="007F1AED"/>
    <w:rsid w:val="007F2366"/>
    <w:rsid w:val="007F6EC7"/>
    <w:rsid w:val="007F70B2"/>
    <w:rsid w:val="007F75A8"/>
    <w:rsid w:val="007F7E00"/>
    <w:rsid w:val="007F7EA7"/>
    <w:rsid w:val="00800B72"/>
    <w:rsid w:val="00800B7A"/>
    <w:rsid w:val="00802FC5"/>
    <w:rsid w:val="00804590"/>
    <w:rsid w:val="008077DC"/>
    <w:rsid w:val="0081078F"/>
    <w:rsid w:val="008107C8"/>
    <w:rsid w:val="00810E54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20"/>
    <w:rsid w:val="00830ACB"/>
    <w:rsid w:val="00830AD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6FB4"/>
    <w:rsid w:val="0086745D"/>
    <w:rsid w:val="00867847"/>
    <w:rsid w:val="00867C9F"/>
    <w:rsid w:val="0087089B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207D"/>
    <w:rsid w:val="008831D9"/>
    <w:rsid w:val="00883627"/>
    <w:rsid w:val="008839DD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873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35D0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9EB"/>
    <w:rsid w:val="008C6D0D"/>
    <w:rsid w:val="008C6F09"/>
    <w:rsid w:val="008C777B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3C9"/>
    <w:rsid w:val="008E7647"/>
    <w:rsid w:val="008F039B"/>
    <w:rsid w:val="008F1C67"/>
    <w:rsid w:val="008F238D"/>
    <w:rsid w:val="008F2611"/>
    <w:rsid w:val="008F4312"/>
    <w:rsid w:val="008F595D"/>
    <w:rsid w:val="0090328C"/>
    <w:rsid w:val="009040B5"/>
    <w:rsid w:val="00904500"/>
    <w:rsid w:val="009057D2"/>
    <w:rsid w:val="00905A7F"/>
    <w:rsid w:val="00905EB6"/>
    <w:rsid w:val="00906247"/>
    <w:rsid w:val="009064A2"/>
    <w:rsid w:val="009067AD"/>
    <w:rsid w:val="0090694C"/>
    <w:rsid w:val="009076E6"/>
    <w:rsid w:val="00910523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4ECA"/>
    <w:rsid w:val="009256A7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38EE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39C1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4F69"/>
    <w:rsid w:val="0097724C"/>
    <w:rsid w:val="0098048C"/>
    <w:rsid w:val="00980866"/>
    <w:rsid w:val="00980D24"/>
    <w:rsid w:val="00982037"/>
    <w:rsid w:val="009824DF"/>
    <w:rsid w:val="00982BC8"/>
    <w:rsid w:val="00982F95"/>
    <w:rsid w:val="00983085"/>
    <w:rsid w:val="0098358E"/>
    <w:rsid w:val="0098405A"/>
    <w:rsid w:val="0098426F"/>
    <w:rsid w:val="0098538A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77C"/>
    <w:rsid w:val="009A7DBA"/>
    <w:rsid w:val="009B0374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72EB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65"/>
    <w:rsid w:val="009F317B"/>
    <w:rsid w:val="009F39CB"/>
    <w:rsid w:val="009F3F07"/>
    <w:rsid w:val="009F48D6"/>
    <w:rsid w:val="009F5579"/>
    <w:rsid w:val="009F6BE0"/>
    <w:rsid w:val="009F7B60"/>
    <w:rsid w:val="00A003FF"/>
    <w:rsid w:val="00A00EE5"/>
    <w:rsid w:val="00A03C38"/>
    <w:rsid w:val="00A049E2"/>
    <w:rsid w:val="00A06AE1"/>
    <w:rsid w:val="00A070C0"/>
    <w:rsid w:val="00A077D4"/>
    <w:rsid w:val="00A07FCB"/>
    <w:rsid w:val="00A11432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783"/>
    <w:rsid w:val="00A248AC"/>
    <w:rsid w:val="00A25396"/>
    <w:rsid w:val="00A26D8D"/>
    <w:rsid w:val="00A27692"/>
    <w:rsid w:val="00A31ADA"/>
    <w:rsid w:val="00A32A9C"/>
    <w:rsid w:val="00A34B2A"/>
    <w:rsid w:val="00A3560F"/>
    <w:rsid w:val="00A358FF"/>
    <w:rsid w:val="00A35D4E"/>
    <w:rsid w:val="00A35DD1"/>
    <w:rsid w:val="00A36DC1"/>
    <w:rsid w:val="00A4016C"/>
    <w:rsid w:val="00A40884"/>
    <w:rsid w:val="00A42A24"/>
    <w:rsid w:val="00A42C28"/>
    <w:rsid w:val="00A438C0"/>
    <w:rsid w:val="00A43B6B"/>
    <w:rsid w:val="00A45C7E"/>
    <w:rsid w:val="00A46AF0"/>
    <w:rsid w:val="00A477E6"/>
    <w:rsid w:val="00A4790E"/>
    <w:rsid w:val="00A47C1B"/>
    <w:rsid w:val="00A51071"/>
    <w:rsid w:val="00A5163D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4F44"/>
    <w:rsid w:val="00A75B8C"/>
    <w:rsid w:val="00A809AC"/>
    <w:rsid w:val="00A80E2F"/>
    <w:rsid w:val="00A81018"/>
    <w:rsid w:val="00A841CC"/>
    <w:rsid w:val="00A844CE"/>
    <w:rsid w:val="00A84FE2"/>
    <w:rsid w:val="00A85B60"/>
    <w:rsid w:val="00A864B7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3491"/>
    <w:rsid w:val="00AB3B02"/>
    <w:rsid w:val="00AB4292"/>
    <w:rsid w:val="00AB4A70"/>
    <w:rsid w:val="00AB4B9F"/>
    <w:rsid w:val="00AB4E03"/>
    <w:rsid w:val="00AB6CB3"/>
    <w:rsid w:val="00AC1B7C"/>
    <w:rsid w:val="00AC23BE"/>
    <w:rsid w:val="00AC31EB"/>
    <w:rsid w:val="00AC45E8"/>
    <w:rsid w:val="00AC526D"/>
    <w:rsid w:val="00AC60C2"/>
    <w:rsid w:val="00AC76C6"/>
    <w:rsid w:val="00AD1850"/>
    <w:rsid w:val="00AD1B46"/>
    <w:rsid w:val="00AD268D"/>
    <w:rsid w:val="00AD3749"/>
    <w:rsid w:val="00AD3F85"/>
    <w:rsid w:val="00AD6723"/>
    <w:rsid w:val="00AD6AE6"/>
    <w:rsid w:val="00AD6ECA"/>
    <w:rsid w:val="00AD7B8B"/>
    <w:rsid w:val="00AE6FFF"/>
    <w:rsid w:val="00AE7BCF"/>
    <w:rsid w:val="00AE7D6D"/>
    <w:rsid w:val="00AF0A5C"/>
    <w:rsid w:val="00AF15AD"/>
    <w:rsid w:val="00AF1B15"/>
    <w:rsid w:val="00AF1C91"/>
    <w:rsid w:val="00AF1D18"/>
    <w:rsid w:val="00AF406C"/>
    <w:rsid w:val="00AF476B"/>
    <w:rsid w:val="00AF794B"/>
    <w:rsid w:val="00B0051A"/>
    <w:rsid w:val="00B019FC"/>
    <w:rsid w:val="00B01D3C"/>
    <w:rsid w:val="00B02952"/>
    <w:rsid w:val="00B03BB6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23C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1CC"/>
    <w:rsid w:val="00B73345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391"/>
    <w:rsid w:val="00BA6C7C"/>
    <w:rsid w:val="00BA7016"/>
    <w:rsid w:val="00BA746E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533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0733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917"/>
    <w:rsid w:val="00CB1CBD"/>
    <w:rsid w:val="00CB285C"/>
    <w:rsid w:val="00CB4BD0"/>
    <w:rsid w:val="00CB6234"/>
    <w:rsid w:val="00CB62CB"/>
    <w:rsid w:val="00CB75E9"/>
    <w:rsid w:val="00CB7A46"/>
    <w:rsid w:val="00CB7DD6"/>
    <w:rsid w:val="00CC0B46"/>
    <w:rsid w:val="00CC0F15"/>
    <w:rsid w:val="00CC1B7F"/>
    <w:rsid w:val="00CC28CC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849"/>
    <w:rsid w:val="00CE7EE1"/>
    <w:rsid w:val="00CF16FB"/>
    <w:rsid w:val="00CF1E41"/>
    <w:rsid w:val="00CF2295"/>
    <w:rsid w:val="00CF3BB2"/>
    <w:rsid w:val="00CF3BDE"/>
    <w:rsid w:val="00CF6654"/>
    <w:rsid w:val="00CF6F66"/>
    <w:rsid w:val="00CF7E12"/>
    <w:rsid w:val="00D00BAD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0B9"/>
    <w:rsid w:val="00D30761"/>
    <w:rsid w:val="00D307A6"/>
    <w:rsid w:val="00D312F2"/>
    <w:rsid w:val="00D33C85"/>
    <w:rsid w:val="00D344D7"/>
    <w:rsid w:val="00D34A50"/>
    <w:rsid w:val="00D34DC3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7AD"/>
    <w:rsid w:val="00D57819"/>
    <w:rsid w:val="00D6072C"/>
    <w:rsid w:val="00D60767"/>
    <w:rsid w:val="00D618A3"/>
    <w:rsid w:val="00D62195"/>
    <w:rsid w:val="00D62544"/>
    <w:rsid w:val="00D64568"/>
    <w:rsid w:val="00D645F4"/>
    <w:rsid w:val="00D65117"/>
    <w:rsid w:val="00D654DB"/>
    <w:rsid w:val="00D65620"/>
    <w:rsid w:val="00D65F71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F40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4DF3"/>
    <w:rsid w:val="00D9667F"/>
    <w:rsid w:val="00DA0A93"/>
    <w:rsid w:val="00DA122F"/>
    <w:rsid w:val="00DA171C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25E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4C0E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A1"/>
    <w:rsid w:val="00E051FD"/>
    <w:rsid w:val="00E0769B"/>
    <w:rsid w:val="00E07E4A"/>
    <w:rsid w:val="00E11083"/>
    <w:rsid w:val="00E1159D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B50"/>
    <w:rsid w:val="00E32E38"/>
    <w:rsid w:val="00E332E8"/>
    <w:rsid w:val="00E33B8F"/>
    <w:rsid w:val="00E36F7C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00A2"/>
    <w:rsid w:val="00E610D6"/>
    <w:rsid w:val="00E62A4F"/>
    <w:rsid w:val="00E62D18"/>
    <w:rsid w:val="00E65013"/>
    <w:rsid w:val="00E651DE"/>
    <w:rsid w:val="00E65202"/>
    <w:rsid w:val="00E654B6"/>
    <w:rsid w:val="00E663E4"/>
    <w:rsid w:val="00E6670E"/>
    <w:rsid w:val="00E6680B"/>
    <w:rsid w:val="00E7081C"/>
    <w:rsid w:val="00E71C91"/>
    <w:rsid w:val="00E72D22"/>
    <w:rsid w:val="00E74E87"/>
    <w:rsid w:val="00E7512C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46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17B4B"/>
    <w:rsid w:val="00F2022C"/>
    <w:rsid w:val="00F20FE5"/>
    <w:rsid w:val="00F228D0"/>
    <w:rsid w:val="00F233C0"/>
    <w:rsid w:val="00F2371A"/>
    <w:rsid w:val="00F2375B"/>
    <w:rsid w:val="00F2439C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6019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0BA"/>
    <w:rsid w:val="00FB5641"/>
    <w:rsid w:val="00FB6C2B"/>
    <w:rsid w:val="00FB7B3A"/>
    <w:rsid w:val="00FC11FE"/>
    <w:rsid w:val="00FC18E0"/>
    <w:rsid w:val="00FC19AE"/>
    <w:rsid w:val="00FC1A3D"/>
    <w:rsid w:val="00FC20C3"/>
    <w:rsid w:val="00FC2546"/>
    <w:rsid w:val="00FC29BA"/>
    <w:rsid w:val="00FC3039"/>
    <w:rsid w:val="00FC3B63"/>
    <w:rsid w:val="00FC3E02"/>
    <w:rsid w:val="00FC43CD"/>
    <w:rsid w:val="00FC4D70"/>
    <w:rsid w:val="00FC4DFB"/>
    <w:rsid w:val="00FC5CFA"/>
    <w:rsid w:val="00FC64E4"/>
    <w:rsid w:val="00FD13DD"/>
    <w:rsid w:val="00FD147A"/>
    <w:rsid w:val="00FD24F1"/>
    <w:rsid w:val="00FD33DE"/>
    <w:rsid w:val="00FD4F3B"/>
    <w:rsid w:val="00FD554D"/>
    <w:rsid w:val="00FD5B24"/>
    <w:rsid w:val="00FD5ED8"/>
    <w:rsid w:val="00FE1231"/>
    <w:rsid w:val="00FE1734"/>
    <w:rsid w:val="00FE30C5"/>
    <w:rsid w:val="00FE31E9"/>
    <w:rsid w:val="00FE362B"/>
    <w:rsid w:val="00FE37B8"/>
    <w:rsid w:val="00FE37EF"/>
    <w:rsid w:val="00FE5833"/>
    <w:rsid w:val="00FE5C16"/>
    <w:rsid w:val="00FF0D93"/>
    <w:rsid w:val="00FF291B"/>
    <w:rsid w:val="00FF322C"/>
    <w:rsid w:val="00FF32B1"/>
    <w:rsid w:val="00FF373C"/>
    <w:rsid w:val="00FF3D35"/>
    <w:rsid w:val="00FF42CB"/>
    <w:rsid w:val="00FF5499"/>
    <w:rsid w:val="00FF5F15"/>
    <w:rsid w:val="00FF717F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4673-739F-406C-B616-4A2FEB1D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Manager/>
  <Company/>
  <LinksUpToDate>false</LinksUpToDate>
  <CharactersWithSpaces>9048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Verma, Lochan</cp:lastModifiedBy>
  <cp:revision>161</cp:revision>
  <cp:lastPrinted>2010-05-04T03:47:00Z</cp:lastPrinted>
  <dcterms:created xsi:type="dcterms:W3CDTF">2017-01-16T21:16:00Z</dcterms:created>
  <dcterms:modified xsi:type="dcterms:W3CDTF">2017-03-10T18:21:00Z</dcterms:modified>
  <cp:category/>
</cp:coreProperties>
</file>