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bookmarkStart w:id="0" w:name="_GoBack"/>
      <w:bookmarkEnd w:id="0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06E77936" w:rsidR="00C723BC" w:rsidRPr="00183F4C" w:rsidRDefault="004F7E28" w:rsidP="00D53033">
            <w:pPr>
              <w:pStyle w:val="T2"/>
            </w:pPr>
            <w:r>
              <w:rPr>
                <w:lang w:eastAsia="ko-KR"/>
              </w:rPr>
              <w:t>Comment resolution</w:t>
            </w:r>
            <w:r w:rsidR="00AA3D40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for +HTC/Order subfield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7E0BB551" w:rsidR="00C723BC" w:rsidRPr="00183F4C" w:rsidRDefault="00C723BC" w:rsidP="00E06935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C7B46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C7B46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15372">
              <w:rPr>
                <w:b w:val="0"/>
                <w:sz w:val="20"/>
                <w:lang w:eastAsia="ko-KR"/>
              </w:rPr>
              <w:t>1</w:t>
            </w:r>
            <w:r w:rsidR="00E06935">
              <w:rPr>
                <w:b w:val="0"/>
                <w:sz w:val="20"/>
                <w:lang w:eastAsia="ko-KR"/>
              </w:rPr>
              <w:t>6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358E959A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1413546" w14:textId="3A0DFE00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DA55E5A" w14:textId="45D623A9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0C2164B6" w14:textId="4322E62F" w:rsidR="00492A82" w:rsidRPr="002C60AE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78215A07" w14:textId="2CE5601C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903A82" w:rsidRPr="00183F4C" w14:paraId="6B11A793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36099597" w:rsidR="00903A82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6E441250" w14:textId="28BC98C6" w:rsidR="00903A82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447F785B" w14:textId="77777777" w:rsidR="00903A82" w:rsidRPr="002C60AE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939071C" w14:textId="77777777" w:rsidR="00903A82" w:rsidRPr="002C60AE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BD2A506" w14:textId="77777777" w:rsidR="00903A82" w:rsidRPr="001D7948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03A82" w:rsidRPr="00183F4C" w14:paraId="53BFAA72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7074553B" w14:textId="663DB261" w:rsidR="00903A82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39F69CEA" w14:textId="67F113E5" w:rsidR="00903A82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44EE86D0" w14:textId="77777777" w:rsidR="00903A82" w:rsidRPr="002C60AE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B6B02F" w14:textId="77777777" w:rsidR="00903A82" w:rsidRPr="002C60AE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91ADA7" w14:textId="77777777" w:rsidR="00903A82" w:rsidRPr="001D7948" w:rsidRDefault="00903A82" w:rsidP="00903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1600C865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A7E6D">
        <w:rPr>
          <w:lang w:eastAsia="ko-KR"/>
        </w:rPr>
        <w:t>1.0</w:t>
      </w:r>
      <w:r w:rsidR="00E920E1">
        <w:rPr>
          <w:lang w:eastAsia="ko-KR"/>
        </w:rPr>
        <w:t xml:space="preserve"> with the following CIDs</w:t>
      </w:r>
      <w:r w:rsidR="004C504E">
        <w:rPr>
          <w:lang w:eastAsia="ko-KR"/>
        </w:rPr>
        <w:t xml:space="preserve"> (7 CIDs)</w:t>
      </w:r>
      <w:r w:rsidR="00E920E1">
        <w:rPr>
          <w:lang w:eastAsia="ko-KR"/>
        </w:rPr>
        <w:t>:</w:t>
      </w:r>
    </w:p>
    <w:p w14:paraId="07BFE9C2" w14:textId="4429BD2B" w:rsidR="00E920E1" w:rsidRDefault="004C504E" w:rsidP="00BC3A05">
      <w:pPr>
        <w:pStyle w:val="ListParagraph"/>
        <w:numPr>
          <w:ilvl w:val="0"/>
          <w:numId w:val="10"/>
        </w:numPr>
        <w:ind w:leftChars="0"/>
        <w:jc w:val="both"/>
        <w:rPr>
          <w:lang w:eastAsia="ko-KR"/>
        </w:rPr>
      </w:pPr>
      <w:r>
        <w:rPr>
          <w:lang w:eastAsia="ko-KR"/>
        </w:rPr>
        <w:t>3375, 348</w:t>
      </w:r>
      <w:r w:rsidR="00E73C13">
        <w:rPr>
          <w:lang w:eastAsia="ko-KR"/>
        </w:rPr>
        <w:t>0, 3</w:t>
      </w:r>
      <w:r w:rsidR="008A2E5D">
        <w:rPr>
          <w:lang w:eastAsia="ko-KR"/>
        </w:rPr>
        <w:t>808, 3893, 4349, 4417, 5820</w:t>
      </w: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385D280E" w14:textId="1065A95D" w:rsidR="0053566B" w:rsidRDefault="0079373D" w:rsidP="0079373D">
      <w:pPr>
        <w:pStyle w:val="Heading1"/>
      </w:pPr>
      <w:r>
        <w:t>PARS I</w:t>
      </w:r>
      <w:r w:rsidR="003C049B">
        <w:t xml:space="preserve"> (9.2.4.1.10)</w:t>
      </w:r>
    </w:p>
    <w:p w14:paraId="68D6827E" w14:textId="77777777" w:rsidR="0053566B" w:rsidRDefault="0053566B" w:rsidP="00F2637D"/>
    <w:tbl>
      <w:tblPr>
        <w:tblW w:w="1129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020"/>
        <w:gridCol w:w="519"/>
        <w:gridCol w:w="408"/>
        <w:gridCol w:w="2168"/>
        <w:gridCol w:w="1620"/>
        <w:gridCol w:w="4932"/>
      </w:tblGrid>
      <w:tr w:rsidR="00672466" w:rsidRPr="001F620B" w14:paraId="48DF0B16" w14:textId="77777777" w:rsidTr="006A71B7">
        <w:trPr>
          <w:trHeight w:val="222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F99C4A4" w14:textId="77777777" w:rsidR="00672466" w:rsidRPr="00AD1652" w:rsidRDefault="0067246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9199163" w14:textId="77777777" w:rsidR="00672466" w:rsidRPr="00AD1652" w:rsidRDefault="0067246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19" w:type="dxa"/>
            <w:shd w:val="clear" w:color="auto" w:fill="auto"/>
            <w:noWrap/>
            <w:vAlign w:val="center"/>
          </w:tcPr>
          <w:p w14:paraId="04EB3339" w14:textId="06CF813F" w:rsidR="00672466" w:rsidRPr="00AD1652" w:rsidRDefault="0067246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</w:p>
        </w:tc>
        <w:tc>
          <w:tcPr>
            <w:tcW w:w="408" w:type="dxa"/>
          </w:tcPr>
          <w:p w14:paraId="309983A4" w14:textId="16ACDE8C" w:rsidR="00672466" w:rsidRPr="00AD1652" w:rsidRDefault="0067246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4E18C448" w14:textId="6F65D496" w:rsidR="00672466" w:rsidRPr="00AD1652" w:rsidRDefault="0067246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72EEF4D" w14:textId="77777777" w:rsidR="00672466" w:rsidRPr="00AD1652" w:rsidRDefault="0067246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4932" w:type="dxa"/>
            <w:shd w:val="clear" w:color="auto" w:fill="auto"/>
            <w:vAlign w:val="center"/>
            <w:hideMark/>
          </w:tcPr>
          <w:p w14:paraId="4E9F1B16" w14:textId="77777777" w:rsidR="00672466" w:rsidRPr="00AD1652" w:rsidRDefault="0067246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D1652" w:rsidRPr="001F620B" w14:paraId="44503791" w14:textId="77777777" w:rsidTr="006A71B7">
        <w:trPr>
          <w:trHeight w:val="222"/>
        </w:trPr>
        <w:tc>
          <w:tcPr>
            <w:tcW w:w="632" w:type="dxa"/>
            <w:shd w:val="clear" w:color="auto" w:fill="auto"/>
            <w:noWrap/>
          </w:tcPr>
          <w:p w14:paraId="40FB842A" w14:textId="49B32AEC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3375</w:t>
            </w:r>
          </w:p>
        </w:tc>
        <w:tc>
          <w:tcPr>
            <w:tcW w:w="1020" w:type="dxa"/>
            <w:shd w:val="clear" w:color="auto" w:fill="auto"/>
            <w:noWrap/>
          </w:tcPr>
          <w:p w14:paraId="0C0A0A44" w14:textId="79828662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 xml:space="preserve">Albert </w:t>
            </w:r>
            <w:proofErr w:type="spellStart"/>
            <w:r w:rsidRPr="00AD1652">
              <w:rPr>
                <w:sz w:val="16"/>
                <w:szCs w:val="16"/>
              </w:rPr>
              <w:t>Petrick</w:t>
            </w:r>
            <w:proofErr w:type="spellEnd"/>
          </w:p>
        </w:tc>
        <w:tc>
          <w:tcPr>
            <w:tcW w:w="519" w:type="dxa"/>
            <w:shd w:val="clear" w:color="auto" w:fill="auto"/>
            <w:noWrap/>
          </w:tcPr>
          <w:p w14:paraId="78387F5B" w14:textId="00486D09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</w:tcPr>
          <w:p w14:paraId="3FDA9D49" w14:textId="758B91D0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5</w:t>
            </w:r>
          </w:p>
        </w:tc>
        <w:tc>
          <w:tcPr>
            <w:tcW w:w="2168" w:type="dxa"/>
            <w:shd w:val="clear" w:color="auto" w:fill="auto"/>
            <w:noWrap/>
          </w:tcPr>
          <w:p w14:paraId="2A7AD027" w14:textId="3621BDF7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"HCT/Order subfield" naming should be consistent when referenced in text.  It's referenced as "HTC/Order field"</w:t>
            </w:r>
          </w:p>
        </w:tc>
        <w:tc>
          <w:tcPr>
            <w:tcW w:w="1620" w:type="dxa"/>
            <w:shd w:val="clear" w:color="auto" w:fill="auto"/>
            <w:noWrap/>
          </w:tcPr>
          <w:p w14:paraId="44903904" w14:textId="47817B55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Change to "HCT/Order subfield"  on lines 5 and 7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5A0CBD64" w14:textId="7E998FA4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Rejected—</w:t>
            </w:r>
          </w:p>
          <w:p w14:paraId="6428765F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51251EA" w14:textId="6B0E200D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name of the field is correct (and is actually baseline text, not introduced by 802.11ax TG). Please refer to 9.2.4.1.10 of 802.11REVmc D8.0.</w:t>
            </w:r>
            <w:r w:rsidR="006A71B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BE827EA" w14:textId="030AF05C" w:rsidR="00AD1652" w:rsidRP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 changes to the draft are required for this CID.</w:t>
            </w:r>
          </w:p>
        </w:tc>
      </w:tr>
      <w:tr w:rsidR="00AD1652" w:rsidRPr="001F620B" w14:paraId="7D8D3AF5" w14:textId="77777777" w:rsidTr="006A71B7">
        <w:trPr>
          <w:trHeight w:val="222"/>
        </w:trPr>
        <w:tc>
          <w:tcPr>
            <w:tcW w:w="632" w:type="dxa"/>
            <w:shd w:val="clear" w:color="auto" w:fill="auto"/>
            <w:noWrap/>
          </w:tcPr>
          <w:p w14:paraId="48AEF6F6" w14:textId="18D38141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3480</w:t>
            </w:r>
          </w:p>
        </w:tc>
        <w:tc>
          <w:tcPr>
            <w:tcW w:w="1020" w:type="dxa"/>
            <w:shd w:val="clear" w:color="auto" w:fill="auto"/>
            <w:noWrap/>
          </w:tcPr>
          <w:p w14:paraId="7B450F35" w14:textId="4DBD43AB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 xml:space="preserve">Albert </w:t>
            </w:r>
            <w:proofErr w:type="spellStart"/>
            <w:r w:rsidRPr="00AD1652">
              <w:rPr>
                <w:sz w:val="16"/>
                <w:szCs w:val="16"/>
              </w:rPr>
              <w:t>Petrick</w:t>
            </w:r>
            <w:proofErr w:type="spellEnd"/>
          </w:p>
        </w:tc>
        <w:tc>
          <w:tcPr>
            <w:tcW w:w="519" w:type="dxa"/>
            <w:shd w:val="clear" w:color="auto" w:fill="auto"/>
            <w:noWrap/>
          </w:tcPr>
          <w:p w14:paraId="23656E46" w14:textId="0665CFF6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</w:tcPr>
          <w:p w14:paraId="27A23294" w14:textId="0AE7D408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5</w:t>
            </w:r>
          </w:p>
        </w:tc>
        <w:tc>
          <w:tcPr>
            <w:tcW w:w="2168" w:type="dxa"/>
            <w:shd w:val="clear" w:color="auto" w:fill="auto"/>
            <w:noWrap/>
          </w:tcPr>
          <w:p w14:paraId="05443D63" w14:textId="4D65341C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"HCT/Order subfield" naming should be consistent when referenced in text.  It's referenced as "HTC/Order field"</w:t>
            </w:r>
          </w:p>
        </w:tc>
        <w:tc>
          <w:tcPr>
            <w:tcW w:w="1620" w:type="dxa"/>
            <w:shd w:val="clear" w:color="auto" w:fill="auto"/>
            <w:noWrap/>
          </w:tcPr>
          <w:p w14:paraId="25F3BD28" w14:textId="3E8CF3E8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Change to "HCT/Order subfield"  on lines 5 and 7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8E8B980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Rejected—</w:t>
            </w:r>
          </w:p>
          <w:p w14:paraId="43215D09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04940D0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Duplicate of CID 3375. </w:t>
            </w:r>
          </w:p>
          <w:p w14:paraId="71FAED92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name of the field is correct (and is actually baseline text, not introduced by 802.11ax TG). Please refer to 9.2.4.1.10 of 802.11REVmc D8.0.</w:t>
            </w:r>
          </w:p>
          <w:p w14:paraId="12AC783B" w14:textId="338CEC12" w:rsidR="00AD1652" w:rsidRP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 changes to the draft are required for this CID.</w:t>
            </w:r>
          </w:p>
        </w:tc>
      </w:tr>
      <w:tr w:rsidR="00AD1652" w:rsidRPr="001F620B" w14:paraId="284EE483" w14:textId="77777777" w:rsidTr="006A71B7">
        <w:trPr>
          <w:trHeight w:val="222"/>
        </w:trPr>
        <w:tc>
          <w:tcPr>
            <w:tcW w:w="632" w:type="dxa"/>
            <w:shd w:val="clear" w:color="auto" w:fill="auto"/>
            <w:noWrap/>
          </w:tcPr>
          <w:p w14:paraId="6770A938" w14:textId="4D653714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3808</w:t>
            </w:r>
          </w:p>
        </w:tc>
        <w:tc>
          <w:tcPr>
            <w:tcW w:w="1020" w:type="dxa"/>
            <w:shd w:val="clear" w:color="auto" w:fill="auto"/>
            <w:noWrap/>
          </w:tcPr>
          <w:p w14:paraId="6818C4D3" w14:textId="7259FAB2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 xml:space="preserve">Albert </w:t>
            </w:r>
            <w:proofErr w:type="spellStart"/>
            <w:r w:rsidRPr="00AD1652">
              <w:rPr>
                <w:sz w:val="16"/>
                <w:szCs w:val="16"/>
              </w:rPr>
              <w:t>Petrick</w:t>
            </w:r>
            <w:proofErr w:type="spellEnd"/>
          </w:p>
        </w:tc>
        <w:tc>
          <w:tcPr>
            <w:tcW w:w="519" w:type="dxa"/>
            <w:shd w:val="clear" w:color="auto" w:fill="auto"/>
            <w:noWrap/>
          </w:tcPr>
          <w:p w14:paraId="1943B9AE" w14:textId="7ABDEB34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</w:tcPr>
          <w:p w14:paraId="4FFAD4BA" w14:textId="62F521D9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5</w:t>
            </w:r>
          </w:p>
        </w:tc>
        <w:tc>
          <w:tcPr>
            <w:tcW w:w="2168" w:type="dxa"/>
            <w:shd w:val="clear" w:color="auto" w:fill="auto"/>
            <w:noWrap/>
          </w:tcPr>
          <w:p w14:paraId="563718AF" w14:textId="4075EE09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"HCT/Order subfield" naming should be consistent when referenced in text.  It's referenced as "HTC/Order field"</w:t>
            </w:r>
          </w:p>
        </w:tc>
        <w:tc>
          <w:tcPr>
            <w:tcW w:w="1620" w:type="dxa"/>
            <w:shd w:val="clear" w:color="auto" w:fill="auto"/>
            <w:noWrap/>
          </w:tcPr>
          <w:p w14:paraId="1ABACE90" w14:textId="0739B88C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Change to "HCT/Order subfield"  on lines 5 and 7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7BF5F745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Rejected—</w:t>
            </w:r>
          </w:p>
          <w:p w14:paraId="17F0758E" w14:textId="77777777" w:rsidR="006A71B7" w:rsidRDefault="006A71B7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B693019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Duplicate of CID 3375. </w:t>
            </w:r>
          </w:p>
          <w:p w14:paraId="613360EB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name of the field is correct (and is actually baseline text, not introduced by 802.11ax TG). Please refer to 9.2.4.1.10 of 802.11REVmc D8.0.</w:t>
            </w:r>
          </w:p>
          <w:p w14:paraId="0B932DC0" w14:textId="7FFC371E" w:rsidR="00AD1652" w:rsidRP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 changes to the draft are required for this CID.</w:t>
            </w:r>
          </w:p>
        </w:tc>
      </w:tr>
      <w:tr w:rsidR="00AD1652" w:rsidRPr="001F620B" w14:paraId="73D8FAC4" w14:textId="77777777" w:rsidTr="006A71B7">
        <w:trPr>
          <w:trHeight w:val="222"/>
        </w:trPr>
        <w:tc>
          <w:tcPr>
            <w:tcW w:w="632" w:type="dxa"/>
            <w:shd w:val="clear" w:color="auto" w:fill="auto"/>
            <w:noWrap/>
          </w:tcPr>
          <w:p w14:paraId="75A12D2F" w14:textId="00F37761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3893</w:t>
            </w:r>
          </w:p>
        </w:tc>
        <w:tc>
          <w:tcPr>
            <w:tcW w:w="1020" w:type="dxa"/>
            <w:shd w:val="clear" w:color="auto" w:fill="auto"/>
            <w:noWrap/>
          </w:tcPr>
          <w:p w14:paraId="434F5BBC" w14:textId="17376955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 xml:space="preserve">Albert </w:t>
            </w:r>
            <w:proofErr w:type="spellStart"/>
            <w:r w:rsidRPr="00AD1652">
              <w:rPr>
                <w:sz w:val="16"/>
                <w:szCs w:val="16"/>
              </w:rPr>
              <w:t>Petrick</w:t>
            </w:r>
            <w:proofErr w:type="spellEnd"/>
          </w:p>
        </w:tc>
        <w:tc>
          <w:tcPr>
            <w:tcW w:w="519" w:type="dxa"/>
            <w:shd w:val="clear" w:color="auto" w:fill="auto"/>
            <w:noWrap/>
          </w:tcPr>
          <w:p w14:paraId="567F1848" w14:textId="71207AB0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</w:tcPr>
          <w:p w14:paraId="2E5E8DF3" w14:textId="060FB19F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5</w:t>
            </w:r>
          </w:p>
        </w:tc>
        <w:tc>
          <w:tcPr>
            <w:tcW w:w="2168" w:type="dxa"/>
            <w:shd w:val="clear" w:color="auto" w:fill="auto"/>
            <w:noWrap/>
          </w:tcPr>
          <w:p w14:paraId="64D36BF4" w14:textId="4C698E34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"HCT/Order subfield" naming should be consistent when referenced in text.  It's referenced as "HTC/Order field"</w:t>
            </w:r>
          </w:p>
        </w:tc>
        <w:tc>
          <w:tcPr>
            <w:tcW w:w="1620" w:type="dxa"/>
            <w:shd w:val="clear" w:color="auto" w:fill="auto"/>
            <w:noWrap/>
          </w:tcPr>
          <w:p w14:paraId="1DE15BC4" w14:textId="08813557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Change to "HCT/Order subfield"  on lines 5 and 7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9DB7DED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Rejected—</w:t>
            </w:r>
          </w:p>
          <w:p w14:paraId="447AA2AC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FBF7574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Duplicate of CID 3375. </w:t>
            </w:r>
          </w:p>
          <w:p w14:paraId="1386FC27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name of the field is correct (and is actually baseline text, not introduced by 802.11ax TG). Please refer to 9.2.4.1.10 of 802.11REVmc D8.0.</w:t>
            </w:r>
          </w:p>
          <w:p w14:paraId="698A25CC" w14:textId="32E7E27A" w:rsidR="00AD1652" w:rsidRP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 changes to the draft are required for this CID.</w:t>
            </w:r>
          </w:p>
        </w:tc>
      </w:tr>
      <w:tr w:rsidR="00AD1652" w:rsidRPr="001F620B" w14:paraId="211789B5" w14:textId="77777777" w:rsidTr="006A71B7">
        <w:trPr>
          <w:trHeight w:val="222"/>
        </w:trPr>
        <w:tc>
          <w:tcPr>
            <w:tcW w:w="632" w:type="dxa"/>
            <w:shd w:val="clear" w:color="auto" w:fill="auto"/>
            <w:noWrap/>
          </w:tcPr>
          <w:p w14:paraId="6460C223" w14:textId="43D091FC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4349</w:t>
            </w:r>
          </w:p>
        </w:tc>
        <w:tc>
          <w:tcPr>
            <w:tcW w:w="1020" w:type="dxa"/>
            <w:shd w:val="clear" w:color="auto" w:fill="auto"/>
            <w:noWrap/>
          </w:tcPr>
          <w:p w14:paraId="6F04B385" w14:textId="337D470D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 xml:space="preserve">Albert </w:t>
            </w:r>
            <w:proofErr w:type="spellStart"/>
            <w:r w:rsidRPr="00AD1652">
              <w:rPr>
                <w:sz w:val="16"/>
                <w:szCs w:val="16"/>
              </w:rPr>
              <w:t>Petrick</w:t>
            </w:r>
            <w:proofErr w:type="spellEnd"/>
          </w:p>
        </w:tc>
        <w:tc>
          <w:tcPr>
            <w:tcW w:w="519" w:type="dxa"/>
            <w:shd w:val="clear" w:color="auto" w:fill="auto"/>
            <w:noWrap/>
          </w:tcPr>
          <w:p w14:paraId="2267EA5B" w14:textId="231DC1A8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</w:tcPr>
          <w:p w14:paraId="35A3F6BA" w14:textId="479B19E8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5</w:t>
            </w:r>
          </w:p>
        </w:tc>
        <w:tc>
          <w:tcPr>
            <w:tcW w:w="2168" w:type="dxa"/>
            <w:shd w:val="clear" w:color="auto" w:fill="auto"/>
            <w:noWrap/>
          </w:tcPr>
          <w:p w14:paraId="07967469" w14:textId="5FE7F2EA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"HCT/Order subfield" naming should be consistent when referenced in text.  It's referenced as "HTC/Order field"</w:t>
            </w:r>
          </w:p>
        </w:tc>
        <w:tc>
          <w:tcPr>
            <w:tcW w:w="1620" w:type="dxa"/>
            <w:shd w:val="clear" w:color="auto" w:fill="auto"/>
            <w:noWrap/>
          </w:tcPr>
          <w:p w14:paraId="31FCA155" w14:textId="605EF092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Change to "HCT/Order subfield"  on lines 5 and 7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04E82AEE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Rejected—</w:t>
            </w:r>
          </w:p>
          <w:p w14:paraId="59C3A04F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0E9EB37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Duplicate of CID 3375. </w:t>
            </w:r>
          </w:p>
          <w:p w14:paraId="0F406C4E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name of the field is correct (and is actually baseline text, not introduced by 802.11ax TG). Please refer to 9.2.4.1.10 of 802.11REVmc D8.0.</w:t>
            </w:r>
          </w:p>
          <w:p w14:paraId="43C614C4" w14:textId="300A94BA" w:rsidR="00AD1652" w:rsidRP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 changes to the draft are required for this CID.</w:t>
            </w:r>
          </w:p>
        </w:tc>
      </w:tr>
      <w:tr w:rsidR="00AD1652" w:rsidRPr="001F620B" w14:paraId="29994C84" w14:textId="77777777" w:rsidTr="006A71B7">
        <w:trPr>
          <w:trHeight w:val="222"/>
        </w:trPr>
        <w:tc>
          <w:tcPr>
            <w:tcW w:w="632" w:type="dxa"/>
            <w:shd w:val="clear" w:color="auto" w:fill="auto"/>
            <w:noWrap/>
          </w:tcPr>
          <w:p w14:paraId="1F0AAAD0" w14:textId="681B9F6D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4417</w:t>
            </w:r>
          </w:p>
        </w:tc>
        <w:tc>
          <w:tcPr>
            <w:tcW w:w="1020" w:type="dxa"/>
            <w:shd w:val="clear" w:color="auto" w:fill="auto"/>
            <w:noWrap/>
          </w:tcPr>
          <w:p w14:paraId="7747C108" w14:textId="06C01369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 xml:space="preserve">Albert </w:t>
            </w:r>
            <w:proofErr w:type="spellStart"/>
            <w:r w:rsidRPr="00AD1652">
              <w:rPr>
                <w:sz w:val="16"/>
                <w:szCs w:val="16"/>
              </w:rPr>
              <w:t>Petrick</w:t>
            </w:r>
            <w:proofErr w:type="spellEnd"/>
          </w:p>
        </w:tc>
        <w:tc>
          <w:tcPr>
            <w:tcW w:w="519" w:type="dxa"/>
            <w:shd w:val="clear" w:color="auto" w:fill="auto"/>
            <w:noWrap/>
          </w:tcPr>
          <w:p w14:paraId="16C53716" w14:textId="243DA4E3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</w:tcPr>
          <w:p w14:paraId="369001A6" w14:textId="6BEB5681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5</w:t>
            </w:r>
          </w:p>
        </w:tc>
        <w:tc>
          <w:tcPr>
            <w:tcW w:w="2168" w:type="dxa"/>
            <w:shd w:val="clear" w:color="auto" w:fill="auto"/>
            <w:noWrap/>
          </w:tcPr>
          <w:p w14:paraId="26DEFF1E" w14:textId="353FEAA7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"HCT/Order subfield" naming should be consistent when referenced in text.  It's referenced as "HTC/Order field"</w:t>
            </w:r>
          </w:p>
        </w:tc>
        <w:tc>
          <w:tcPr>
            <w:tcW w:w="1620" w:type="dxa"/>
            <w:shd w:val="clear" w:color="auto" w:fill="auto"/>
            <w:noWrap/>
          </w:tcPr>
          <w:p w14:paraId="53EDD73F" w14:textId="7019EBCC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Change to "HCT/Order subfield"  on lines 5 and 7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0F86775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Rejected—</w:t>
            </w:r>
          </w:p>
          <w:p w14:paraId="74A5BCB5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545575B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Duplicate of CID 3375. </w:t>
            </w:r>
          </w:p>
          <w:p w14:paraId="2931714E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name of the field is correct (and is actually baseline text, not introduced by 802.11ax TG). Please refer to 9.2.4.1.10 of 802.11REVmc D8.0.</w:t>
            </w:r>
          </w:p>
          <w:p w14:paraId="66677250" w14:textId="3EC9AA3E" w:rsidR="00AD1652" w:rsidRP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 changes to the draft are required for this CID.</w:t>
            </w:r>
          </w:p>
        </w:tc>
      </w:tr>
      <w:tr w:rsidR="00AD1652" w:rsidRPr="001F620B" w14:paraId="2114CAF6" w14:textId="77777777" w:rsidTr="006A71B7">
        <w:trPr>
          <w:trHeight w:val="222"/>
        </w:trPr>
        <w:tc>
          <w:tcPr>
            <w:tcW w:w="632" w:type="dxa"/>
            <w:shd w:val="clear" w:color="auto" w:fill="auto"/>
            <w:noWrap/>
          </w:tcPr>
          <w:p w14:paraId="738A5C4E" w14:textId="11B54B76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5820</w:t>
            </w:r>
          </w:p>
        </w:tc>
        <w:tc>
          <w:tcPr>
            <w:tcW w:w="1020" w:type="dxa"/>
            <w:shd w:val="clear" w:color="auto" w:fill="auto"/>
            <w:noWrap/>
          </w:tcPr>
          <w:p w14:paraId="1E040A42" w14:textId="731C96B3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Huizhao Wang</w:t>
            </w:r>
          </w:p>
        </w:tc>
        <w:tc>
          <w:tcPr>
            <w:tcW w:w="519" w:type="dxa"/>
            <w:shd w:val="clear" w:color="auto" w:fill="auto"/>
            <w:noWrap/>
          </w:tcPr>
          <w:p w14:paraId="1C0A4B70" w14:textId="3E627BFD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</w:tcPr>
          <w:p w14:paraId="75FD5175" w14:textId="633B6CC1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1</w:t>
            </w:r>
          </w:p>
        </w:tc>
        <w:tc>
          <w:tcPr>
            <w:tcW w:w="2168" w:type="dxa"/>
            <w:shd w:val="clear" w:color="auto" w:fill="auto"/>
            <w:noWrap/>
          </w:tcPr>
          <w:p w14:paraId="51FCC9C6" w14:textId="2D77D6DD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Referencing undefined subclause 10.51.5.4: "Rely-shared TXOP protection mechanism"</w:t>
            </w:r>
          </w:p>
        </w:tc>
        <w:tc>
          <w:tcPr>
            <w:tcW w:w="1620" w:type="dxa"/>
            <w:shd w:val="clear" w:color="auto" w:fill="auto"/>
            <w:noWrap/>
          </w:tcPr>
          <w:p w14:paraId="69D592B5" w14:textId="697AA989" w:rsidR="00AD1652" w:rsidRPr="00AD1652" w:rsidRDefault="00AD1652" w:rsidP="00AD1652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D1652">
              <w:rPr>
                <w:sz w:val="16"/>
                <w:szCs w:val="16"/>
              </w:rPr>
              <w:t>Since subclause 10.51.5.4 does not exist, please remove this sentence from the draft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5994F38C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Rejected—</w:t>
            </w:r>
          </w:p>
          <w:p w14:paraId="425038B2" w14:textId="77777777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C47DC91" w14:textId="19C8B02B" w:rsid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This item is related to IEEE802.11ah, and is in the baseline, amended by IEEE802.11ah D10.0. To find the cited reference please check IEEE802.11ah D10.0.</w:t>
            </w:r>
          </w:p>
          <w:p w14:paraId="416A2B88" w14:textId="4F1E32A9" w:rsidR="00AD1652" w:rsidRPr="00AD1652" w:rsidRDefault="00AD1652" w:rsidP="00AD1652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No changes to the draft are required for this CID.</w:t>
            </w:r>
          </w:p>
        </w:tc>
      </w:tr>
    </w:tbl>
    <w:p w14:paraId="5C11A37D" w14:textId="366954E2" w:rsidR="00F400A1" w:rsidRPr="00E777F5" w:rsidRDefault="006E2A5A" w:rsidP="00DD64A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FA329E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sectPr w:rsidR="00F400A1" w:rsidRPr="00E777F5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E005D" w14:textId="77777777" w:rsidR="002B6DBE" w:rsidRDefault="002B6DBE">
      <w:r>
        <w:separator/>
      </w:r>
    </w:p>
  </w:endnote>
  <w:endnote w:type="continuationSeparator" w:id="0">
    <w:p w14:paraId="711B96DB" w14:textId="77777777" w:rsidR="002B6DBE" w:rsidRDefault="002B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7777777" w:rsidR="00987845" w:rsidRDefault="002B6DB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87845">
      <w:t>Submission</w:t>
    </w:r>
    <w:r>
      <w:fldChar w:fldCharType="end"/>
    </w:r>
    <w:r w:rsidR="00987845">
      <w:tab/>
      <w:t xml:space="preserve">page </w:t>
    </w:r>
    <w:r w:rsidR="00987845">
      <w:fldChar w:fldCharType="begin"/>
    </w:r>
    <w:r w:rsidR="00987845">
      <w:instrText xml:space="preserve">page </w:instrText>
    </w:r>
    <w:r w:rsidR="00987845">
      <w:fldChar w:fldCharType="separate"/>
    </w:r>
    <w:r w:rsidR="00C73D7F">
      <w:rPr>
        <w:noProof/>
      </w:rPr>
      <w:t>2</w:t>
    </w:r>
    <w:r w:rsidR="00987845">
      <w:rPr>
        <w:noProof/>
      </w:rPr>
      <w:fldChar w:fldCharType="end"/>
    </w:r>
    <w:r w:rsidR="00987845">
      <w:tab/>
    </w:r>
    <w:r w:rsidR="00987845">
      <w:rPr>
        <w:lang w:eastAsia="ko-KR"/>
      </w:rPr>
      <w:t>Alfred Asterjadhi</w:t>
    </w:r>
    <w:r w:rsidR="00987845">
      <w:t>, Qualcomm Inc.</w:t>
    </w:r>
  </w:p>
  <w:p w14:paraId="78B10FFF" w14:textId="77777777" w:rsidR="00987845" w:rsidRDefault="00987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0656B" w14:textId="77777777" w:rsidR="002B6DBE" w:rsidRDefault="002B6DBE">
      <w:r>
        <w:separator/>
      </w:r>
    </w:p>
  </w:footnote>
  <w:footnote w:type="continuationSeparator" w:id="0">
    <w:p w14:paraId="432F0795" w14:textId="77777777" w:rsidR="002B6DBE" w:rsidRDefault="002B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60516185" w:rsidR="00987845" w:rsidRDefault="003C7B46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2017</w:t>
    </w:r>
    <w:r w:rsidR="00987845">
      <w:tab/>
    </w:r>
    <w:r w:rsidR="00987845">
      <w:tab/>
    </w:r>
    <w:r w:rsidR="00987845">
      <w:fldChar w:fldCharType="begin"/>
    </w:r>
    <w:r w:rsidR="00987845">
      <w:instrText xml:space="preserve"> TITLE  \* MERGEFORMAT </w:instrText>
    </w:r>
    <w:r w:rsidR="00987845">
      <w:fldChar w:fldCharType="end"/>
    </w:r>
    <w:r w:rsidR="002B6DBE">
      <w:fldChar w:fldCharType="begin"/>
    </w:r>
    <w:r w:rsidR="002B6DBE">
      <w:instrText xml:space="preserve"> TITLE  \* MERGEFORMAT </w:instrText>
    </w:r>
    <w:r w:rsidR="002B6DBE">
      <w:fldChar w:fldCharType="separate"/>
    </w:r>
    <w:r>
      <w:t>doc.: IEEE 802.11-17</w:t>
    </w:r>
    <w:r w:rsidR="00987845">
      <w:t>/</w:t>
    </w:r>
    <w:r w:rsidR="00C73D7F">
      <w:rPr>
        <w:lang w:eastAsia="ko-KR"/>
      </w:rPr>
      <w:t>0131</w:t>
    </w:r>
    <w:r w:rsidR="00987845">
      <w:rPr>
        <w:lang w:eastAsia="ko-KR"/>
      </w:rPr>
      <w:t>r</w:t>
    </w:r>
    <w:r w:rsidR="002B6DBE">
      <w:rPr>
        <w:lang w:eastAsia="ko-KR"/>
      </w:rPr>
      <w:fldChar w:fldCharType="end"/>
    </w:r>
    <w:r w:rsidR="00987845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671D"/>
    <w:rsid w:val="000A7136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3698"/>
    <w:rsid w:val="00183F4C"/>
    <w:rsid w:val="00187129"/>
    <w:rsid w:val="0019164F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77FD"/>
    <w:rsid w:val="001B0001"/>
    <w:rsid w:val="001B252D"/>
    <w:rsid w:val="001B2904"/>
    <w:rsid w:val="001B5BE5"/>
    <w:rsid w:val="001B63BC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9AB"/>
    <w:rsid w:val="002545F7"/>
    <w:rsid w:val="00255A8B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B6DBE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049B"/>
    <w:rsid w:val="003C2B82"/>
    <w:rsid w:val="003C315D"/>
    <w:rsid w:val="003C32E2"/>
    <w:rsid w:val="003C47A5"/>
    <w:rsid w:val="003C47D1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1AB"/>
    <w:rsid w:val="003E7414"/>
    <w:rsid w:val="003E7F99"/>
    <w:rsid w:val="003F1281"/>
    <w:rsid w:val="003F2B96"/>
    <w:rsid w:val="003F2D6C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7780"/>
    <w:rsid w:val="004C0BD8"/>
    <w:rsid w:val="004C0F0A"/>
    <w:rsid w:val="004C3C2A"/>
    <w:rsid w:val="004C504E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4F7E2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094C"/>
    <w:rsid w:val="00513528"/>
    <w:rsid w:val="0051588E"/>
    <w:rsid w:val="00515C35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893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1B7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E4C"/>
    <w:rsid w:val="00700354"/>
    <w:rsid w:val="00702CA2"/>
    <w:rsid w:val="007045BD"/>
    <w:rsid w:val="00711472"/>
    <w:rsid w:val="00711E05"/>
    <w:rsid w:val="007121E9"/>
    <w:rsid w:val="00714DE0"/>
    <w:rsid w:val="007164A7"/>
    <w:rsid w:val="00716DFF"/>
    <w:rsid w:val="00721A60"/>
    <w:rsid w:val="007220CF"/>
    <w:rsid w:val="00723821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2E5D"/>
    <w:rsid w:val="008A5AFD"/>
    <w:rsid w:val="008A6CD4"/>
    <w:rsid w:val="008A788A"/>
    <w:rsid w:val="008B47B4"/>
    <w:rsid w:val="008B5396"/>
    <w:rsid w:val="008B581F"/>
    <w:rsid w:val="008C0FD0"/>
    <w:rsid w:val="008C3418"/>
    <w:rsid w:val="008C3A09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903A8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9CB"/>
    <w:rsid w:val="009F3F07"/>
    <w:rsid w:val="00A00EE5"/>
    <w:rsid w:val="00A049E2"/>
    <w:rsid w:val="00A06AE1"/>
    <w:rsid w:val="00A070C0"/>
    <w:rsid w:val="00A077D4"/>
    <w:rsid w:val="00A1062E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3054"/>
    <w:rsid w:val="00A3560F"/>
    <w:rsid w:val="00A35D4E"/>
    <w:rsid w:val="00A35DD1"/>
    <w:rsid w:val="00A36DC1"/>
    <w:rsid w:val="00A40884"/>
    <w:rsid w:val="00A42C28"/>
    <w:rsid w:val="00A43B6B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3D40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1652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D7F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3806"/>
    <w:rsid w:val="00CC4281"/>
    <w:rsid w:val="00CC648A"/>
    <w:rsid w:val="00CC76CE"/>
    <w:rsid w:val="00CD0ABD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1170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4566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6935"/>
    <w:rsid w:val="00E0769B"/>
    <w:rsid w:val="00E07E4A"/>
    <w:rsid w:val="00E11083"/>
    <w:rsid w:val="00E11C34"/>
    <w:rsid w:val="00E14AFB"/>
    <w:rsid w:val="00E16539"/>
    <w:rsid w:val="00E16650"/>
    <w:rsid w:val="00E245D5"/>
    <w:rsid w:val="00E31C35"/>
    <w:rsid w:val="00E332E8"/>
    <w:rsid w:val="00E33B8F"/>
    <w:rsid w:val="00E40624"/>
    <w:rsid w:val="00E408BF"/>
    <w:rsid w:val="00E4329F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3C13"/>
    <w:rsid w:val="00E74E87"/>
    <w:rsid w:val="00E777F5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103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5C6F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8AC"/>
    <w:rsid w:val="00FA156D"/>
    <w:rsid w:val="00FA329E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4F8E"/>
    <w:rsid w:val="00FC5CFA"/>
    <w:rsid w:val="00FC64E4"/>
    <w:rsid w:val="00FD554D"/>
    <w:rsid w:val="00FD5B24"/>
    <w:rsid w:val="00FE1231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358A-D62A-4F74-859B-9378B461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3326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4218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dc:description/>
  <cp:lastModifiedBy>Alfred Asterjadhi</cp:lastModifiedBy>
  <cp:revision>1541</cp:revision>
  <cp:lastPrinted>2010-05-04T03:47:00Z</cp:lastPrinted>
  <dcterms:created xsi:type="dcterms:W3CDTF">2015-11-12T17:20:00Z</dcterms:created>
  <dcterms:modified xsi:type="dcterms:W3CDTF">2017-01-16T22:37:00Z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