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317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5D4F47" w14:paraId="085C8065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2837642" w14:textId="3A47C12D" w:rsidR="00CA09B2" w:rsidRPr="005D4F47" w:rsidRDefault="00C667B2" w:rsidP="00C667B2">
            <w:pPr>
              <w:pStyle w:val="T2"/>
            </w:pPr>
            <w:r>
              <w:t>Text related to Fast BSS Discovery</w:t>
            </w:r>
          </w:p>
        </w:tc>
      </w:tr>
      <w:tr w:rsidR="00CA09B2" w:rsidRPr="005D4F47" w14:paraId="72D7E3FB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B661EE" w14:textId="7C11B9EF" w:rsidR="00CA09B2" w:rsidRPr="005D4F47" w:rsidRDefault="00CA09B2" w:rsidP="00DA0D33">
            <w:pPr>
              <w:pStyle w:val="T2"/>
              <w:ind w:left="0"/>
              <w:rPr>
                <w:sz w:val="20"/>
              </w:rPr>
            </w:pPr>
            <w:r w:rsidRPr="005D4F47">
              <w:rPr>
                <w:sz w:val="20"/>
              </w:rPr>
              <w:t>Date:</w:t>
            </w:r>
            <w:r w:rsidRPr="005D4F47">
              <w:rPr>
                <w:b w:val="0"/>
                <w:sz w:val="20"/>
              </w:rPr>
              <w:t xml:space="preserve">  </w:t>
            </w:r>
            <w:r w:rsidR="00DA0D33">
              <w:rPr>
                <w:b w:val="0"/>
                <w:sz w:val="20"/>
              </w:rPr>
              <w:t>2017</w:t>
            </w:r>
            <w:r w:rsidRPr="005D4F47">
              <w:rPr>
                <w:b w:val="0"/>
                <w:sz w:val="20"/>
              </w:rPr>
              <w:t>-</w:t>
            </w:r>
            <w:r w:rsidR="00DA0D33">
              <w:rPr>
                <w:b w:val="0"/>
                <w:sz w:val="20"/>
              </w:rPr>
              <w:t>01</w:t>
            </w:r>
            <w:r w:rsidRPr="005D4F47">
              <w:rPr>
                <w:b w:val="0"/>
                <w:sz w:val="20"/>
              </w:rPr>
              <w:t>-</w:t>
            </w:r>
            <w:r w:rsidR="00DA0D33">
              <w:rPr>
                <w:b w:val="0"/>
                <w:sz w:val="20"/>
              </w:rPr>
              <w:t>04</w:t>
            </w:r>
          </w:p>
        </w:tc>
      </w:tr>
      <w:tr w:rsidR="00CA09B2" w:rsidRPr="005D4F47" w14:paraId="67F3CD98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5200C1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Author(s):</w:t>
            </w:r>
          </w:p>
        </w:tc>
      </w:tr>
      <w:tr w:rsidR="00CA09B2" w:rsidRPr="005D4F47" w14:paraId="35802CD4" w14:textId="77777777" w:rsidTr="008E4185">
        <w:trPr>
          <w:jc w:val="center"/>
        </w:trPr>
        <w:tc>
          <w:tcPr>
            <w:tcW w:w="1809" w:type="dxa"/>
            <w:vAlign w:val="center"/>
          </w:tcPr>
          <w:p w14:paraId="0F232620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527A4E4C" w14:textId="77777777" w:rsidR="00CA09B2" w:rsidRPr="005D4F47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391AAE0C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4F93E68A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78001059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email</w:t>
            </w:r>
          </w:p>
        </w:tc>
      </w:tr>
      <w:tr w:rsidR="00CA09B2" w:rsidRPr="005D4F47" w14:paraId="61086B94" w14:textId="77777777" w:rsidTr="008E4185">
        <w:trPr>
          <w:trHeight w:val="907"/>
          <w:jc w:val="center"/>
        </w:trPr>
        <w:tc>
          <w:tcPr>
            <w:tcW w:w="1809" w:type="dxa"/>
            <w:vAlign w:val="center"/>
          </w:tcPr>
          <w:p w14:paraId="11449CA8" w14:textId="77777777" w:rsidR="00CA09B2" w:rsidRPr="005D4F47" w:rsidRDefault="005D15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D4F47">
              <w:rPr>
                <w:b w:val="0"/>
                <w:sz w:val="20"/>
              </w:rPr>
              <w:t>Gaius Wee</w:t>
            </w:r>
          </w:p>
        </w:tc>
        <w:tc>
          <w:tcPr>
            <w:tcW w:w="1305" w:type="dxa"/>
            <w:vAlign w:val="center"/>
          </w:tcPr>
          <w:p w14:paraId="103A9221" w14:textId="77777777" w:rsidR="00CA09B2" w:rsidRPr="005D4F47" w:rsidRDefault="005D15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D4F47">
              <w:rPr>
                <w:b w:val="0"/>
                <w:sz w:val="20"/>
              </w:rPr>
              <w:t>Panasonic</w:t>
            </w:r>
            <w:r w:rsidR="00B00A29" w:rsidRPr="005D4F47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1701" w:type="dxa"/>
            <w:vAlign w:val="center"/>
          </w:tcPr>
          <w:p w14:paraId="3204BF33" w14:textId="296FE299" w:rsidR="00CA09B2" w:rsidRPr="005D4F47" w:rsidRDefault="008E4185" w:rsidP="008E41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202 </w:t>
            </w:r>
            <w:proofErr w:type="spellStart"/>
            <w:r>
              <w:rPr>
                <w:b w:val="0"/>
                <w:sz w:val="20"/>
              </w:rPr>
              <w:t>Bedok</w:t>
            </w:r>
            <w:proofErr w:type="spellEnd"/>
            <w:r>
              <w:rPr>
                <w:b w:val="0"/>
                <w:sz w:val="20"/>
              </w:rPr>
              <w:t xml:space="preserve"> South Avenue 1 #02-11, Singapore 469332</w:t>
            </w:r>
          </w:p>
        </w:tc>
        <w:tc>
          <w:tcPr>
            <w:tcW w:w="1530" w:type="dxa"/>
            <w:vAlign w:val="center"/>
          </w:tcPr>
          <w:p w14:paraId="7B27DEBE" w14:textId="143670F3" w:rsidR="00CA09B2" w:rsidRPr="005D4F47" w:rsidRDefault="008E41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+65 6550 5335</w:t>
            </w:r>
          </w:p>
        </w:tc>
        <w:tc>
          <w:tcPr>
            <w:tcW w:w="3231" w:type="dxa"/>
            <w:vAlign w:val="center"/>
          </w:tcPr>
          <w:p w14:paraId="43990959" w14:textId="77777777" w:rsidR="00251C8C" w:rsidRPr="005D4F47" w:rsidRDefault="005D157B" w:rsidP="005D157B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D4F47">
              <w:rPr>
                <w:b w:val="0"/>
                <w:sz w:val="24"/>
                <w:szCs w:val="24"/>
              </w:rPr>
              <w:t>yaohuang.wee@sg.panasonic.com</w:t>
            </w:r>
          </w:p>
        </w:tc>
      </w:tr>
      <w:tr w:rsidR="00CD6E99" w:rsidRPr="005D4F47" w14:paraId="6A5625C5" w14:textId="77777777" w:rsidTr="008E1B37">
        <w:trPr>
          <w:jc w:val="center"/>
        </w:trPr>
        <w:tc>
          <w:tcPr>
            <w:tcW w:w="1809" w:type="dxa"/>
          </w:tcPr>
          <w:p w14:paraId="1B13FB36" w14:textId="4D8E0755" w:rsidR="00CD6E99" w:rsidRPr="00CD6E99" w:rsidRDefault="00CD6E99" w:rsidP="00CD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1B37">
              <w:rPr>
                <w:b w:val="0"/>
                <w:sz w:val="20"/>
              </w:rPr>
              <w:t>Carlos Cordeiro</w:t>
            </w:r>
          </w:p>
        </w:tc>
        <w:tc>
          <w:tcPr>
            <w:tcW w:w="1305" w:type="dxa"/>
          </w:tcPr>
          <w:p w14:paraId="6899166A" w14:textId="37A8AA0D" w:rsidR="00CD6E99" w:rsidRPr="00CD6E99" w:rsidRDefault="00CD6E99" w:rsidP="00CD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1B37">
              <w:rPr>
                <w:b w:val="0"/>
                <w:sz w:val="20"/>
              </w:rPr>
              <w:t>Intel</w:t>
            </w:r>
          </w:p>
        </w:tc>
        <w:tc>
          <w:tcPr>
            <w:tcW w:w="1701" w:type="dxa"/>
          </w:tcPr>
          <w:p w14:paraId="53FDCB81" w14:textId="312CF6D0" w:rsidR="00CD6E99" w:rsidRPr="00CD6E99" w:rsidRDefault="00CD6E99" w:rsidP="00CD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1B37">
              <w:rPr>
                <w:b w:val="0"/>
                <w:sz w:val="20"/>
              </w:rPr>
              <w:t>2111 NE 25th Ave, Hillsboro OR 97124, USA</w:t>
            </w:r>
          </w:p>
        </w:tc>
        <w:tc>
          <w:tcPr>
            <w:tcW w:w="1530" w:type="dxa"/>
          </w:tcPr>
          <w:p w14:paraId="4A74FC63" w14:textId="58FD0C86" w:rsidR="00CD6E99" w:rsidRPr="00CD6E99" w:rsidRDefault="00CD6E99" w:rsidP="00CD6E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E1B37">
              <w:rPr>
                <w:b w:val="0"/>
                <w:sz w:val="20"/>
              </w:rPr>
              <w:t>+1-503-712-9356</w:t>
            </w:r>
          </w:p>
        </w:tc>
        <w:tc>
          <w:tcPr>
            <w:tcW w:w="3231" w:type="dxa"/>
          </w:tcPr>
          <w:p w14:paraId="05034AB8" w14:textId="15AAC875" w:rsidR="00CD6E99" w:rsidRPr="008E1B37" w:rsidRDefault="00CD6E99" w:rsidP="00CD6E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8E1B37">
              <w:rPr>
                <w:b w:val="0"/>
                <w:sz w:val="24"/>
                <w:szCs w:val="24"/>
              </w:rPr>
              <w:t>carlos.cordeiro@intel.com</w:t>
            </w:r>
          </w:p>
        </w:tc>
      </w:tr>
    </w:tbl>
    <w:p w14:paraId="05F3E7DD" w14:textId="17B0BB2F" w:rsidR="00CA09B2" w:rsidRDefault="00A6055C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9E123F" wp14:editId="184485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8A6A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F8EF7FE" w14:textId="37345DDB" w:rsidR="00251C8C" w:rsidRDefault="005D157B" w:rsidP="005D157B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6D2A3B">
                              <w:t xml:space="preserve">draft specification text for Fast BSS Discovery </w:t>
                            </w:r>
                            <w:r w:rsidR="006C1BEF">
                              <w:t>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E12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128A6A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F8EF7FE" w14:textId="37345DDB" w:rsidR="00251C8C" w:rsidRDefault="005D157B" w:rsidP="005D157B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6D2A3B">
                        <w:t xml:space="preserve">draft specification text for Fast BSS Discovery </w:t>
                      </w:r>
                      <w:r w:rsidR="006C1BEF">
                        <w:t>[1].</w:t>
                      </w:r>
                    </w:p>
                  </w:txbxContent>
                </v:textbox>
              </v:shape>
            </w:pict>
          </mc:Fallback>
        </mc:AlternateContent>
      </w:r>
    </w:p>
    <w:p w14:paraId="5CCF6E4E" w14:textId="122B0589" w:rsidR="00D6149A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>
        <w:br w:type="page"/>
      </w:r>
    </w:p>
    <w:p w14:paraId="2883E7C2" w14:textId="265D18AF" w:rsidR="006B4428" w:rsidRDefault="006B4428" w:rsidP="006B4428">
      <w:pPr>
        <w:rPr>
          <w:b/>
          <w:i/>
          <w:sz w:val="24"/>
          <w:u w:val="single"/>
        </w:rPr>
      </w:pPr>
      <w:r w:rsidRPr="006B4428">
        <w:rPr>
          <w:b/>
          <w:i/>
          <w:sz w:val="24"/>
          <w:u w:val="single"/>
        </w:rPr>
        <w:lastRenderedPageBreak/>
        <w:t>Text related to motion 1:</w:t>
      </w:r>
    </w:p>
    <w:p w14:paraId="5C88B7EE" w14:textId="77777777" w:rsidR="00B0179D" w:rsidRPr="006B4428" w:rsidRDefault="00B0179D" w:rsidP="006B4428">
      <w:pPr>
        <w:rPr>
          <w:b/>
          <w:i/>
          <w:sz w:val="24"/>
          <w:u w:val="single"/>
        </w:rPr>
      </w:pPr>
    </w:p>
    <w:p w14:paraId="5990228F" w14:textId="77777777" w:rsidR="00D6149A" w:rsidRDefault="008A1EC3" w:rsidP="008A1EC3">
      <w:pPr>
        <w:pStyle w:val="IEEEStdsLevel1Header"/>
        <w:numPr>
          <w:ilvl w:val="0"/>
          <w:numId w:val="0"/>
        </w:numPr>
      </w:pPr>
      <w:r>
        <w:t xml:space="preserve">9. </w:t>
      </w:r>
      <w:r w:rsidR="00D6149A">
        <w:t>Frame formats</w:t>
      </w:r>
    </w:p>
    <w:p w14:paraId="098A9EB8" w14:textId="77777777" w:rsidR="00D6149A" w:rsidRDefault="00D6149A" w:rsidP="00D6149A">
      <w:pPr>
        <w:pStyle w:val="IEEEStdsLevel2Header"/>
        <w:numPr>
          <w:ilvl w:val="0"/>
          <w:numId w:val="0"/>
        </w:numPr>
      </w:pPr>
      <w:r>
        <w:t xml:space="preserve">9.5 </w:t>
      </w:r>
      <w:r w:rsidRPr="00AA605A">
        <w:t>Fields used in Management and Extension frame bodies and Control frames</w:t>
      </w:r>
    </w:p>
    <w:p w14:paraId="25F7B95C" w14:textId="77777777" w:rsidR="00D6149A" w:rsidRDefault="00D6149A" w:rsidP="00D6149A">
      <w:pPr>
        <w:pStyle w:val="IEEEStdsLevel3Header"/>
        <w:numPr>
          <w:ilvl w:val="0"/>
          <w:numId w:val="0"/>
        </w:numPr>
      </w:pPr>
      <w:r>
        <w:t>9.5.1 Sector Sweep field</w:t>
      </w:r>
    </w:p>
    <w:p w14:paraId="2B8EC0F6" w14:textId="1AB174A4" w:rsidR="00D6149A" w:rsidRPr="006B4428" w:rsidRDefault="00D6149A" w:rsidP="00D6149A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6B4428">
        <w:rPr>
          <w:rFonts w:ascii="Arial,Bold" w:hAnsi="Arial,Bold" w:cs="Arial,Bold"/>
          <w:bCs/>
          <w:i/>
          <w:sz w:val="20"/>
          <w:lang w:val="en-US" w:bidi="he-IL"/>
        </w:rPr>
        <w:t>Change the first paragraph as follows</w:t>
      </w:r>
    </w:p>
    <w:p w14:paraId="1E8D5C3C" w14:textId="77777777" w:rsidR="00D6149A" w:rsidRPr="006B4428" w:rsidRDefault="00D6149A" w:rsidP="00D6149A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30182C7C" w14:textId="6A4D7505" w:rsidR="00D6149A" w:rsidRPr="006B4428" w:rsidRDefault="00D6149A" w:rsidP="00142AA1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bidi="he-IL"/>
        </w:rPr>
      </w:pPr>
      <w:r w:rsidRPr="006B4428">
        <w:rPr>
          <w:rFonts w:eastAsia="TimesNewRoman"/>
          <w:szCs w:val="22"/>
          <w:u w:val="single"/>
          <w:lang w:val="en-US" w:bidi="he-IL"/>
        </w:rPr>
        <w:t>When the sector sweep (SSW) field is not transmitted in a DMG Beacon frame,</w:t>
      </w:r>
      <w:r w:rsidRPr="006B4428">
        <w:rPr>
          <w:rFonts w:eastAsia="TimesNewRoman"/>
          <w:szCs w:val="22"/>
          <w:lang w:val="en-US" w:bidi="he-IL"/>
        </w:rPr>
        <w:t xml:space="preserve"> </w:t>
      </w:r>
      <w:proofErr w:type="spellStart"/>
      <w:r w:rsidRPr="006B4428">
        <w:rPr>
          <w:rFonts w:eastAsia="TimesNewRoman"/>
          <w:strike/>
          <w:szCs w:val="22"/>
          <w:lang w:val="en-US" w:bidi="he-IL"/>
        </w:rPr>
        <w:t>T</w:t>
      </w:r>
      <w:r w:rsidRPr="006B4428">
        <w:rPr>
          <w:rFonts w:eastAsia="TimesNewRoman"/>
          <w:szCs w:val="22"/>
          <w:u w:val="single"/>
          <w:lang w:val="en-US" w:bidi="he-IL"/>
        </w:rPr>
        <w:t>t</w:t>
      </w:r>
      <w:r w:rsidRPr="006B4428">
        <w:rPr>
          <w:rFonts w:eastAsia="TimesNewRoman"/>
          <w:szCs w:val="22"/>
          <w:lang w:val="en-US" w:bidi="he-IL"/>
        </w:rPr>
        <w:t>he</w:t>
      </w:r>
      <w:proofErr w:type="spellEnd"/>
      <w:r w:rsidRPr="006B4428">
        <w:rPr>
          <w:rFonts w:eastAsia="TimesNewRoman"/>
          <w:szCs w:val="22"/>
          <w:lang w:val="en-US" w:bidi="he-IL"/>
        </w:rPr>
        <w:t xml:space="preserve"> format of the </w:t>
      </w:r>
      <w:r w:rsidRPr="006B4428">
        <w:rPr>
          <w:rFonts w:eastAsia="TimesNewRoman"/>
          <w:strike/>
          <w:szCs w:val="22"/>
          <w:lang w:val="en-US" w:bidi="he-IL"/>
        </w:rPr>
        <w:t xml:space="preserve">sector sweep (SSW) </w:t>
      </w:r>
      <w:r w:rsidRPr="006B4428">
        <w:rPr>
          <w:rFonts w:eastAsia="TimesNewRoman"/>
          <w:szCs w:val="22"/>
          <w:lang w:val="en-US" w:bidi="he-IL"/>
        </w:rPr>
        <w:t xml:space="preserve">field is </w:t>
      </w:r>
      <w:r w:rsidRPr="006B4428">
        <w:rPr>
          <w:rFonts w:eastAsia="TimesNewRoman"/>
          <w:szCs w:val="22"/>
          <w:u w:val="single"/>
          <w:lang w:val="en-US" w:bidi="he-IL"/>
        </w:rPr>
        <w:t xml:space="preserve">as </w:t>
      </w:r>
      <w:r w:rsidRPr="006B4428">
        <w:rPr>
          <w:rFonts w:eastAsia="TimesNewRoman"/>
          <w:szCs w:val="22"/>
          <w:lang w:val="en-US" w:bidi="he-IL"/>
        </w:rPr>
        <w:t xml:space="preserve">shown in Figure 9-635. </w:t>
      </w:r>
      <w:r w:rsidRPr="006B4428">
        <w:rPr>
          <w:rFonts w:eastAsia="TimesNewRoman"/>
          <w:szCs w:val="22"/>
          <w:u w:val="single"/>
          <w:lang w:val="en-US" w:bidi="he-IL"/>
        </w:rPr>
        <w:t xml:space="preserve">The format of the field when transmitted in a DMG Beacon frame is shown in Figure </w:t>
      </w:r>
      <w:r w:rsidR="00876EEF" w:rsidRPr="00EC47ED">
        <w:rPr>
          <w:rFonts w:eastAsia="TimesNewRoman"/>
          <w:i/>
          <w:szCs w:val="22"/>
          <w:u w:val="single"/>
          <w:lang w:val="en-US" w:bidi="he-IL"/>
        </w:rPr>
        <w:t>TBD1</w:t>
      </w:r>
      <w:r w:rsidR="006B4428">
        <w:rPr>
          <w:rFonts w:eastAsia="TimesNewRoman"/>
          <w:szCs w:val="22"/>
          <w:u w:val="single"/>
          <w:lang w:val="en-US" w:bidi="he-IL"/>
        </w:rPr>
        <w:t>.</w:t>
      </w:r>
    </w:p>
    <w:p w14:paraId="2A6F5DDA" w14:textId="77777777" w:rsidR="00D6149A" w:rsidRPr="006B4428" w:rsidRDefault="00D6149A" w:rsidP="00D6149A">
      <w:pPr>
        <w:rPr>
          <w:kern w:val="16"/>
          <w:lang w:val="en-US"/>
        </w:rPr>
      </w:pPr>
    </w:p>
    <w:p w14:paraId="2DD984D1" w14:textId="23986AAA" w:rsidR="00D6149A" w:rsidRPr="006B4428" w:rsidRDefault="006B4428" w:rsidP="006B4428">
      <w:pPr>
        <w:pStyle w:val="Caption"/>
        <w:rPr>
          <w:kern w:val="16"/>
          <w:lang w:val="en-US"/>
        </w:rPr>
      </w:pPr>
      <w:r w:rsidRPr="006B4428">
        <w:rPr>
          <w:rFonts w:ascii="Arial,Bold" w:hAnsi="Arial,Bold" w:cs="Arial,Bold"/>
          <w:b w:val="0"/>
          <w:i/>
          <w:lang w:val="en-US" w:bidi="he-IL"/>
        </w:rPr>
        <w:t>At the end of the caption of Figure 9-635, insert “when not transmitted in a DMG Beacon frame”</w:t>
      </w:r>
    </w:p>
    <w:p w14:paraId="0CC92371" w14:textId="77777777" w:rsidR="00D6149A" w:rsidRPr="006B4428" w:rsidRDefault="00D6149A" w:rsidP="00D6149A">
      <w:pPr>
        <w:rPr>
          <w:kern w:val="16"/>
          <w:lang w:val="en-US"/>
        </w:rPr>
      </w:pPr>
    </w:p>
    <w:p w14:paraId="1B614D8A" w14:textId="5E647BB3" w:rsidR="00D6149A" w:rsidRPr="006B4428" w:rsidRDefault="00D6149A" w:rsidP="00D6149A">
      <w:pPr>
        <w:rPr>
          <w:rFonts w:ascii="Arial,Bold" w:hAnsi="Arial,Bold" w:cs="Arial,Bold"/>
          <w:bCs/>
          <w:i/>
          <w:sz w:val="20"/>
          <w:lang w:val="en-US" w:bidi="he-IL"/>
        </w:rPr>
      </w:pPr>
      <w:r w:rsidRPr="006B4428">
        <w:rPr>
          <w:rFonts w:ascii="Arial,Bold" w:hAnsi="Arial,Bold" w:cs="Arial,Bold"/>
          <w:bCs/>
          <w:i/>
          <w:sz w:val="20"/>
          <w:lang w:val="en-US" w:bidi="he-IL"/>
        </w:rPr>
        <w:t>Insert the following figure after Figure 9-365</w:t>
      </w:r>
    </w:p>
    <w:p w14:paraId="7EE87667" w14:textId="77777777" w:rsidR="00D6149A" w:rsidRPr="006B4428" w:rsidRDefault="00D6149A" w:rsidP="00D6149A">
      <w:pPr>
        <w:rPr>
          <w:kern w:val="16"/>
          <w:lang w:val="en-US"/>
        </w:rPr>
      </w:pPr>
    </w:p>
    <w:p w14:paraId="3713545D" w14:textId="77777777" w:rsidR="00D6149A" w:rsidRPr="006B4428" w:rsidRDefault="00D6149A" w:rsidP="00D6149A">
      <w:pPr>
        <w:pStyle w:val="Caption"/>
        <w:keepNext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896"/>
        <w:gridCol w:w="896"/>
        <w:gridCol w:w="911"/>
        <w:gridCol w:w="1526"/>
        <w:gridCol w:w="1351"/>
        <w:gridCol w:w="886"/>
      </w:tblGrid>
      <w:tr w:rsidR="006B4428" w:rsidRPr="006B4428" w14:paraId="73AC3425" w14:textId="77777777" w:rsidTr="00835265">
        <w:trPr>
          <w:jc w:val="center"/>
        </w:trPr>
        <w:tc>
          <w:tcPr>
            <w:tcW w:w="0" w:type="auto"/>
            <w:shd w:val="clear" w:color="auto" w:fill="auto"/>
          </w:tcPr>
          <w:p w14:paraId="7B9852DE" w14:textId="77777777" w:rsidR="00D6149A" w:rsidRPr="006B4428" w:rsidRDefault="00D6149A" w:rsidP="00835265">
            <w:pPr>
              <w:pStyle w:val="IEEEStdsTableData-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AFFBBF" w14:textId="77777777" w:rsidR="00D6149A" w:rsidRPr="006B4428" w:rsidRDefault="00D6149A" w:rsidP="00835265">
            <w:pPr>
              <w:pStyle w:val="IEEEStdsTableData-Center"/>
            </w:pPr>
            <w:r w:rsidRPr="006B4428">
              <w:t>B0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5993D9" w14:textId="77777777" w:rsidR="00D6149A" w:rsidRPr="006B4428" w:rsidRDefault="00D6149A" w:rsidP="00835265">
            <w:pPr>
              <w:pStyle w:val="IEEEStdsTableData-Center"/>
            </w:pPr>
            <w:r w:rsidRPr="006B4428">
              <w:t>B1-B9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89ADEC" w14:textId="77777777" w:rsidR="00D6149A" w:rsidRPr="006B4428" w:rsidRDefault="00D6149A" w:rsidP="00835265">
            <w:pPr>
              <w:pStyle w:val="IEEEStdsTableData-Center"/>
            </w:pPr>
            <w:r w:rsidRPr="006B4428">
              <w:t>B10-B15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1F228" w14:textId="77777777" w:rsidR="00D6149A" w:rsidRPr="006B4428" w:rsidRDefault="00D6149A" w:rsidP="00835265">
            <w:pPr>
              <w:pStyle w:val="IEEEStdsTableData-Center"/>
            </w:pPr>
            <w:r w:rsidRPr="006B4428">
              <w:t>B16-B17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139D94" w14:textId="77777777" w:rsidR="00D6149A" w:rsidRPr="006B4428" w:rsidRDefault="00D6149A" w:rsidP="00835265">
            <w:pPr>
              <w:pStyle w:val="IEEEStdsTableData-Center"/>
            </w:pPr>
            <w:r w:rsidRPr="006B4428">
              <w:t>B18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9127AE" w14:textId="77777777" w:rsidR="00D6149A" w:rsidRPr="006B4428" w:rsidRDefault="00D6149A" w:rsidP="00835265">
            <w:pPr>
              <w:pStyle w:val="IEEEStdsTableData-Center"/>
            </w:pPr>
            <w:r w:rsidRPr="006B4428">
              <w:t>B19-B23</w:t>
            </w:r>
          </w:p>
        </w:tc>
      </w:tr>
      <w:tr w:rsidR="006B4428" w:rsidRPr="006B4428" w14:paraId="1FA04387" w14:textId="77777777" w:rsidTr="0083526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0596C0C" w14:textId="77777777" w:rsidR="00D6149A" w:rsidRPr="006B4428" w:rsidRDefault="00D6149A" w:rsidP="00835265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4E5" w14:textId="77777777" w:rsidR="00D6149A" w:rsidRPr="006B4428" w:rsidRDefault="00D6149A" w:rsidP="00835265">
            <w:pPr>
              <w:pStyle w:val="IEEEStdsTableData-Center"/>
            </w:pPr>
            <w:r w:rsidRPr="006B4428">
              <w:t>Direction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0B8C" w14:textId="77777777" w:rsidR="00D6149A" w:rsidRPr="006B4428" w:rsidRDefault="00D6149A" w:rsidP="00835265">
            <w:pPr>
              <w:pStyle w:val="IEEEStdsTableData-Center"/>
            </w:pPr>
            <w:r w:rsidRPr="006B4428">
              <w:t>CDOWN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222" w14:textId="77777777" w:rsidR="00D6149A" w:rsidRPr="006B4428" w:rsidRDefault="00D6149A" w:rsidP="00835265">
            <w:pPr>
              <w:pStyle w:val="IEEEStdsTableData-Center"/>
            </w:pPr>
            <w:r w:rsidRPr="006B4428">
              <w:t>Sector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5A4" w14:textId="77777777" w:rsidR="00D6149A" w:rsidRPr="006B4428" w:rsidRDefault="00D6149A" w:rsidP="00835265">
            <w:pPr>
              <w:pStyle w:val="IEEEStdsTableData-Center"/>
            </w:pPr>
            <w:r w:rsidRPr="006B4428">
              <w:t>DMG Antenna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C66" w14:textId="77777777" w:rsidR="00D6149A" w:rsidRPr="006B4428" w:rsidRDefault="00D6149A" w:rsidP="00835265">
            <w:pPr>
              <w:pStyle w:val="IEEEStdsTableData-Center"/>
            </w:pPr>
            <w:r w:rsidRPr="006B4428">
              <w:t>Quasi-</w:t>
            </w:r>
            <w:proofErr w:type="spellStart"/>
            <w:r w:rsidRPr="006B4428">
              <w:t>omni</w:t>
            </w:r>
            <w:proofErr w:type="spellEnd"/>
            <w:r w:rsidRPr="006B4428">
              <w:t xml:space="preserve"> TX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B42" w14:textId="77777777" w:rsidR="00D6149A" w:rsidRPr="006B4428" w:rsidRDefault="00D6149A" w:rsidP="00835265">
            <w:pPr>
              <w:pStyle w:val="IEEEStdsTableData-Center"/>
            </w:pPr>
            <w:r w:rsidRPr="006B4428">
              <w:t>Reserved</w:t>
            </w:r>
          </w:p>
        </w:tc>
      </w:tr>
      <w:tr w:rsidR="00884A48" w:rsidRPr="006B4428" w14:paraId="49551CEF" w14:textId="77777777" w:rsidTr="00835265">
        <w:trPr>
          <w:jc w:val="center"/>
        </w:trPr>
        <w:tc>
          <w:tcPr>
            <w:tcW w:w="0" w:type="auto"/>
            <w:shd w:val="clear" w:color="auto" w:fill="auto"/>
          </w:tcPr>
          <w:p w14:paraId="624B4FA2" w14:textId="77777777" w:rsidR="00D6149A" w:rsidRPr="006B4428" w:rsidRDefault="00D6149A" w:rsidP="00835265">
            <w:pPr>
              <w:pStyle w:val="IEEEStdsTableData-Center"/>
            </w:pPr>
            <w:r w:rsidRPr="006B4428"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E3ADF87" w14:textId="77777777" w:rsidR="00D6149A" w:rsidRPr="006B4428" w:rsidRDefault="00D6149A" w:rsidP="00835265">
            <w:pPr>
              <w:pStyle w:val="IEEEStdsTableData-Center"/>
            </w:pPr>
            <w:r w:rsidRPr="006B4428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39E2A8A" w14:textId="77777777" w:rsidR="00D6149A" w:rsidRPr="006B4428" w:rsidRDefault="00D6149A" w:rsidP="00835265">
            <w:pPr>
              <w:pStyle w:val="IEEEStdsTableData-Center"/>
            </w:pPr>
            <w:r w:rsidRPr="006B4428"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D2CA92" w14:textId="77777777" w:rsidR="00D6149A" w:rsidRPr="006B4428" w:rsidRDefault="00D6149A" w:rsidP="00835265">
            <w:pPr>
              <w:pStyle w:val="IEEEStdsTableData-Center"/>
            </w:pPr>
            <w:r w:rsidRPr="006B4428"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B22619" w14:textId="77777777" w:rsidR="00D6149A" w:rsidRPr="006B4428" w:rsidRDefault="00D6149A" w:rsidP="00835265">
            <w:pPr>
              <w:pStyle w:val="IEEEStdsTableData-Center"/>
            </w:pPr>
            <w:r w:rsidRPr="006B4428"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6C4580" w14:textId="77777777" w:rsidR="00D6149A" w:rsidRPr="006B4428" w:rsidRDefault="00D6149A" w:rsidP="00835265">
            <w:pPr>
              <w:pStyle w:val="IEEEStdsTableData-Center"/>
            </w:pPr>
            <w:r w:rsidRPr="006B4428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B33715" w14:textId="77777777" w:rsidR="00D6149A" w:rsidRPr="006B4428" w:rsidRDefault="00D6149A" w:rsidP="00835265">
            <w:pPr>
              <w:pStyle w:val="IEEEStdsTableData-Center"/>
            </w:pPr>
            <w:r w:rsidRPr="006B4428">
              <w:t>5</w:t>
            </w:r>
          </w:p>
        </w:tc>
      </w:tr>
    </w:tbl>
    <w:p w14:paraId="6143E3D9" w14:textId="77777777" w:rsidR="00D6149A" w:rsidRPr="006B4428" w:rsidRDefault="00D6149A" w:rsidP="00D6149A">
      <w:pPr>
        <w:pStyle w:val="Caption"/>
        <w:jc w:val="center"/>
        <w:rPr>
          <w:kern w:val="16"/>
          <w:lang w:val="en-US"/>
        </w:rPr>
      </w:pPr>
    </w:p>
    <w:p w14:paraId="0488F2AC" w14:textId="52C975B3" w:rsidR="00D6149A" w:rsidRPr="006B4428" w:rsidRDefault="006B4428" w:rsidP="00D6149A">
      <w:pPr>
        <w:pStyle w:val="Caption"/>
        <w:jc w:val="center"/>
        <w:rPr>
          <w:kern w:val="16"/>
          <w:lang w:val="en-US"/>
        </w:rPr>
      </w:pPr>
      <w:r>
        <w:rPr>
          <w:kern w:val="16"/>
          <w:lang w:val="en-US"/>
        </w:rPr>
        <w:t xml:space="preserve">Figure </w:t>
      </w:r>
      <w:r w:rsidR="00876EEF" w:rsidRPr="00EC47ED">
        <w:rPr>
          <w:i/>
          <w:kern w:val="16"/>
          <w:lang w:val="en-US"/>
        </w:rPr>
        <w:t>TBD1</w:t>
      </w:r>
      <w:r w:rsidR="00D6149A" w:rsidRPr="006B4428">
        <w:rPr>
          <w:rFonts w:ascii="Arial,Bold" w:hAnsi="Arial,Bold" w:cs="Arial,Bold"/>
          <w:b w:val="0"/>
          <w:bCs w:val="0"/>
          <w:lang w:val="en-SG" w:eastAsia="en-SG"/>
        </w:rPr>
        <w:t>—</w:t>
      </w:r>
      <w:r w:rsidR="00D6149A" w:rsidRPr="006B4428">
        <w:rPr>
          <w:kern w:val="16"/>
          <w:lang w:val="en-US"/>
        </w:rPr>
        <w:t>SSW field format when transmitted in a DMG Beacon frame</w:t>
      </w:r>
    </w:p>
    <w:p w14:paraId="14D2671C" w14:textId="77777777" w:rsidR="00D6149A" w:rsidRPr="006B4428" w:rsidRDefault="00D6149A" w:rsidP="00D6149A"/>
    <w:p w14:paraId="66CA609B" w14:textId="50AF6B9D" w:rsidR="00D6149A" w:rsidRPr="006B4428" w:rsidRDefault="00D6149A" w:rsidP="00D6149A">
      <w:pPr>
        <w:rPr>
          <w:rFonts w:ascii="Arial,Bold" w:hAnsi="Arial,Bold" w:cs="Arial,Bold"/>
          <w:bCs/>
          <w:i/>
          <w:sz w:val="20"/>
          <w:lang w:val="en-US" w:bidi="he-IL"/>
        </w:rPr>
      </w:pPr>
      <w:r w:rsidRPr="006B4428">
        <w:rPr>
          <w:rFonts w:ascii="Arial,Bold" w:hAnsi="Arial,Bold" w:cs="Arial,Bold"/>
          <w:bCs/>
          <w:i/>
          <w:sz w:val="20"/>
          <w:lang w:val="en-US" w:bidi="he-IL"/>
        </w:rPr>
        <w:t xml:space="preserve">Insert the following </w:t>
      </w:r>
      <w:r w:rsidR="006B4428">
        <w:rPr>
          <w:rFonts w:ascii="Arial,Bold" w:hAnsi="Arial,Bold" w:cs="Arial,Bold"/>
          <w:bCs/>
          <w:i/>
          <w:sz w:val="20"/>
          <w:lang w:val="en-US" w:bidi="he-IL"/>
        </w:rPr>
        <w:t xml:space="preserve">at the end of the </w:t>
      </w:r>
      <w:proofErr w:type="spellStart"/>
      <w:r w:rsidR="006B4428">
        <w:rPr>
          <w:rFonts w:ascii="Arial,Bold" w:hAnsi="Arial,Bold" w:cs="Arial,Bold"/>
          <w:bCs/>
          <w:i/>
          <w:sz w:val="20"/>
          <w:lang w:val="en-US" w:bidi="he-IL"/>
        </w:rPr>
        <w:t>subclause</w:t>
      </w:r>
      <w:proofErr w:type="spellEnd"/>
      <w:r w:rsidRPr="006B4428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7CE9066D" w14:textId="77777777" w:rsidR="00D6149A" w:rsidRPr="006B4428" w:rsidRDefault="00D6149A" w:rsidP="00D6149A"/>
    <w:p w14:paraId="12A887ED" w14:textId="0CCF92D9" w:rsidR="00D6149A" w:rsidRDefault="00D6149A" w:rsidP="00142AA1">
      <w:pPr>
        <w:jc w:val="both"/>
      </w:pPr>
      <w:r w:rsidRPr="006B4428">
        <w:t>The Quasi-</w:t>
      </w:r>
      <w:proofErr w:type="spellStart"/>
      <w:r w:rsidRPr="006B4428">
        <w:t>omni</w:t>
      </w:r>
      <w:proofErr w:type="spellEnd"/>
      <w:r w:rsidRPr="006B4428">
        <w:t xml:space="preserve"> TX subfield is set to 1 to indicate that the frame containing the Sector Sweep field is transmitted with a quasi-</w:t>
      </w:r>
      <w:proofErr w:type="spellStart"/>
      <w:r w:rsidRPr="006B4428">
        <w:t>omni</w:t>
      </w:r>
      <w:proofErr w:type="spellEnd"/>
      <w:r w:rsidRPr="006B4428">
        <w:t xml:space="preserve"> antenna pattern and is set to 0 to indicate that the frame is not transmitted with a quasi-</w:t>
      </w:r>
      <w:proofErr w:type="spellStart"/>
      <w:r w:rsidRPr="006B4428">
        <w:t>omni</w:t>
      </w:r>
      <w:proofErr w:type="spellEnd"/>
      <w:r w:rsidRPr="006B4428">
        <w:t xml:space="preserve"> antenna pattern.</w:t>
      </w:r>
    </w:p>
    <w:p w14:paraId="12413C04" w14:textId="77777777" w:rsidR="006B4428" w:rsidRPr="006B4428" w:rsidRDefault="006B4428" w:rsidP="00142AA1">
      <w:pPr>
        <w:jc w:val="both"/>
      </w:pPr>
    </w:p>
    <w:p w14:paraId="6D8AEBC0" w14:textId="77777777" w:rsidR="006B4428" w:rsidRDefault="006B4428" w:rsidP="006B4428">
      <w:pPr>
        <w:pStyle w:val="IEEEStdsLevel1Header"/>
        <w:numPr>
          <w:ilvl w:val="0"/>
          <w:numId w:val="0"/>
        </w:numPr>
      </w:pPr>
      <w:r>
        <w:t>10. MAC sublayer functional description</w:t>
      </w:r>
    </w:p>
    <w:p w14:paraId="05831333" w14:textId="77777777" w:rsidR="006B4428" w:rsidRDefault="006B4428" w:rsidP="006B4428">
      <w:pPr>
        <w:pStyle w:val="IEEEStdsLevel2Header"/>
        <w:numPr>
          <w:ilvl w:val="0"/>
          <w:numId w:val="0"/>
        </w:numPr>
        <w:tabs>
          <w:tab w:val="left" w:pos="6045"/>
        </w:tabs>
      </w:pPr>
      <w:r>
        <w:t>10.38 DMG beamforming</w:t>
      </w:r>
      <w:r>
        <w:tab/>
      </w:r>
    </w:p>
    <w:p w14:paraId="1084351E" w14:textId="77777777" w:rsidR="006B4428" w:rsidRDefault="006B4428" w:rsidP="006B4428">
      <w:pPr>
        <w:pStyle w:val="IEEEStdsLevel3Header"/>
        <w:numPr>
          <w:ilvl w:val="0"/>
          <w:numId w:val="0"/>
        </w:numPr>
      </w:pPr>
      <w:r>
        <w:t>10.38.2 Sector-level sweep (SLS) phase</w:t>
      </w:r>
    </w:p>
    <w:p w14:paraId="3AF66C1B" w14:textId="77777777" w:rsidR="006B4428" w:rsidRDefault="006B4428" w:rsidP="006B4428">
      <w:pPr>
        <w:pStyle w:val="IEEEStdsLevel3Header"/>
        <w:numPr>
          <w:ilvl w:val="0"/>
          <w:numId w:val="0"/>
        </w:numPr>
      </w:pPr>
      <w:r>
        <w:t>10.38.2.1 General</w:t>
      </w:r>
    </w:p>
    <w:p w14:paraId="1A9E2818" w14:textId="13D3ABCD" w:rsidR="006B4428" w:rsidRPr="00FA79C9" w:rsidRDefault="006B4428" w:rsidP="006B442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FA79C9">
        <w:rPr>
          <w:rFonts w:ascii="Arial,Bold" w:hAnsi="Arial,Bold" w:cs="Arial,Bold"/>
          <w:bCs/>
          <w:i/>
          <w:sz w:val="20"/>
          <w:lang w:val="en-US" w:bidi="he-IL"/>
        </w:rPr>
        <w:t>Change</w:t>
      </w:r>
      <w:r>
        <w:rPr>
          <w:rFonts w:ascii="Arial,Bold" w:hAnsi="Arial,Bold" w:cs="Arial,Bold"/>
          <w:bCs/>
          <w:i/>
          <w:sz w:val="20"/>
          <w:lang w:val="en-US" w:bidi="he-IL"/>
        </w:rPr>
        <w:t xml:space="preserve"> the tenth paragraph and insert a new eleventh paragraph </w:t>
      </w:r>
      <w:r w:rsidRPr="00FA79C9">
        <w:rPr>
          <w:rFonts w:ascii="Arial,Bold" w:hAnsi="Arial,Bold" w:cs="Arial,Bold"/>
          <w:bCs/>
          <w:i/>
          <w:sz w:val="20"/>
          <w:lang w:val="en-US" w:bidi="he-IL"/>
        </w:rPr>
        <w:t>as follows</w:t>
      </w:r>
    </w:p>
    <w:p w14:paraId="4074E3DB" w14:textId="77777777" w:rsidR="006B4428" w:rsidRPr="00C54554" w:rsidRDefault="006B4428" w:rsidP="006B4428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5F5618CE" w14:textId="77777777" w:rsidR="006B4428" w:rsidRPr="006B4428" w:rsidRDefault="006B4428" w:rsidP="006B4428">
      <w:pPr>
        <w:jc w:val="both"/>
        <w:rPr>
          <w:rFonts w:eastAsia="TimesNewRoman"/>
          <w:szCs w:val="22"/>
          <w:u w:val="single"/>
          <w:lang w:val="en-US" w:bidi="he-IL"/>
        </w:rPr>
      </w:pPr>
      <w:r w:rsidRPr="00877C37">
        <w:rPr>
          <w:rFonts w:eastAsia="TimesNewRoman"/>
          <w:szCs w:val="22"/>
          <w:lang w:val="en-US" w:bidi="he-IL"/>
        </w:rPr>
        <w:t xml:space="preserve">A frame </w:t>
      </w:r>
      <w:r w:rsidRPr="006B4428">
        <w:rPr>
          <w:rFonts w:eastAsia="TimesNewRoman"/>
          <w:szCs w:val="22"/>
          <w:lang w:val="en-US" w:bidi="he-IL"/>
        </w:rPr>
        <w:t xml:space="preserve">transmitted </w:t>
      </w:r>
      <w:r w:rsidRPr="006B4428">
        <w:rPr>
          <w:rFonts w:eastAsia="TimesNewRoman"/>
          <w:szCs w:val="22"/>
          <w:u w:val="single"/>
          <w:lang w:val="en-US" w:bidi="he-IL"/>
        </w:rPr>
        <w:t xml:space="preserve">by a DMG STA </w:t>
      </w:r>
      <w:r w:rsidRPr="006B4428">
        <w:rPr>
          <w:rFonts w:eastAsia="TimesNewRoman"/>
          <w:szCs w:val="22"/>
          <w:lang w:val="en-US" w:bidi="he-IL"/>
        </w:rPr>
        <w:t xml:space="preserve">as part of a sector sweep does not include training fields. A </w:t>
      </w:r>
      <w:r w:rsidRPr="006B4428">
        <w:rPr>
          <w:rFonts w:eastAsia="TimesNewRoman"/>
          <w:szCs w:val="22"/>
          <w:u w:val="single"/>
          <w:lang w:val="en-US" w:bidi="he-IL"/>
        </w:rPr>
        <w:t xml:space="preserve">DMG </w:t>
      </w:r>
      <w:r w:rsidRPr="006B4428">
        <w:rPr>
          <w:rFonts w:eastAsia="TimesNewRoman"/>
          <w:szCs w:val="22"/>
          <w:lang w:val="en-US" w:bidi="he-IL"/>
        </w:rPr>
        <w:t xml:space="preserve">STA shall set the TRN-LEN parameter of the TXVECTOR to 0 for a frame transmitted as part of a sector sweep. </w:t>
      </w:r>
    </w:p>
    <w:p w14:paraId="05028549" w14:textId="77777777" w:rsidR="006B4428" w:rsidRPr="006B4428" w:rsidRDefault="006B4428" w:rsidP="006B4428">
      <w:pPr>
        <w:jc w:val="both"/>
        <w:rPr>
          <w:rFonts w:eastAsia="TimesNewRoman"/>
          <w:szCs w:val="22"/>
          <w:u w:val="single"/>
          <w:lang w:val="en-US" w:bidi="he-IL"/>
        </w:rPr>
      </w:pPr>
    </w:p>
    <w:p w14:paraId="4CBFEAF4" w14:textId="77777777" w:rsidR="006B4428" w:rsidRPr="006B4428" w:rsidRDefault="006B4428" w:rsidP="006B4428">
      <w:pPr>
        <w:jc w:val="both"/>
        <w:rPr>
          <w:rFonts w:eastAsia="TimesNewRoman"/>
          <w:szCs w:val="22"/>
          <w:u w:val="single"/>
          <w:lang w:val="en-US" w:bidi="he-IL"/>
        </w:rPr>
      </w:pPr>
      <w:r w:rsidRPr="006B4428">
        <w:rPr>
          <w:rFonts w:eastAsia="TimesNewRoman"/>
          <w:szCs w:val="22"/>
          <w:u w:val="single"/>
          <w:lang w:val="en-US" w:bidi="he-IL"/>
        </w:rPr>
        <w:t xml:space="preserve">A frame transmitted by an EDMG STA as part of a sector sweep and that is not a DMG Beacon does not include training fields. An EDMG STA shall set the TRN-LEN parameter of the TXVECTOR to 0 for a frame transmitted as part of a sector sweep and that is not a DMG Beacon. </w:t>
      </w:r>
    </w:p>
    <w:p w14:paraId="79A57DA3" w14:textId="77777777" w:rsidR="006B4428" w:rsidRPr="006B4428" w:rsidRDefault="006B4428" w:rsidP="006B4428">
      <w:pPr>
        <w:jc w:val="both"/>
        <w:rPr>
          <w:rFonts w:eastAsia="TimesNewRoman"/>
          <w:szCs w:val="22"/>
          <w:u w:val="single"/>
          <w:lang w:val="en-US" w:bidi="he-IL"/>
        </w:rPr>
      </w:pPr>
    </w:p>
    <w:p w14:paraId="5CD1BEBD" w14:textId="77777777" w:rsidR="006B4428" w:rsidRPr="006B4428" w:rsidRDefault="006B4428" w:rsidP="006B4428">
      <w:pPr>
        <w:pStyle w:val="IEEEStdsLevel3Header"/>
        <w:numPr>
          <w:ilvl w:val="0"/>
          <w:numId w:val="0"/>
        </w:numPr>
      </w:pPr>
      <w:r w:rsidRPr="006B4428">
        <w:t>10.38.4 Beamforming in BTI</w:t>
      </w:r>
    </w:p>
    <w:p w14:paraId="758F417B" w14:textId="70764DE9" w:rsidR="006B4428" w:rsidRPr="006B4428" w:rsidRDefault="006B4428" w:rsidP="006B442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6B4428">
        <w:rPr>
          <w:rFonts w:ascii="Arial,Bold" w:hAnsi="Arial,Bold" w:cs="Arial,Bold"/>
          <w:bCs/>
          <w:i/>
          <w:sz w:val="20"/>
          <w:lang w:val="en-US" w:bidi="he-IL"/>
        </w:rPr>
        <w:t>Insert the following paragraphs</w:t>
      </w:r>
      <w:r w:rsidR="00493A5E">
        <w:rPr>
          <w:rFonts w:ascii="Arial,Bold" w:hAnsi="Arial,Bold" w:cs="Arial,Bold"/>
          <w:bCs/>
          <w:i/>
          <w:sz w:val="20"/>
          <w:lang w:val="en-US" w:bidi="he-IL"/>
        </w:rPr>
        <w:t xml:space="preserve"> at the end of the </w:t>
      </w:r>
      <w:proofErr w:type="spellStart"/>
      <w:r w:rsidR="00493A5E">
        <w:rPr>
          <w:rFonts w:ascii="Arial,Bold" w:hAnsi="Arial,Bold" w:cs="Arial,Bold"/>
          <w:bCs/>
          <w:i/>
          <w:sz w:val="20"/>
          <w:lang w:val="en-US" w:bidi="he-IL"/>
        </w:rPr>
        <w:t>subclause</w:t>
      </w:r>
      <w:proofErr w:type="spellEnd"/>
    </w:p>
    <w:p w14:paraId="13D0104F" w14:textId="77777777" w:rsidR="006B4428" w:rsidRPr="006B4428" w:rsidRDefault="006B4428" w:rsidP="006B4428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317370EC" w14:textId="77777777" w:rsidR="00AF43B7" w:rsidRDefault="006B4428" w:rsidP="006B4428">
      <w:pPr>
        <w:jc w:val="both"/>
        <w:rPr>
          <w:rFonts w:eastAsia="TimesNewRoman"/>
          <w:szCs w:val="22"/>
          <w:lang w:val="en-US" w:bidi="he-IL"/>
        </w:rPr>
      </w:pPr>
      <w:r w:rsidRPr="006B4428">
        <w:rPr>
          <w:rFonts w:eastAsia="TimesNewRoman"/>
          <w:szCs w:val="22"/>
          <w:lang w:val="en-US" w:bidi="he-IL"/>
        </w:rPr>
        <w:t xml:space="preserve">A DMG Beacon frame transmitted by an EDMG STA may include training fields to enable receive training by an EDMG STA receiving the DMG Beacon. </w:t>
      </w:r>
    </w:p>
    <w:p w14:paraId="2C785FF2" w14:textId="77777777" w:rsidR="00AF43B7" w:rsidRDefault="00AF43B7" w:rsidP="006B4428">
      <w:pPr>
        <w:jc w:val="both"/>
        <w:rPr>
          <w:rFonts w:eastAsia="TimesNewRoman"/>
          <w:szCs w:val="22"/>
          <w:lang w:val="en-US" w:bidi="he-IL"/>
        </w:rPr>
      </w:pPr>
    </w:p>
    <w:p w14:paraId="300E6DA8" w14:textId="1927F1EA" w:rsidR="006B4428" w:rsidRPr="006B4428" w:rsidRDefault="006B4428" w:rsidP="006B4428">
      <w:pPr>
        <w:jc w:val="both"/>
        <w:rPr>
          <w:rFonts w:eastAsia="TimesNewRoman"/>
          <w:szCs w:val="22"/>
          <w:lang w:val="en-US" w:bidi="he-IL"/>
        </w:rPr>
      </w:pPr>
      <w:r w:rsidRPr="006B4428">
        <w:rPr>
          <w:rFonts w:eastAsia="TimesNewRoman"/>
          <w:szCs w:val="22"/>
          <w:lang w:val="en-US" w:bidi="he-IL"/>
        </w:rPr>
        <w:t>An EDMG STA may set the TRN-LEN parameter of the TXVECTOR to 0 if the PACKET-TYPE is set to 0 and shall set the TRN-LEN parameter of the TXVECTOR to 0 if the PACKET-TYPE is set to 1 for a DMG Beacon frame.</w:t>
      </w:r>
    </w:p>
    <w:p w14:paraId="3491A065" w14:textId="77777777" w:rsidR="006B4428" w:rsidRPr="006B4428" w:rsidRDefault="006B4428" w:rsidP="006B4428">
      <w:pPr>
        <w:jc w:val="both"/>
        <w:rPr>
          <w:rFonts w:eastAsia="TimesNewRoman"/>
          <w:szCs w:val="22"/>
          <w:lang w:val="en-US" w:bidi="he-IL"/>
        </w:rPr>
      </w:pPr>
    </w:p>
    <w:p w14:paraId="51C31EC7" w14:textId="77777777" w:rsidR="006B4428" w:rsidRPr="006B4428" w:rsidRDefault="006B4428" w:rsidP="006B4428">
      <w:pPr>
        <w:jc w:val="both"/>
        <w:rPr>
          <w:rFonts w:eastAsia="TimesNewRoman"/>
          <w:szCs w:val="22"/>
          <w:lang w:val="en-US" w:bidi="he-IL"/>
        </w:rPr>
      </w:pPr>
      <w:r w:rsidRPr="006B4428">
        <w:rPr>
          <w:rFonts w:eastAsia="TimesNewRoman"/>
          <w:szCs w:val="22"/>
          <w:lang w:val="en-US" w:bidi="he-IL"/>
        </w:rPr>
        <w:t>If a DMG Beacon frame is transmitted by an EDMG STA using a quas</w:t>
      </w:r>
      <w:r w:rsidRPr="006B4428">
        <w:rPr>
          <w:rFonts w:hint="eastAsia"/>
          <w:szCs w:val="22"/>
          <w:lang w:val="en-US" w:eastAsia="ja-JP" w:bidi="he-IL"/>
        </w:rPr>
        <w:t>i</w:t>
      </w:r>
      <w:r w:rsidRPr="006B4428">
        <w:rPr>
          <w:rFonts w:eastAsia="TimesNewRoman"/>
          <w:szCs w:val="22"/>
          <w:lang w:val="en-US" w:bidi="he-IL"/>
        </w:rPr>
        <w:t>-</w:t>
      </w:r>
      <w:proofErr w:type="spellStart"/>
      <w:r w:rsidRPr="006B4428">
        <w:rPr>
          <w:rFonts w:eastAsia="TimesNewRoman"/>
          <w:szCs w:val="22"/>
          <w:lang w:val="en-US" w:bidi="he-IL"/>
        </w:rPr>
        <w:t>omni</w:t>
      </w:r>
      <w:proofErr w:type="spellEnd"/>
      <w:r w:rsidRPr="006B4428">
        <w:rPr>
          <w:rFonts w:eastAsia="TimesNewRoman"/>
          <w:szCs w:val="22"/>
          <w:lang w:val="en-US" w:bidi="he-IL"/>
        </w:rPr>
        <w:t xml:space="preserve"> antenna pattern, the Quasi-</w:t>
      </w:r>
      <w:proofErr w:type="spellStart"/>
      <w:r w:rsidRPr="006B4428">
        <w:rPr>
          <w:rFonts w:eastAsia="TimesNewRoman"/>
          <w:szCs w:val="22"/>
          <w:lang w:val="en-US" w:bidi="he-IL"/>
        </w:rPr>
        <w:t>omni</w:t>
      </w:r>
      <w:proofErr w:type="spellEnd"/>
      <w:r w:rsidRPr="006B4428">
        <w:rPr>
          <w:rFonts w:eastAsia="TimesNewRoman"/>
          <w:szCs w:val="22"/>
          <w:lang w:val="en-US" w:bidi="he-IL"/>
        </w:rPr>
        <w:t xml:space="preserve"> TX subfield in the Sector Sweep field in the frame shall be set to 1. An EDMG STA may append receive training (TRN-R) subfields to DMG Beacon frames with the Quasi-</w:t>
      </w:r>
      <w:proofErr w:type="spellStart"/>
      <w:r w:rsidRPr="006B4428">
        <w:rPr>
          <w:rFonts w:eastAsia="TimesNewRoman"/>
          <w:szCs w:val="22"/>
          <w:lang w:val="en-US" w:bidi="he-IL"/>
        </w:rPr>
        <w:t>omni</w:t>
      </w:r>
      <w:proofErr w:type="spellEnd"/>
      <w:r w:rsidRPr="006B4428">
        <w:rPr>
          <w:rFonts w:eastAsia="TimesNewRoman"/>
          <w:szCs w:val="22"/>
          <w:lang w:val="en-US" w:bidi="he-IL"/>
        </w:rPr>
        <w:t xml:space="preserve"> TX subfield in the Sector Sweep field set to 1 to enable receive training, and subsequently, selection of a transmit sector by a receiving STA that supports antenna reciprocity or antenna pattern reciprocity as indicated by setting the DMG Antenna Reciprocity field or Antenna Pattern Reciprocity field in the DMG Capabilities element to 1 respectively, for transmission to the transmitter of the DMG Beacon based on the result of the receive training. </w:t>
      </w:r>
    </w:p>
    <w:p w14:paraId="71CEC45F" w14:textId="77777777" w:rsidR="006B4428" w:rsidRPr="00EC2E8A" w:rsidRDefault="006B4428" w:rsidP="006B4428">
      <w:pPr>
        <w:jc w:val="both"/>
        <w:rPr>
          <w:rFonts w:eastAsia="TimesNewRoman"/>
          <w:color w:val="ED7D31"/>
          <w:szCs w:val="22"/>
          <w:lang w:val="en-US" w:bidi="he-IL"/>
        </w:rPr>
      </w:pPr>
    </w:p>
    <w:p w14:paraId="24507057" w14:textId="77777777" w:rsidR="006B4428" w:rsidRDefault="006B4428" w:rsidP="006B4428">
      <w:pPr>
        <w:pStyle w:val="IEEEStdsLevel1Header"/>
        <w:numPr>
          <w:ilvl w:val="0"/>
          <w:numId w:val="0"/>
        </w:numPr>
      </w:pPr>
      <w:r>
        <w:t>11. MLME</w:t>
      </w:r>
    </w:p>
    <w:p w14:paraId="3CF28EF3" w14:textId="77777777" w:rsidR="006B4428" w:rsidRPr="009B7BBA" w:rsidRDefault="006B4428" w:rsidP="006B4428">
      <w:pPr>
        <w:pStyle w:val="IEEEStdsLevel2Header"/>
        <w:numPr>
          <w:ilvl w:val="0"/>
          <w:numId w:val="0"/>
        </w:numPr>
      </w:pPr>
      <w:r w:rsidRPr="009B7BBA">
        <w:t>11.1 Synchronization</w:t>
      </w:r>
    </w:p>
    <w:p w14:paraId="4062D5D9" w14:textId="77777777" w:rsidR="006B4428" w:rsidRPr="009B7BBA" w:rsidRDefault="006B4428" w:rsidP="006B4428">
      <w:pPr>
        <w:pStyle w:val="IEEEStdsLevel3Header"/>
        <w:numPr>
          <w:ilvl w:val="0"/>
          <w:numId w:val="0"/>
        </w:numPr>
      </w:pPr>
      <w:r w:rsidRPr="009B7BBA">
        <w:t>11.1.3 Maintaining synchronization</w:t>
      </w:r>
    </w:p>
    <w:p w14:paraId="2AB2A9F2" w14:textId="77777777" w:rsidR="006B4428" w:rsidRPr="009B7BBA" w:rsidRDefault="006B4428" w:rsidP="006B4428">
      <w:pPr>
        <w:pStyle w:val="IEEEStdsLevel3Header"/>
        <w:numPr>
          <w:ilvl w:val="0"/>
          <w:numId w:val="0"/>
        </w:numPr>
      </w:pPr>
      <w:r w:rsidRPr="009B7BBA">
        <w:t>11.1.3.3 Beacon generation in a DMG infrast</w:t>
      </w:r>
      <w:bookmarkStart w:id="0" w:name="_GoBack"/>
      <w:bookmarkEnd w:id="0"/>
      <w:r w:rsidRPr="009B7BBA">
        <w:t>ructure BSS and in a PBSS</w:t>
      </w:r>
    </w:p>
    <w:p w14:paraId="232E60AA" w14:textId="3DFB37F3" w:rsidR="006B4428" w:rsidRPr="00641B82" w:rsidRDefault="006B4428" w:rsidP="006B442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641B82">
        <w:rPr>
          <w:rFonts w:ascii="Arial,Bold" w:hAnsi="Arial,Bold" w:cs="Arial,Bold"/>
          <w:bCs/>
          <w:i/>
          <w:sz w:val="20"/>
          <w:lang w:val="en-US" w:bidi="he-IL"/>
        </w:rPr>
        <w:t xml:space="preserve">Insert the following </w:t>
      </w:r>
      <w:r>
        <w:rPr>
          <w:rFonts w:ascii="Arial,Bold" w:hAnsi="Arial,Bold" w:cs="Arial,Bold"/>
          <w:bCs/>
          <w:i/>
          <w:sz w:val="20"/>
          <w:lang w:val="en-US" w:bidi="he-IL"/>
        </w:rPr>
        <w:t xml:space="preserve">two </w:t>
      </w:r>
      <w:r w:rsidRPr="00641B82">
        <w:rPr>
          <w:rFonts w:ascii="Arial,Bold" w:hAnsi="Arial,Bold" w:cs="Arial,Bold"/>
          <w:bCs/>
          <w:i/>
          <w:sz w:val="20"/>
          <w:lang w:val="en-US" w:bidi="he-IL"/>
        </w:rPr>
        <w:t>paragraph</w:t>
      </w:r>
      <w:r>
        <w:rPr>
          <w:rFonts w:ascii="Arial,Bold" w:hAnsi="Arial,Bold" w:cs="Arial,Bold"/>
          <w:bCs/>
          <w:i/>
          <w:sz w:val="20"/>
          <w:lang w:val="en-US" w:bidi="he-IL"/>
        </w:rPr>
        <w:t>s</w:t>
      </w:r>
      <w:r w:rsidRPr="00641B82">
        <w:rPr>
          <w:rFonts w:ascii="Arial,Bold" w:hAnsi="Arial,Bold" w:cs="Arial,Bold"/>
          <w:bCs/>
          <w:i/>
          <w:sz w:val="20"/>
          <w:lang w:val="en-US" w:bidi="he-IL"/>
        </w:rPr>
        <w:t xml:space="preserve"> after the </w:t>
      </w:r>
      <w:r>
        <w:rPr>
          <w:rFonts w:ascii="Arial,Bold" w:hAnsi="Arial,Bold" w:cs="Arial,Bold"/>
          <w:bCs/>
          <w:i/>
          <w:sz w:val="20"/>
          <w:lang w:val="en-US" w:bidi="he-IL"/>
        </w:rPr>
        <w:t>eighth</w:t>
      </w:r>
      <w:r w:rsidR="00AF0981">
        <w:rPr>
          <w:rFonts w:ascii="Arial,Bold" w:hAnsi="Arial,Bold" w:cs="Arial,Bold"/>
          <w:bCs/>
          <w:i/>
          <w:sz w:val="20"/>
          <w:lang w:val="en-US" w:bidi="he-IL"/>
        </w:rPr>
        <w:t xml:space="preserve"> paragraph</w:t>
      </w:r>
    </w:p>
    <w:p w14:paraId="453F12A1" w14:textId="77777777" w:rsidR="006B4428" w:rsidRPr="00B80713" w:rsidRDefault="006B4428" w:rsidP="006B4428">
      <w:pPr>
        <w:autoSpaceDE w:val="0"/>
        <w:autoSpaceDN w:val="0"/>
        <w:adjustRightInd w:val="0"/>
        <w:rPr>
          <w:rFonts w:eastAsia="TimesNewRoman"/>
          <w:szCs w:val="22"/>
          <w:highlight w:val="yellow"/>
          <w:lang w:val="en-US" w:bidi="he-IL"/>
        </w:rPr>
      </w:pPr>
    </w:p>
    <w:p w14:paraId="1FBA7F29" w14:textId="77777777" w:rsidR="006B4428" w:rsidRPr="00AF0981" w:rsidRDefault="006B4428" w:rsidP="006B4428">
      <w:pPr>
        <w:jc w:val="both"/>
        <w:rPr>
          <w:rFonts w:eastAsia="TimesNewRoman"/>
          <w:szCs w:val="22"/>
          <w:lang w:val="en-US" w:bidi="he-IL"/>
        </w:rPr>
      </w:pPr>
      <w:r w:rsidRPr="00AF0981">
        <w:rPr>
          <w:rFonts w:eastAsia="TimesNewRoman"/>
          <w:szCs w:val="22"/>
          <w:lang w:val="en-US" w:bidi="he-IL"/>
        </w:rPr>
        <w:t>An EDMG AP or EDMG PCP can transmit a DMG Beacon frame using a quasi-</w:t>
      </w:r>
      <w:proofErr w:type="spellStart"/>
      <w:r w:rsidRPr="00AF0981">
        <w:rPr>
          <w:rFonts w:eastAsia="TimesNewRoman"/>
          <w:szCs w:val="22"/>
          <w:lang w:val="en-US" w:bidi="he-IL"/>
        </w:rPr>
        <w:t>omni</w:t>
      </w:r>
      <w:proofErr w:type="spellEnd"/>
      <w:r w:rsidRPr="00AF0981">
        <w:rPr>
          <w:rFonts w:eastAsia="TimesNewRoman"/>
          <w:szCs w:val="22"/>
          <w:lang w:val="en-US" w:bidi="he-IL"/>
        </w:rPr>
        <w:t xml:space="preserve"> antenna pattern as described in 10.38.4. </w:t>
      </w:r>
    </w:p>
    <w:p w14:paraId="50AD051C" w14:textId="77777777" w:rsidR="006B4428" w:rsidRPr="00AF0981" w:rsidRDefault="006B4428" w:rsidP="006B4428">
      <w:pPr>
        <w:rPr>
          <w:rFonts w:eastAsia="TimesNewRoman"/>
          <w:szCs w:val="22"/>
          <w:lang w:val="en-US" w:bidi="he-IL"/>
        </w:rPr>
      </w:pPr>
    </w:p>
    <w:p w14:paraId="18A9EC60" w14:textId="77777777" w:rsidR="006B4428" w:rsidRPr="00AF0981" w:rsidRDefault="006B4428" w:rsidP="006B4428">
      <w:pPr>
        <w:rPr>
          <w:rFonts w:eastAsia="TimesNewRoman"/>
          <w:szCs w:val="22"/>
          <w:lang w:val="en-US" w:bidi="he-IL"/>
        </w:rPr>
      </w:pPr>
      <w:r w:rsidRPr="00AF0981">
        <w:rPr>
          <w:rFonts w:eastAsia="TimesNewRoman"/>
          <w:szCs w:val="22"/>
          <w:lang w:val="en-US" w:bidi="he-IL"/>
        </w:rPr>
        <w:t>NOTE</w:t>
      </w:r>
      <w:r w:rsidRPr="00AF0981">
        <w:rPr>
          <w:rFonts w:eastAsia="TimesNewRoman" w:hint="eastAsia"/>
          <w:szCs w:val="22"/>
          <w:lang w:val="en-US" w:bidi="he-IL"/>
        </w:rPr>
        <w:t>—</w:t>
      </w:r>
      <w:r w:rsidRPr="00AF0981">
        <w:rPr>
          <w:rFonts w:eastAsia="TimesNewRoman"/>
          <w:szCs w:val="22"/>
          <w:lang w:val="en-US" w:bidi="he-IL"/>
        </w:rPr>
        <w:t>The reception</w:t>
      </w:r>
      <w:r w:rsidRPr="00AF0981">
        <w:rPr>
          <w:rFonts w:eastAsia="TimesNewRoman" w:hint="eastAsia"/>
          <w:szCs w:val="22"/>
          <w:lang w:val="en-US" w:bidi="he-IL"/>
        </w:rPr>
        <w:t xml:space="preserve"> of a DMG Beacon frame transmitted using a quasi-</w:t>
      </w:r>
      <w:proofErr w:type="spellStart"/>
      <w:r w:rsidRPr="00AF0981">
        <w:rPr>
          <w:rFonts w:eastAsia="TimesNewRoman" w:hint="eastAsia"/>
          <w:szCs w:val="22"/>
          <w:lang w:val="en-US" w:bidi="he-IL"/>
        </w:rPr>
        <w:t>omni</w:t>
      </w:r>
      <w:proofErr w:type="spellEnd"/>
      <w:r w:rsidRPr="00AF0981">
        <w:rPr>
          <w:rFonts w:eastAsia="TimesNewRoman" w:hint="eastAsia"/>
          <w:szCs w:val="22"/>
          <w:lang w:val="en-US" w:bidi="he-IL"/>
        </w:rPr>
        <w:t xml:space="preserve"> antenna pattern</w:t>
      </w:r>
      <w:r w:rsidRPr="00AF0981">
        <w:rPr>
          <w:rFonts w:eastAsia="TimesNewRoman"/>
          <w:szCs w:val="22"/>
          <w:lang w:val="en-US" w:bidi="he-IL"/>
        </w:rPr>
        <w:t xml:space="preserve"> indicates to the receiving STA a possibility of communicating with the AP or PCP (e.g., Probe Request, Probe Response) using a quasi-</w:t>
      </w:r>
      <w:proofErr w:type="spellStart"/>
      <w:r w:rsidRPr="00AF0981">
        <w:rPr>
          <w:rFonts w:eastAsia="TimesNewRoman"/>
          <w:szCs w:val="22"/>
          <w:lang w:val="en-US" w:bidi="he-IL"/>
        </w:rPr>
        <w:t>omni</w:t>
      </w:r>
      <w:proofErr w:type="spellEnd"/>
      <w:r w:rsidRPr="00AF0981">
        <w:rPr>
          <w:rFonts w:eastAsia="TimesNewRoman"/>
          <w:szCs w:val="22"/>
          <w:lang w:val="en-US" w:bidi="he-IL"/>
        </w:rPr>
        <w:t xml:space="preserve"> transmit antenna pattern.</w:t>
      </w:r>
    </w:p>
    <w:p w14:paraId="49DDD340" w14:textId="77777777" w:rsidR="006B4428" w:rsidRPr="00AF0981" w:rsidRDefault="006B4428" w:rsidP="006B4428">
      <w:pPr>
        <w:pStyle w:val="IEEEStdsLevel3Header"/>
        <w:numPr>
          <w:ilvl w:val="0"/>
          <w:numId w:val="0"/>
        </w:numPr>
      </w:pPr>
      <w:r w:rsidRPr="00AF0981">
        <w:t>11.1.3.4 DMG Beacon generation before establishment of a BSS</w:t>
      </w:r>
    </w:p>
    <w:p w14:paraId="5DFE16D0" w14:textId="18E2D15C" w:rsidR="006B4428" w:rsidRPr="00AF0981" w:rsidRDefault="006B4428" w:rsidP="006B442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AF0981">
        <w:rPr>
          <w:rFonts w:ascii="Arial,Bold" w:hAnsi="Arial,Bold" w:cs="Arial,Bold"/>
          <w:bCs/>
          <w:i/>
          <w:sz w:val="20"/>
          <w:lang w:val="en-US" w:bidi="he-IL"/>
        </w:rPr>
        <w:t xml:space="preserve">Insert the following two paragraphs </w:t>
      </w:r>
      <w:r w:rsidR="00AF0981">
        <w:rPr>
          <w:rFonts w:ascii="Arial,Bold" w:hAnsi="Arial,Bold" w:cs="Arial,Bold"/>
          <w:bCs/>
          <w:i/>
          <w:sz w:val="20"/>
          <w:lang w:val="en-US" w:bidi="he-IL"/>
        </w:rPr>
        <w:t>after the sixth paragraph</w:t>
      </w:r>
    </w:p>
    <w:p w14:paraId="77BE1E39" w14:textId="77777777" w:rsidR="006B4428" w:rsidRPr="00AF0981" w:rsidRDefault="006B4428" w:rsidP="006B4428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539A69CA" w14:textId="77777777" w:rsidR="006B4428" w:rsidRPr="00AF0981" w:rsidRDefault="006B4428" w:rsidP="006B4428">
      <w:pPr>
        <w:jc w:val="both"/>
        <w:rPr>
          <w:rFonts w:eastAsia="TimesNewRoman"/>
          <w:szCs w:val="22"/>
          <w:lang w:val="en-US" w:bidi="he-IL"/>
        </w:rPr>
      </w:pPr>
      <w:r w:rsidRPr="00AF0981">
        <w:rPr>
          <w:rFonts w:eastAsia="TimesNewRoman"/>
          <w:szCs w:val="22"/>
          <w:lang w:val="en-US" w:bidi="he-IL"/>
        </w:rPr>
        <w:t>An EDMG STA can transmit a DMG Beacon using a quasi-</w:t>
      </w:r>
      <w:proofErr w:type="spellStart"/>
      <w:r w:rsidRPr="00AF0981">
        <w:rPr>
          <w:rFonts w:eastAsia="TimesNewRoman"/>
          <w:szCs w:val="22"/>
          <w:lang w:val="en-US" w:bidi="he-IL"/>
        </w:rPr>
        <w:t>omni</w:t>
      </w:r>
      <w:proofErr w:type="spellEnd"/>
      <w:r w:rsidRPr="00AF0981">
        <w:rPr>
          <w:rFonts w:eastAsia="TimesNewRoman"/>
          <w:szCs w:val="22"/>
          <w:lang w:val="en-US" w:bidi="he-IL"/>
        </w:rPr>
        <w:t xml:space="preserve"> antenna pattern as described in 10.38.4. </w:t>
      </w:r>
    </w:p>
    <w:p w14:paraId="65D9589A" w14:textId="77777777" w:rsidR="006B4428" w:rsidRPr="00AF0981" w:rsidRDefault="006B4428" w:rsidP="006B4428">
      <w:pPr>
        <w:rPr>
          <w:rFonts w:eastAsia="TimesNewRoman"/>
          <w:szCs w:val="22"/>
          <w:lang w:val="en-US" w:bidi="he-IL"/>
        </w:rPr>
      </w:pPr>
    </w:p>
    <w:p w14:paraId="5E28ED33" w14:textId="77777777" w:rsidR="006B4428" w:rsidRPr="00AF0981" w:rsidRDefault="006B4428" w:rsidP="006B4428">
      <w:pPr>
        <w:rPr>
          <w:rFonts w:eastAsia="TimesNewRoman"/>
          <w:szCs w:val="22"/>
          <w:lang w:val="en-US" w:bidi="he-IL"/>
        </w:rPr>
      </w:pPr>
      <w:r w:rsidRPr="00AF0981">
        <w:rPr>
          <w:rFonts w:eastAsia="TimesNewRoman"/>
          <w:szCs w:val="22"/>
          <w:lang w:val="en-US" w:bidi="he-IL"/>
        </w:rPr>
        <w:t>NOTE</w:t>
      </w:r>
      <w:r w:rsidRPr="00AF0981">
        <w:rPr>
          <w:rFonts w:eastAsia="TimesNewRoman" w:hint="eastAsia"/>
          <w:szCs w:val="22"/>
          <w:lang w:val="en-US" w:bidi="he-IL"/>
        </w:rPr>
        <w:t>—</w:t>
      </w:r>
      <w:r w:rsidRPr="00AF0981">
        <w:rPr>
          <w:rFonts w:eastAsia="TimesNewRoman"/>
          <w:szCs w:val="22"/>
          <w:lang w:val="en-US" w:bidi="he-IL"/>
        </w:rPr>
        <w:t>The reception</w:t>
      </w:r>
      <w:r w:rsidRPr="00AF0981">
        <w:rPr>
          <w:rFonts w:eastAsia="TimesNewRoman" w:hint="eastAsia"/>
          <w:szCs w:val="22"/>
          <w:lang w:val="en-US" w:bidi="he-IL"/>
        </w:rPr>
        <w:t xml:space="preserve"> of a DMG Beacon frame transmitted using a quasi-</w:t>
      </w:r>
      <w:proofErr w:type="spellStart"/>
      <w:r w:rsidRPr="00AF0981">
        <w:rPr>
          <w:rFonts w:eastAsia="TimesNewRoman" w:hint="eastAsia"/>
          <w:szCs w:val="22"/>
          <w:lang w:val="en-US" w:bidi="he-IL"/>
        </w:rPr>
        <w:t>omni</w:t>
      </w:r>
      <w:proofErr w:type="spellEnd"/>
      <w:r w:rsidRPr="00AF0981">
        <w:rPr>
          <w:rFonts w:eastAsia="TimesNewRoman" w:hint="eastAsia"/>
          <w:szCs w:val="22"/>
          <w:lang w:val="en-US" w:bidi="he-IL"/>
        </w:rPr>
        <w:t xml:space="preserve"> antenna pattern</w:t>
      </w:r>
      <w:r w:rsidRPr="00AF0981">
        <w:rPr>
          <w:rFonts w:eastAsia="TimesNewRoman"/>
          <w:szCs w:val="22"/>
          <w:lang w:val="en-US" w:bidi="he-IL"/>
        </w:rPr>
        <w:t xml:space="preserve"> indicates to the receiving STA a possibility of communicating with the transmitting STA (e.g. probe request and response) using a quasi-</w:t>
      </w:r>
      <w:proofErr w:type="spellStart"/>
      <w:r w:rsidRPr="00AF0981">
        <w:rPr>
          <w:rFonts w:eastAsia="TimesNewRoman"/>
          <w:szCs w:val="22"/>
          <w:lang w:val="en-US" w:bidi="he-IL"/>
        </w:rPr>
        <w:t>omni</w:t>
      </w:r>
      <w:proofErr w:type="spellEnd"/>
      <w:r w:rsidRPr="00AF0981">
        <w:rPr>
          <w:rFonts w:eastAsia="TimesNewRoman"/>
          <w:szCs w:val="22"/>
          <w:lang w:val="en-US" w:bidi="he-IL"/>
        </w:rPr>
        <w:t xml:space="preserve"> transmit antenna pattern.</w:t>
      </w:r>
    </w:p>
    <w:p w14:paraId="3A3F60C0" w14:textId="72357619" w:rsidR="00B720E2" w:rsidRDefault="00D25552" w:rsidP="00B720E2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>
        <w:rPr>
          <w:bCs/>
          <w:szCs w:val="22"/>
          <w:u w:val="single"/>
          <w:lang w:val="en-US" w:bidi="he-IL"/>
        </w:rPr>
        <w:br w:type="page"/>
      </w:r>
    </w:p>
    <w:p w14:paraId="73B2D294" w14:textId="3533EB90" w:rsidR="006B4428" w:rsidRDefault="006B4428" w:rsidP="006B4428">
      <w:pPr>
        <w:rPr>
          <w:b/>
          <w:i/>
          <w:sz w:val="24"/>
          <w:u w:val="single"/>
        </w:rPr>
      </w:pPr>
      <w:r w:rsidRPr="006B4428">
        <w:rPr>
          <w:b/>
          <w:i/>
          <w:sz w:val="24"/>
          <w:u w:val="single"/>
        </w:rPr>
        <w:lastRenderedPageBreak/>
        <w:t>Text related to motion 2:</w:t>
      </w:r>
    </w:p>
    <w:p w14:paraId="23E0CC7B" w14:textId="77777777" w:rsidR="00B0179D" w:rsidRPr="006B4428" w:rsidRDefault="00B0179D" w:rsidP="006B4428">
      <w:pPr>
        <w:rPr>
          <w:b/>
          <w:i/>
          <w:sz w:val="24"/>
          <w:u w:val="single"/>
        </w:rPr>
      </w:pPr>
    </w:p>
    <w:p w14:paraId="1406082B" w14:textId="77777777" w:rsidR="008A1EC3" w:rsidRDefault="00C54554" w:rsidP="008A1EC3">
      <w:pPr>
        <w:pStyle w:val="IEEEStdsLevel3Header"/>
        <w:numPr>
          <w:ilvl w:val="0"/>
          <w:numId w:val="0"/>
        </w:numPr>
      </w:pPr>
      <w:r>
        <w:t>11.1.4 Acquiring synchronization, scanning</w:t>
      </w:r>
    </w:p>
    <w:p w14:paraId="46741257" w14:textId="77777777" w:rsidR="00C54554" w:rsidRDefault="00C54554" w:rsidP="00C54554">
      <w:pPr>
        <w:pStyle w:val="IEEEStdsLevel3Header"/>
        <w:numPr>
          <w:ilvl w:val="0"/>
          <w:numId w:val="0"/>
        </w:numPr>
      </w:pPr>
      <w:r>
        <w:t>11.1.4.3 Active scanning</w:t>
      </w:r>
    </w:p>
    <w:p w14:paraId="6DF080B3" w14:textId="77777777" w:rsidR="00C54554" w:rsidRDefault="00C54554" w:rsidP="00C54554">
      <w:pPr>
        <w:pStyle w:val="IEEEStdsLevel3Header"/>
        <w:numPr>
          <w:ilvl w:val="0"/>
          <w:numId w:val="0"/>
        </w:numPr>
      </w:pPr>
      <w:r>
        <w:t>11.1.4.3.</w:t>
      </w:r>
      <w:r w:rsidR="00AC2AAB">
        <w:t>3</w:t>
      </w:r>
      <w:r>
        <w:t xml:space="preserve"> Active scanning procedure for a DMG STA</w:t>
      </w:r>
    </w:p>
    <w:p w14:paraId="3F25F35B" w14:textId="10771BBB" w:rsidR="008A1EC3" w:rsidRDefault="00724F0E" w:rsidP="008A1EC3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724F0E">
        <w:rPr>
          <w:rFonts w:ascii="Arial,Bold" w:hAnsi="Arial,Bold" w:cs="Arial,Bold"/>
          <w:bCs/>
          <w:i/>
          <w:sz w:val="20"/>
          <w:lang w:val="en-US" w:bidi="he-IL"/>
        </w:rPr>
        <w:t>Change item (g) in the first paragraph as follows</w:t>
      </w:r>
    </w:p>
    <w:p w14:paraId="446F85DD" w14:textId="77777777" w:rsidR="00724F0E" w:rsidRPr="00C54554" w:rsidRDefault="00724F0E" w:rsidP="008A1EC3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78AD7E96" w14:textId="77777777" w:rsidR="00C54554" w:rsidRDefault="00C54554" w:rsidP="009E47D0">
      <w:pPr>
        <w:numPr>
          <w:ilvl w:val="0"/>
          <w:numId w:val="5"/>
        </w:numPr>
        <w:jc w:val="both"/>
      </w:pPr>
      <w:r>
        <w:t>If an SSW-Feedback frame is neither transmitted nor received in step d), then:</w:t>
      </w:r>
    </w:p>
    <w:p w14:paraId="32DE2665" w14:textId="515145C6" w:rsidR="00C54554" w:rsidRPr="009E47D0" w:rsidRDefault="00C54554" w:rsidP="00142AA1">
      <w:pPr>
        <w:numPr>
          <w:ilvl w:val="1"/>
          <w:numId w:val="5"/>
        </w:numPr>
        <w:jc w:val="both"/>
      </w:pPr>
      <w:r>
        <w:t>Optionally send a probe request to the broadcast destination address. The probe request is sent with the SSID and BSSID from the received MLME-</w:t>
      </w:r>
      <w:proofErr w:type="spellStart"/>
      <w:r>
        <w:t>SCAN.request</w:t>
      </w:r>
      <w:proofErr w:type="spellEnd"/>
      <w:r>
        <w:t xml:space="preserve"> primitive and includes the DMG </w:t>
      </w:r>
      <w:r w:rsidRPr="009E47D0">
        <w:t xml:space="preserve">Capabilities element. </w:t>
      </w:r>
      <w:r w:rsidR="006D6FE8" w:rsidRPr="009E47D0">
        <w:rPr>
          <w:u w:val="single"/>
        </w:rPr>
        <w:t>An EDMG STA may transmit t</w:t>
      </w:r>
      <w:r w:rsidR="00884A48" w:rsidRPr="009E47D0">
        <w:rPr>
          <w:u w:val="single"/>
        </w:rPr>
        <w:t xml:space="preserve">he probe request </w:t>
      </w:r>
      <w:r w:rsidR="006D6FE8" w:rsidRPr="009E47D0">
        <w:rPr>
          <w:u w:val="single"/>
        </w:rPr>
        <w:t>using</w:t>
      </w:r>
      <w:r w:rsidR="00D25552" w:rsidRPr="009E47D0">
        <w:rPr>
          <w:u w:val="single"/>
        </w:rPr>
        <w:t xml:space="preserve"> a quasi-</w:t>
      </w:r>
      <w:proofErr w:type="spellStart"/>
      <w:r w:rsidR="00D25552" w:rsidRPr="009E47D0">
        <w:rPr>
          <w:u w:val="single"/>
        </w:rPr>
        <w:t>omni</w:t>
      </w:r>
      <w:proofErr w:type="spellEnd"/>
      <w:r w:rsidR="00D25552" w:rsidRPr="009E47D0">
        <w:rPr>
          <w:u w:val="single"/>
        </w:rPr>
        <w:t xml:space="preserve"> antenna pattern and</w:t>
      </w:r>
      <w:r w:rsidR="00724F0E" w:rsidRPr="009E47D0">
        <w:rPr>
          <w:u w:val="single"/>
        </w:rPr>
        <w:t xml:space="preserve">, in this case, </w:t>
      </w:r>
      <w:r w:rsidR="00884A48" w:rsidRPr="009E47D0">
        <w:rPr>
          <w:u w:val="single"/>
        </w:rPr>
        <w:t xml:space="preserve">may </w:t>
      </w:r>
      <w:r w:rsidR="006D6FE8" w:rsidRPr="009E47D0">
        <w:rPr>
          <w:u w:val="single"/>
        </w:rPr>
        <w:t xml:space="preserve">append receive training (TRN-R) subfields to </w:t>
      </w:r>
      <w:r w:rsidR="00724F0E" w:rsidRPr="009E47D0">
        <w:rPr>
          <w:u w:val="single"/>
        </w:rPr>
        <w:t>the probe request</w:t>
      </w:r>
      <w:r w:rsidR="00884A48" w:rsidRPr="009E47D0">
        <w:rPr>
          <w:u w:val="single"/>
        </w:rPr>
        <w:t>.</w:t>
      </w:r>
      <w:r w:rsidR="00884A48" w:rsidRPr="009E47D0">
        <w:t xml:space="preserve"> </w:t>
      </w:r>
      <w:r w:rsidRPr="009E47D0">
        <w:t>The basic access procedure (10.3.4.2) is performed prior to the probe request transmission.</w:t>
      </w:r>
    </w:p>
    <w:p w14:paraId="0F73CBBC" w14:textId="656AD315" w:rsidR="00C54554" w:rsidRPr="009E47D0" w:rsidRDefault="00C54554" w:rsidP="00142AA1">
      <w:pPr>
        <w:numPr>
          <w:ilvl w:val="1"/>
          <w:numId w:val="5"/>
        </w:numPr>
        <w:jc w:val="both"/>
      </w:pPr>
      <w:r w:rsidRPr="009E47D0">
        <w:t>When the SSID List is present in the invocation of the MLME-</w:t>
      </w:r>
      <w:proofErr w:type="spellStart"/>
      <w:r w:rsidRPr="009E47D0">
        <w:t>SCAN.request</w:t>
      </w:r>
      <w:proofErr w:type="spellEnd"/>
      <w:r w:rsidRPr="009E47D0">
        <w:t xml:space="preserve"> primitive, send zero or more probe requests to the broadcast destination address. Each probe request is sent with an SSID indicated in the SSID List and the BSSID from the MLME-</w:t>
      </w:r>
      <w:proofErr w:type="spellStart"/>
      <w:r w:rsidRPr="009E47D0">
        <w:t>SCAN.request</w:t>
      </w:r>
      <w:proofErr w:type="spellEnd"/>
      <w:r w:rsidRPr="009E47D0">
        <w:t xml:space="preserve"> primitive and includes the DMG Capabilities element. </w:t>
      </w:r>
      <w:r w:rsidR="006D6FE8" w:rsidRPr="009E47D0">
        <w:rPr>
          <w:u w:val="single"/>
        </w:rPr>
        <w:t>An EDMG STA may transmit the probe request using a quasi-</w:t>
      </w:r>
      <w:proofErr w:type="spellStart"/>
      <w:r w:rsidR="006D6FE8" w:rsidRPr="009E47D0">
        <w:rPr>
          <w:u w:val="single"/>
        </w:rPr>
        <w:t>omni</w:t>
      </w:r>
      <w:proofErr w:type="spellEnd"/>
      <w:r w:rsidR="006D6FE8" w:rsidRPr="009E47D0">
        <w:rPr>
          <w:u w:val="single"/>
        </w:rPr>
        <w:t xml:space="preserve"> antenna pattern and</w:t>
      </w:r>
      <w:r w:rsidR="00724F0E" w:rsidRPr="009E47D0">
        <w:rPr>
          <w:u w:val="single"/>
        </w:rPr>
        <w:t xml:space="preserve">, in this case, </w:t>
      </w:r>
      <w:r w:rsidR="006D6FE8" w:rsidRPr="009E47D0">
        <w:rPr>
          <w:u w:val="single"/>
        </w:rPr>
        <w:t xml:space="preserve">may append receive training (TRN-R) subfields to </w:t>
      </w:r>
      <w:r w:rsidR="00724F0E" w:rsidRPr="009E47D0">
        <w:rPr>
          <w:u w:val="single"/>
        </w:rPr>
        <w:t>the probe request</w:t>
      </w:r>
      <w:r w:rsidR="006D6FE8" w:rsidRPr="009E47D0">
        <w:rPr>
          <w:u w:val="single"/>
        </w:rPr>
        <w:t>.</w:t>
      </w:r>
      <w:r w:rsidR="006D6FE8" w:rsidRPr="009E47D0">
        <w:t xml:space="preserve"> </w:t>
      </w:r>
      <w:r w:rsidRPr="009E47D0">
        <w:t>The basic access procedure (10.3.4.2) is performed prior to each probe request transmission.</w:t>
      </w:r>
    </w:p>
    <w:p w14:paraId="1C877381" w14:textId="77777777" w:rsidR="00884A48" w:rsidRDefault="00884A48" w:rsidP="00884A48">
      <w:pPr>
        <w:ind w:left="720"/>
      </w:pPr>
    </w:p>
    <w:p w14:paraId="1366D5A3" w14:textId="77777777" w:rsidR="00AC2AAB" w:rsidRDefault="00AC2AAB" w:rsidP="00AC2AAB">
      <w:pPr>
        <w:pStyle w:val="IEEEStdsLevel3Header"/>
        <w:numPr>
          <w:ilvl w:val="0"/>
          <w:numId w:val="0"/>
        </w:numPr>
      </w:pPr>
      <w:r>
        <w:t>11.1.4.3.4 Criteria for sending a probe response</w:t>
      </w:r>
    </w:p>
    <w:p w14:paraId="5B5F0424" w14:textId="2D5C9F52" w:rsidR="003250FF" w:rsidRDefault="009073B0" w:rsidP="003250FF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9073B0">
        <w:rPr>
          <w:rFonts w:ascii="Arial,Bold" w:hAnsi="Arial,Bold" w:cs="Arial,Bold"/>
          <w:bCs/>
          <w:i/>
          <w:sz w:val="20"/>
          <w:lang w:val="en-US" w:bidi="he-IL"/>
        </w:rPr>
        <w:t>Change item (k) in the first paragraph as follows</w:t>
      </w:r>
    </w:p>
    <w:p w14:paraId="5558D5D8" w14:textId="77777777" w:rsidR="009073B0" w:rsidRDefault="009073B0" w:rsidP="003250FF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</w:p>
    <w:p w14:paraId="5ACA9236" w14:textId="0AAD1524" w:rsidR="003250FF" w:rsidRPr="002B1E1B" w:rsidRDefault="003250FF" w:rsidP="009073B0">
      <w:pPr>
        <w:pStyle w:val="ListParagraph"/>
        <w:numPr>
          <w:ilvl w:val="0"/>
          <w:numId w:val="12"/>
        </w:numPr>
        <w:autoSpaceDE w:val="0"/>
        <w:autoSpaceDN w:val="0"/>
        <w:adjustRightInd w:val="0"/>
      </w:pPr>
      <w:r>
        <w:t>The STA is a DMG STA</w:t>
      </w:r>
      <w:r w:rsidRPr="003250FF">
        <w:rPr>
          <w:color w:val="FF0000"/>
        </w:rPr>
        <w:t xml:space="preserve"> </w:t>
      </w:r>
      <w:r w:rsidRPr="008E1B37">
        <w:t xml:space="preserve">and </w:t>
      </w:r>
      <w:r>
        <w:t xml:space="preserve">the transmit </w:t>
      </w:r>
      <w:r w:rsidRPr="002B1E1B">
        <w:t>antenna of the DMG STA is not trained to transmit to the STA from which the Probe Request frame was received</w:t>
      </w:r>
      <w:r w:rsidR="00DE3991" w:rsidRPr="002B1E1B">
        <w:rPr>
          <w:u w:val="single"/>
        </w:rPr>
        <w:t>, and the STA is not an EDMG STA that intends to tr</w:t>
      </w:r>
      <w:r w:rsidRPr="002B1E1B">
        <w:rPr>
          <w:u w:val="single"/>
        </w:rPr>
        <w:t>ansmit the response using a quasi-</w:t>
      </w:r>
      <w:proofErr w:type="spellStart"/>
      <w:r w:rsidRPr="002B1E1B">
        <w:rPr>
          <w:u w:val="single"/>
        </w:rPr>
        <w:t>omni</w:t>
      </w:r>
      <w:proofErr w:type="spellEnd"/>
      <w:r w:rsidRPr="002B1E1B">
        <w:rPr>
          <w:u w:val="single"/>
        </w:rPr>
        <w:t xml:space="preserve"> antenna pattern</w:t>
      </w:r>
      <w:r w:rsidRPr="002B1E1B">
        <w:t>.</w:t>
      </w:r>
    </w:p>
    <w:p w14:paraId="2E21BD45" w14:textId="77777777" w:rsidR="009B4D73" w:rsidRPr="002B1E1B" w:rsidRDefault="009B4D73" w:rsidP="00AC2AAB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</w:p>
    <w:p w14:paraId="6B1E8369" w14:textId="35D82D3C" w:rsidR="00AC2AAB" w:rsidRPr="002B1E1B" w:rsidRDefault="00AC2AAB" w:rsidP="00AC2AAB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2B1E1B">
        <w:rPr>
          <w:rFonts w:ascii="Arial,Bold" w:hAnsi="Arial,Bold" w:cs="Arial,Bold"/>
          <w:bCs/>
          <w:i/>
          <w:sz w:val="20"/>
          <w:lang w:val="en-US" w:bidi="he-IL"/>
        </w:rPr>
        <w:t>Insert the following parag</w:t>
      </w:r>
      <w:r w:rsidR="002B1E1B" w:rsidRPr="002B1E1B">
        <w:rPr>
          <w:rFonts w:ascii="Arial,Bold" w:hAnsi="Arial,Bold" w:cs="Arial,Bold"/>
          <w:bCs/>
          <w:i/>
          <w:sz w:val="20"/>
          <w:lang w:val="en-US" w:bidi="he-IL"/>
        </w:rPr>
        <w:t>raph after the first paragraph</w:t>
      </w:r>
      <w:r w:rsidRPr="002B1E1B">
        <w:rPr>
          <w:rFonts w:ascii="Arial,Bold" w:hAnsi="Arial,Bold" w:cs="Arial,Bold"/>
          <w:bCs/>
          <w:i/>
          <w:sz w:val="20"/>
          <w:lang w:val="en-US" w:bidi="he-IL"/>
        </w:rPr>
        <w:t xml:space="preserve"> </w:t>
      </w:r>
    </w:p>
    <w:p w14:paraId="0CA45200" w14:textId="77777777" w:rsidR="00AC2AAB" w:rsidRPr="002B1E1B" w:rsidRDefault="00AC2AAB" w:rsidP="00AC2AAB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19705E1C" w14:textId="5A4F1AD0" w:rsidR="00611929" w:rsidRPr="002B1E1B" w:rsidRDefault="009B4D73" w:rsidP="00BE46D3">
      <w:pPr>
        <w:autoSpaceDE w:val="0"/>
        <w:autoSpaceDN w:val="0"/>
        <w:adjustRightInd w:val="0"/>
        <w:jc w:val="both"/>
        <w:rPr>
          <w:rFonts w:eastAsia="TimesNewRoman"/>
          <w:szCs w:val="22"/>
          <w:lang w:val="en-US" w:bidi="he-IL"/>
        </w:rPr>
      </w:pPr>
      <w:r w:rsidRPr="002B1E1B">
        <w:rPr>
          <w:rFonts w:eastAsia="TimesNewRoman"/>
          <w:szCs w:val="22"/>
          <w:lang w:val="en-US" w:bidi="he-IL"/>
        </w:rPr>
        <w:t>A</w:t>
      </w:r>
      <w:r w:rsidR="00CC2E2E" w:rsidRPr="002B1E1B">
        <w:rPr>
          <w:rFonts w:eastAsia="TimesNewRoman"/>
          <w:szCs w:val="22"/>
          <w:lang w:val="en-US" w:bidi="he-IL"/>
        </w:rPr>
        <w:t>n</w:t>
      </w:r>
      <w:r w:rsidRPr="002B1E1B">
        <w:rPr>
          <w:rFonts w:eastAsia="TimesNewRoman"/>
          <w:szCs w:val="22"/>
          <w:lang w:val="en-US" w:bidi="he-IL"/>
        </w:rPr>
        <w:t xml:space="preserve"> </w:t>
      </w:r>
      <w:r w:rsidR="00CC2E2E" w:rsidRPr="002B1E1B">
        <w:rPr>
          <w:rFonts w:eastAsia="TimesNewRoman"/>
          <w:szCs w:val="22"/>
          <w:lang w:val="en-US" w:bidi="he-IL"/>
        </w:rPr>
        <w:t>E</w:t>
      </w:r>
      <w:r w:rsidRPr="002B1E1B">
        <w:rPr>
          <w:rFonts w:eastAsia="TimesNewRoman"/>
          <w:szCs w:val="22"/>
          <w:lang w:val="en-US" w:bidi="he-IL"/>
        </w:rPr>
        <w:t>DMG STA that receives a probe request before performing transmit antenna training may use a quasi-</w:t>
      </w:r>
      <w:proofErr w:type="spellStart"/>
      <w:r w:rsidRPr="002B1E1B">
        <w:rPr>
          <w:rFonts w:eastAsia="TimesNewRoman"/>
          <w:szCs w:val="22"/>
          <w:lang w:val="en-US" w:bidi="he-IL"/>
        </w:rPr>
        <w:t>omni</w:t>
      </w:r>
      <w:proofErr w:type="spellEnd"/>
      <w:r w:rsidRPr="002B1E1B">
        <w:rPr>
          <w:rFonts w:eastAsia="TimesNewRoman"/>
          <w:szCs w:val="22"/>
          <w:lang w:val="en-US" w:bidi="he-IL"/>
        </w:rPr>
        <w:t xml:space="preserve"> antenna pattern for transmission of the Probe Response. </w:t>
      </w:r>
      <w:r w:rsidR="00AC2AAB" w:rsidRPr="002B1E1B">
        <w:rPr>
          <w:rFonts w:eastAsia="TimesNewRoman"/>
          <w:szCs w:val="22"/>
          <w:lang w:val="en-US" w:bidi="he-IL"/>
        </w:rPr>
        <w:t>A</w:t>
      </w:r>
      <w:r w:rsidR="00611929" w:rsidRPr="002B1E1B">
        <w:rPr>
          <w:rFonts w:eastAsia="TimesNewRoman"/>
          <w:szCs w:val="22"/>
          <w:lang w:val="en-US" w:bidi="he-IL"/>
        </w:rPr>
        <w:t>n</w:t>
      </w:r>
      <w:r w:rsidR="00AC2AAB" w:rsidRPr="002B1E1B">
        <w:rPr>
          <w:rFonts w:eastAsia="TimesNewRoman"/>
          <w:szCs w:val="22"/>
          <w:lang w:val="en-US" w:bidi="he-IL"/>
        </w:rPr>
        <w:t xml:space="preserve"> </w:t>
      </w:r>
      <w:r w:rsidR="00611929" w:rsidRPr="002B1E1B">
        <w:rPr>
          <w:rFonts w:eastAsia="TimesNewRoman"/>
          <w:szCs w:val="22"/>
          <w:lang w:val="en-US" w:bidi="he-IL"/>
        </w:rPr>
        <w:t>E</w:t>
      </w:r>
      <w:r w:rsidR="00AC2AAB" w:rsidRPr="002B1E1B">
        <w:rPr>
          <w:rFonts w:eastAsia="TimesNewRoman"/>
          <w:szCs w:val="22"/>
          <w:lang w:val="en-US" w:bidi="he-IL"/>
        </w:rPr>
        <w:t xml:space="preserve">DMG STA </w:t>
      </w:r>
      <w:r w:rsidR="00973B14" w:rsidRPr="002B1E1B">
        <w:rPr>
          <w:rFonts w:eastAsia="TimesNewRoman"/>
          <w:szCs w:val="22"/>
          <w:lang w:val="en-US" w:bidi="he-IL"/>
        </w:rPr>
        <w:t>that receives</w:t>
      </w:r>
      <w:r w:rsidR="00AC2AAB" w:rsidRPr="002B1E1B">
        <w:rPr>
          <w:rFonts w:eastAsia="TimesNewRoman"/>
          <w:szCs w:val="22"/>
          <w:lang w:val="en-US" w:bidi="he-IL"/>
        </w:rPr>
        <w:t xml:space="preserve"> a probe request with TRN-R subfields appended to it</w:t>
      </w:r>
      <w:r w:rsidR="00611929" w:rsidRPr="002B1E1B">
        <w:rPr>
          <w:rFonts w:eastAsia="TimesNewRoman"/>
          <w:szCs w:val="22"/>
          <w:lang w:val="en-US" w:bidi="he-IL"/>
        </w:rPr>
        <w:t xml:space="preserve"> may perform receive training and </w:t>
      </w:r>
      <w:r w:rsidR="002B1E1B" w:rsidRPr="002B1E1B">
        <w:rPr>
          <w:rFonts w:eastAsia="TimesNewRoman"/>
          <w:szCs w:val="22"/>
          <w:lang w:val="en-US" w:bidi="he-IL"/>
        </w:rPr>
        <w:t xml:space="preserve">select </w:t>
      </w:r>
      <w:r w:rsidR="00611929" w:rsidRPr="002B1E1B">
        <w:rPr>
          <w:rFonts w:eastAsia="TimesNewRoman"/>
          <w:szCs w:val="22"/>
          <w:lang w:val="en-US" w:bidi="he-IL"/>
        </w:rPr>
        <w:t xml:space="preserve">a transmit sector </w:t>
      </w:r>
      <w:r w:rsidR="002B1E1B" w:rsidRPr="002B1E1B">
        <w:rPr>
          <w:rFonts w:eastAsia="TimesNewRoman"/>
          <w:szCs w:val="22"/>
          <w:lang w:val="en-US" w:bidi="he-IL"/>
        </w:rPr>
        <w:t xml:space="preserve">if the STA </w:t>
      </w:r>
      <w:r w:rsidR="001078E5" w:rsidRPr="002B1E1B">
        <w:rPr>
          <w:rFonts w:eastAsia="TimesNewRoman"/>
          <w:szCs w:val="22"/>
          <w:lang w:val="en-US" w:bidi="he-IL"/>
        </w:rPr>
        <w:t xml:space="preserve">supports antenna reciprocity or antenna pattern reciprocity as indicated by setting the </w:t>
      </w:r>
      <w:r w:rsidR="00611929" w:rsidRPr="002B1E1B">
        <w:rPr>
          <w:rFonts w:eastAsia="TimesNewRoman"/>
          <w:szCs w:val="22"/>
          <w:lang w:val="en-US" w:bidi="he-IL"/>
        </w:rPr>
        <w:t xml:space="preserve">DMG Antenna Reciprocity field or Antenna Pattern Reciprocity field in the DMG Capabilities element to 1 </w:t>
      </w:r>
      <w:r w:rsidR="001078E5" w:rsidRPr="002B1E1B">
        <w:rPr>
          <w:rFonts w:eastAsia="TimesNewRoman"/>
          <w:szCs w:val="22"/>
          <w:lang w:val="en-US" w:bidi="he-IL"/>
        </w:rPr>
        <w:t xml:space="preserve">respectively, </w:t>
      </w:r>
      <w:r w:rsidR="00611929" w:rsidRPr="002B1E1B">
        <w:rPr>
          <w:rFonts w:eastAsia="TimesNewRoman"/>
          <w:szCs w:val="22"/>
          <w:lang w:val="en-US" w:bidi="he-IL"/>
        </w:rPr>
        <w:t xml:space="preserve">for transmission to the transmitter of the </w:t>
      </w:r>
      <w:r w:rsidR="001078E5" w:rsidRPr="002B1E1B">
        <w:rPr>
          <w:rFonts w:eastAsia="TimesNewRoman"/>
          <w:szCs w:val="22"/>
          <w:lang w:val="en-US" w:bidi="he-IL"/>
        </w:rPr>
        <w:t>probe request</w:t>
      </w:r>
      <w:r w:rsidR="00611929" w:rsidRPr="002B1E1B">
        <w:rPr>
          <w:rFonts w:eastAsia="TimesNewRoman"/>
          <w:szCs w:val="22"/>
          <w:lang w:val="en-US" w:bidi="he-IL"/>
        </w:rPr>
        <w:t xml:space="preserve"> based on the result of the receive training.</w:t>
      </w:r>
    </w:p>
    <w:p w14:paraId="158956F2" w14:textId="77777777" w:rsidR="00304733" w:rsidRDefault="00304733" w:rsidP="00AC2AAB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</w:p>
    <w:p w14:paraId="07C42A95" w14:textId="77777777" w:rsidR="00CA09B2" w:rsidRPr="00C54554" w:rsidRDefault="00CA09B2" w:rsidP="00110EC4">
      <w:pPr>
        <w:ind w:left="720"/>
      </w:pPr>
      <w:r>
        <w:br w:type="page"/>
      </w:r>
      <w:r w:rsidRPr="00C54554">
        <w:rPr>
          <w:b/>
          <w:sz w:val="24"/>
        </w:rPr>
        <w:lastRenderedPageBreak/>
        <w:t>References:</w:t>
      </w:r>
    </w:p>
    <w:p w14:paraId="45C53C10" w14:textId="29BDA08A" w:rsidR="00CA09B2" w:rsidRPr="00835D65" w:rsidRDefault="00B720E2" w:rsidP="00835D65">
      <w:pPr>
        <w:numPr>
          <w:ilvl w:val="0"/>
          <w:numId w:val="1"/>
        </w:numPr>
        <w:rPr>
          <w:bCs/>
          <w:szCs w:val="22"/>
        </w:rPr>
      </w:pPr>
      <w:r w:rsidRPr="00B720E2">
        <w:rPr>
          <w:bCs/>
          <w:szCs w:val="22"/>
        </w:rPr>
        <w:t>11-16-1571-00-00ay-fast-bss-discovery.pptx</w:t>
      </w:r>
    </w:p>
    <w:sectPr w:rsidR="00CA09B2" w:rsidRPr="00835D65" w:rsidSect="00416854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BCE9" w14:textId="77777777" w:rsidR="004D4A45" w:rsidRDefault="004D4A45">
      <w:r>
        <w:separator/>
      </w:r>
    </w:p>
  </w:endnote>
  <w:endnote w:type="continuationSeparator" w:id="0">
    <w:p w14:paraId="5F819400" w14:textId="77777777" w:rsidR="004D4A45" w:rsidRDefault="004D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FF538" w14:textId="3310A15F" w:rsidR="0029020B" w:rsidRDefault="004D4A45" w:rsidP="005A5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C47ED">
      <w:rPr>
        <w:noProof/>
      </w:rPr>
      <w:t>4</w:t>
    </w:r>
    <w:r w:rsidR="0029020B">
      <w:fldChar w:fldCharType="end"/>
    </w:r>
    <w:r w:rsidR="0029020B">
      <w:tab/>
    </w:r>
    <w:r w:rsidR="005D157B">
      <w:t>Gaius Wee (Panasonic)</w:t>
    </w:r>
  </w:p>
  <w:p w14:paraId="10BF3DC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A222" w14:textId="77777777" w:rsidR="004D4A45" w:rsidRDefault="004D4A45">
      <w:r>
        <w:separator/>
      </w:r>
    </w:p>
  </w:footnote>
  <w:footnote w:type="continuationSeparator" w:id="0">
    <w:p w14:paraId="609A418A" w14:textId="77777777" w:rsidR="004D4A45" w:rsidRDefault="004D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9868" w14:textId="2C630CA6" w:rsidR="0029020B" w:rsidRDefault="00C667B2">
    <w:pPr>
      <w:pStyle w:val="Header"/>
      <w:tabs>
        <w:tab w:val="clear" w:pos="6480"/>
        <w:tab w:val="center" w:pos="4680"/>
        <w:tab w:val="right" w:pos="9360"/>
      </w:tabs>
    </w:pPr>
    <w:r>
      <w:t xml:space="preserve">January </w:t>
    </w:r>
    <w:r w:rsidR="005A557F">
      <w:t>201</w:t>
    </w:r>
    <w:r>
      <w:t>7</w:t>
    </w:r>
    <w:r w:rsidR="0029020B">
      <w:tab/>
    </w:r>
    <w:r w:rsidR="0029020B">
      <w:tab/>
    </w:r>
    <w:r w:rsidR="004D4A45">
      <w:fldChar w:fldCharType="begin"/>
    </w:r>
    <w:r w:rsidR="004D4A45">
      <w:instrText xml:space="preserve"> TITLE  \* MERGEFORMAT </w:instrText>
    </w:r>
    <w:r w:rsidR="004D4A45">
      <w:fldChar w:fldCharType="separate"/>
    </w:r>
    <w:r w:rsidR="009F2FBC">
      <w:t>doc.: IEEE 802.11-</w:t>
    </w:r>
    <w:r w:rsidR="00DA0D33">
      <w:t>17</w:t>
    </w:r>
    <w:r w:rsidR="009F2FBC">
      <w:t>/</w:t>
    </w:r>
    <w:r w:rsidR="006B4428">
      <w:t>0011</w:t>
    </w:r>
    <w:r w:rsidR="009F2FBC">
      <w:t>r0</w:t>
    </w:r>
    <w:r w:rsidR="004D4A4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E37"/>
    <w:multiLevelType w:val="hybridMultilevel"/>
    <w:tmpl w:val="C7325680"/>
    <w:lvl w:ilvl="0" w:tplc="F7041A1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CD53D7B"/>
    <w:multiLevelType w:val="hybridMultilevel"/>
    <w:tmpl w:val="AFEEE624"/>
    <w:lvl w:ilvl="0" w:tplc="31E6AD76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6ED"/>
    <w:rsid w:val="00017DAE"/>
    <w:rsid w:val="00040D31"/>
    <w:rsid w:val="00052C40"/>
    <w:rsid w:val="000759FF"/>
    <w:rsid w:val="0008167A"/>
    <w:rsid w:val="000976DE"/>
    <w:rsid w:val="000D714B"/>
    <w:rsid w:val="000E4820"/>
    <w:rsid w:val="000F1C1B"/>
    <w:rsid w:val="000F5E31"/>
    <w:rsid w:val="001078E5"/>
    <w:rsid w:val="00110EC4"/>
    <w:rsid w:val="0011476F"/>
    <w:rsid w:val="00142AA1"/>
    <w:rsid w:val="00151965"/>
    <w:rsid w:val="00191DBB"/>
    <w:rsid w:val="00192121"/>
    <w:rsid w:val="001944EF"/>
    <w:rsid w:val="001A1A33"/>
    <w:rsid w:val="001B187E"/>
    <w:rsid w:val="001B29DC"/>
    <w:rsid w:val="001C165C"/>
    <w:rsid w:val="001D723B"/>
    <w:rsid w:val="001E4099"/>
    <w:rsid w:val="002247FB"/>
    <w:rsid w:val="00251C8C"/>
    <w:rsid w:val="0029020B"/>
    <w:rsid w:val="002948F3"/>
    <w:rsid w:val="002B1E1B"/>
    <w:rsid w:val="002D053B"/>
    <w:rsid w:val="002D44BE"/>
    <w:rsid w:val="002E3957"/>
    <w:rsid w:val="00304733"/>
    <w:rsid w:val="0032346F"/>
    <w:rsid w:val="003250FF"/>
    <w:rsid w:val="003318D1"/>
    <w:rsid w:val="003441EC"/>
    <w:rsid w:val="00370491"/>
    <w:rsid w:val="00373A88"/>
    <w:rsid w:val="003B5162"/>
    <w:rsid w:val="003C57CF"/>
    <w:rsid w:val="003F361B"/>
    <w:rsid w:val="00412A03"/>
    <w:rsid w:val="00416854"/>
    <w:rsid w:val="0042179E"/>
    <w:rsid w:val="004225A9"/>
    <w:rsid w:val="0042346E"/>
    <w:rsid w:val="00442037"/>
    <w:rsid w:val="00445832"/>
    <w:rsid w:val="00452892"/>
    <w:rsid w:val="00481194"/>
    <w:rsid w:val="00493A5E"/>
    <w:rsid w:val="004B064B"/>
    <w:rsid w:val="004D4A45"/>
    <w:rsid w:val="004D562D"/>
    <w:rsid w:val="00506689"/>
    <w:rsid w:val="00512AE0"/>
    <w:rsid w:val="00525A28"/>
    <w:rsid w:val="005338B6"/>
    <w:rsid w:val="00545EF4"/>
    <w:rsid w:val="005517D9"/>
    <w:rsid w:val="00552356"/>
    <w:rsid w:val="00556072"/>
    <w:rsid w:val="005727DC"/>
    <w:rsid w:val="005A0857"/>
    <w:rsid w:val="005A557F"/>
    <w:rsid w:val="005B5027"/>
    <w:rsid w:val="005C0624"/>
    <w:rsid w:val="005D157B"/>
    <w:rsid w:val="005D4F47"/>
    <w:rsid w:val="006053A3"/>
    <w:rsid w:val="00611929"/>
    <w:rsid w:val="00611AB6"/>
    <w:rsid w:val="0062440B"/>
    <w:rsid w:val="00641B82"/>
    <w:rsid w:val="006452A0"/>
    <w:rsid w:val="00656CE2"/>
    <w:rsid w:val="0066519B"/>
    <w:rsid w:val="00665200"/>
    <w:rsid w:val="006A2BB4"/>
    <w:rsid w:val="006B4428"/>
    <w:rsid w:val="006B6A33"/>
    <w:rsid w:val="006C0727"/>
    <w:rsid w:val="006C1BEF"/>
    <w:rsid w:val="006C5949"/>
    <w:rsid w:val="006D2A3B"/>
    <w:rsid w:val="006D6FE8"/>
    <w:rsid w:val="006E145F"/>
    <w:rsid w:val="006E5556"/>
    <w:rsid w:val="006F7AEA"/>
    <w:rsid w:val="00707538"/>
    <w:rsid w:val="007077F6"/>
    <w:rsid w:val="0071468E"/>
    <w:rsid w:val="00720616"/>
    <w:rsid w:val="00724F0E"/>
    <w:rsid w:val="00742C53"/>
    <w:rsid w:val="00745A86"/>
    <w:rsid w:val="007468A0"/>
    <w:rsid w:val="00763BA3"/>
    <w:rsid w:val="00770572"/>
    <w:rsid w:val="00781850"/>
    <w:rsid w:val="0078795C"/>
    <w:rsid w:val="00792E15"/>
    <w:rsid w:val="007B37AC"/>
    <w:rsid w:val="007C5543"/>
    <w:rsid w:val="007E641A"/>
    <w:rsid w:val="007E6EA7"/>
    <w:rsid w:val="007F30F9"/>
    <w:rsid w:val="007F36E7"/>
    <w:rsid w:val="008103C5"/>
    <w:rsid w:val="00835D65"/>
    <w:rsid w:val="00842871"/>
    <w:rsid w:val="008437E9"/>
    <w:rsid w:val="008526F4"/>
    <w:rsid w:val="00856BE4"/>
    <w:rsid w:val="00861DAB"/>
    <w:rsid w:val="00862925"/>
    <w:rsid w:val="00876EEF"/>
    <w:rsid w:val="00877C37"/>
    <w:rsid w:val="00884A48"/>
    <w:rsid w:val="008A1EC3"/>
    <w:rsid w:val="008B4699"/>
    <w:rsid w:val="008B5C9D"/>
    <w:rsid w:val="008C03B8"/>
    <w:rsid w:val="008D0D55"/>
    <w:rsid w:val="008E1B37"/>
    <w:rsid w:val="008E4185"/>
    <w:rsid w:val="0090077E"/>
    <w:rsid w:val="009073B0"/>
    <w:rsid w:val="00911AF3"/>
    <w:rsid w:val="00913ACA"/>
    <w:rsid w:val="009313A1"/>
    <w:rsid w:val="009452FD"/>
    <w:rsid w:val="00964C8C"/>
    <w:rsid w:val="00973B14"/>
    <w:rsid w:val="009B4D73"/>
    <w:rsid w:val="009B65E8"/>
    <w:rsid w:val="009B7BBA"/>
    <w:rsid w:val="009C3C2F"/>
    <w:rsid w:val="009E47D0"/>
    <w:rsid w:val="009F2FBC"/>
    <w:rsid w:val="00A32138"/>
    <w:rsid w:val="00A33E76"/>
    <w:rsid w:val="00A35958"/>
    <w:rsid w:val="00A6055C"/>
    <w:rsid w:val="00A6282A"/>
    <w:rsid w:val="00A83D45"/>
    <w:rsid w:val="00A87473"/>
    <w:rsid w:val="00A9175E"/>
    <w:rsid w:val="00AA427C"/>
    <w:rsid w:val="00AB07A9"/>
    <w:rsid w:val="00AB2D88"/>
    <w:rsid w:val="00AB5B96"/>
    <w:rsid w:val="00AB6D95"/>
    <w:rsid w:val="00AC2AAB"/>
    <w:rsid w:val="00AC437D"/>
    <w:rsid w:val="00AF0981"/>
    <w:rsid w:val="00AF383D"/>
    <w:rsid w:val="00AF43B7"/>
    <w:rsid w:val="00B00A29"/>
    <w:rsid w:val="00B0179D"/>
    <w:rsid w:val="00B029EE"/>
    <w:rsid w:val="00B113DD"/>
    <w:rsid w:val="00B246C8"/>
    <w:rsid w:val="00B25708"/>
    <w:rsid w:val="00B30BB2"/>
    <w:rsid w:val="00B4566D"/>
    <w:rsid w:val="00B720E2"/>
    <w:rsid w:val="00B80713"/>
    <w:rsid w:val="00B81378"/>
    <w:rsid w:val="00B81D08"/>
    <w:rsid w:val="00B92B29"/>
    <w:rsid w:val="00BA67E2"/>
    <w:rsid w:val="00BB1F1A"/>
    <w:rsid w:val="00BC6644"/>
    <w:rsid w:val="00BD1E85"/>
    <w:rsid w:val="00BE46D3"/>
    <w:rsid w:val="00BE68C2"/>
    <w:rsid w:val="00C5150F"/>
    <w:rsid w:val="00C531BB"/>
    <w:rsid w:val="00C54554"/>
    <w:rsid w:val="00C667B2"/>
    <w:rsid w:val="00C93CC8"/>
    <w:rsid w:val="00CA09B2"/>
    <w:rsid w:val="00CA13DC"/>
    <w:rsid w:val="00CC2E2E"/>
    <w:rsid w:val="00CD36B6"/>
    <w:rsid w:val="00CD6E99"/>
    <w:rsid w:val="00CF7ACA"/>
    <w:rsid w:val="00D14A3B"/>
    <w:rsid w:val="00D25552"/>
    <w:rsid w:val="00D34AAF"/>
    <w:rsid w:val="00D6149A"/>
    <w:rsid w:val="00D646AE"/>
    <w:rsid w:val="00D668B4"/>
    <w:rsid w:val="00D7232C"/>
    <w:rsid w:val="00D93124"/>
    <w:rsid w:val="00DA035A"/>
    <w:rsid w:val="00DA0D33"/>
    <w:rsid w:val="00DA168C"/>
    <w:rsid w:val="00DA50F6"/>
    <w:rsid w:val="00DC0B44"/>
    <w:rsid w:val="00DC36B7"/>
    <w:rsid w:val="00DC5A7B"/>
    <w:rsid w:val="00DE3991"/>
    <w:rsid w:val="00DF7B7D"/>
    <w:rsid w:val="00E31D80"/>
    <w:rsid w:val="00E40DE5"/>
    <w:rsid w:val="00E51F97"/>
    <w:rsid w:val="00E550BF"/>
    <w:rsid w:val="00E82359"/>
    <w:rsid w:val="00EA2BFC"/>
    <w:rsid w:val="00EA654A"/>
    <w:rsid w:val="00EB24CA"/>
    <w:rsid w:val="00EC07E8"/>
    <w:rsid w:val="00EC2E8A"/>
    <w:rsid w:val="00EC47ED"/>
    <w:rsid w:val="00EC4A13"/>
    <w:rsid w:val="00ED2A65"/>
    <w:rsid w:val="00EF6A2A"/>
    <w:rsid w:val="00EF7BAB"/>
    <w:rsid w:val="00F07E76"/>
    <w:rsid w:val="00F20E91"/>
    <w:rsid w:val="00F25D32"/>
    <w:rsid w:val="00F3052E"/>
    <w:rsid w:val="00F37D2F"/>
    <w:rsid w:val="00F61B13"/>
    <w:rsid w:val="00F81EF3"/>
    <w:rsid w:val="00F8482E"/>
    <w:rsid w:val="00F90DE4"/>
    <w:rsid w:val="00FA79C9"/>
    <w:rsid w:val="00FD6030"/>
    <w:rsid w:val="00FF08A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4CC0F"/>
  <w15:docId w15:val="{11E690B7-2FDE-4FE7-A98C-8D34EBAF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2DCF-201A-4F8A-A9D0-DB2B5949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Gaius Wee</dc:creator>
  <cp:keywords>December 2016</cp:keywords>
  <cp:lastModifiedBy>Yao Huang Wee,Gaius</cp:lastModifiedBy>
  <cp:revision>23</cp:revision>
  <cp:lastPrinted>1900-12-31T15:00:00Z</cp:lastPrinted>
  <dcterms:created xsi:type="dcterms:W3CDTF">2017-01-10T03:04:00Z</dcterms:created>
  <dcterms:modified xsi:type="dcterms:W3CDTF">2017-01-10T05:12:00Z</dcterms:modified>
</cp:coreProperties>
</file>