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08305A">
            <w:pPr>
              <w:pStyle w:val="T2"/>
            </w:pPr>
            <w:r>
              <w:t xml:space="preserve">Draft text for </w:t>
            </w:r>
            <w:r w:rsidR="001929B1">
              <w:t>EDMG Capabilities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1929B1">
              <w:rPr>
                <w:b w:val="0"/>
                <w:sz w:val="20"/>
              </w:rPr>
              <w:t xml:space="preserve">  2016-12-15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929B1">
            <w:pPr>
              <w:pStyle w:val="T2"/>
              <w:spacing w:after="0"/>
              <w:ind w:left="0" w:right="0"/>
              <w:rPr>
                <w:b w:val="0"/>
                <w:sz w:val="20"/>
              </w:rPr>
            </w:pPr>
            <w:r>
              <w:rPr>
                <w:b w:val="0"/>
                <w:sz w:val="20"/>
              </w:rPr>
              <w:t>C. Hansen</w:t>
            </w:r>
          </w:p>
        </w:tc>
        <w:tc>
          <w:tcPr>
            <w:tcW w:w="2064" w:type="dxa"/>
            <w:vAlign w:val="center"/>
          </w:tcPr>
          <w:p w:rsidR="00CA09B2" w:rsidRDefault="001929B1">
            <w:pPr>
              <w:pStyle w:val="T2"/>
              <w:spacing w:after="0"/>
              <w:ind w:left="0" w:right="0"/>
              <w:rPr>
                <w:b w:val="0"/>
                <w:sz w:val="20"/>
              </w:rPr>
            </w:pPr>
            <w:r>
              <w:rPr>
                <w:b w:val="0"/>
                <w:sz w:val="20"/>
              </w:rPr>
              <w:t>Peraso</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1929B1">
            <w:pPr>
              <w:pStyle w:val="T2"/>
              <w:spacing w:after="0"/>
              <w:ind w:left="0" w:right="0"/>
              <w:rPr>
                <w:b w:val="0"/>
                <w:sz w:val="16"/>
              </w:rPr>
            </w:pPr>
            <w:r>
              <w:rPr>
                <w:b w:val="0"/>
                <w:sz w:val="16"/>
              </w:rPr>
              <w:t>chris@covariantcorp.com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AC1B9F">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1929B1">
                  <w:pPr>
                    <w:jc w:val="both"/>
                  </w:pPr>
                  <w:r>
                    <w:t>Draft text for the EDMG Capabilities element is included</w:t>
                  </w:r>
                </w:p>
              </w:txbxContent>
            </v:textbox>
          </v:shape>
        </w:pict>
      </w:r>
    </w:p>
    <w:p w:rsidR="005043F6" w:rsidRPr="005043F6" w:rsidRDefault="00CA09B2" w:rsidP="005043F6">
      <w:pPr>
        <w:pStyle w:val="IEEEStdsParagraph"/>
        <w:rPr>
          <w:i/>
        </w:rPr>
      </w:pPr>
      <w:r>
        <w:br w:type="page"/>
      </w:r>
      <w:r w:rsidR="005043F6" w:rsidRPr="005043F6">
        <w:rPr>
          <w:i/>
        </w:rPr>
        <w:lastRenderedPageBreak/>
        <w:t>Editor’s note.  The Core Capabilities below includes capabilities copied from the DMG Capabilities element in 802.11.  These may turn out to be redundant and removed in the future.</w:t>
      </w:r>
    </w:p>
    <w:p w:rsidR="005043F6" w:rsidRPr="005043F6" w:rsidRDefault="005043F6" w:rsidP="005043F6">
      <w:pPr>
        <w:keepNext/>
        <w:keepLines/>
        <w:numPr>
          <w:ilvl w:val="1"/>
          <w:numId w:val="0"/>
        </w:numPr>
        <w:suppressAutoHyphens/>
        <w:spacing w:before="360" w:after="240"/>
        <w:outlineLvl w:val="1"/>
        <w:rPr>
          <w:rFonts w:ascii="Arial" w:hAnsi="Arial"/>
          <w:b/>
          <w:lang w:val="en-US" w:eastAsia="ja-JP"/>
        </w:rPr>
      </w:pPr>
      <w:r w:rsidRPr="005043F6">
        <w:rPr>
          <w:rFonts w:ascii="Arial" w:hAnsi="Arial"/>
          <w:b/>
          <w:lang w:val="en-US" w:eastAsia="ja-JP"/>
        </w:rPr>
        <w:t>Information elements</w:t>
      </w:r>
    </w:p>
    <w:p w:rsidR="005043F6" w:rsidRPr="005043F6" w:rsidRDefault="005043F6" w:rsidP="005043F6">
      <w:pPr>
        <w:keepNext/>
        <w:keepLines/>
        <w:numPr>
          <w:ilvl w:val="2"/>
          <w:numId w:val="0"/>
        </w:numPr>
        <w:suppressAutoHyphens/>
        <w:spacing w:before="240" w:after="240"/>
        <w:outlineLvl w:val="2"/>
        <w:rPr>
          <w:rFonts w:ascii="Arial" w:hAnsi="Arial"/>
          <w:b/>
          <w:sz w:val="20"/>
          <w:lang w:val="en-US" w:eastAsia="ja-JP"/>
        </w:rPr>
      </w:pPr>
      <w:r w:rsidRPr="005043F6">
        <w:rPr>
          <w:rFonts w:ascii="Arial" w:hAnsi="Arial"/>
          <w:b/>
          <w:sz w:val="20"/>
          <w:lang w:val="en-US" w:eastAsia="ja-JP"/>
        </w:rPr>
        <w:t>EDMG Capabilities element</w:t>
      </w:r>
    </w:p>
    <w:p w:rsidR="005043F6" w:rsidRPr="005043F6" w:rsidRDefault="005043F6" w:rsidP="005043F6">
      <w:pPr>
        <w:keepNext/>
        <w:keepLines/>
        <w:numPr>
          <w:ilvl w:val="3"/>
          <w:numId w:val="0"/>
        </w:numPr>
        <w:suppressAutoHyphens/>
        <w:spacing w:before="240" w:after="240"/>
        <w:outlineLvl w:val="3"/>
        <w:rPr>
          <w:rFonts w:ascii="Arial" w:hAnsi="Arial"/>
          <w:b/>
          <w:sz w:val="20"/>
          <w:lang w:val="en-US" w:eastAsia="ja-JP"/>
        </w:rPr>
      </w:pPr>
      <w:r w:rsidRPr="005043F6">
        <w:rPr>
          <w:rFonts w:ascii="Arial" w:hAnsi="Arial"/>
          <w:b/>
          <w:sz w:val="20"/>
          <w:lang w:val="en-US" w:eastAsia="ja-JP"/>
        </w:rPr>
        <w:t>General</w:t>
      </w:r>
    </w:p>
    <w:p w:rsidR="005043F6" w:rsidRPr="005043F6" w:rsidRDefault="005043F6" w:rsidP="005043F6">
      <w:pPr>
        <w:spacing w:after="240"/>
        <w:jc w:val="both"/>
        <w:rPr>
          <w:sz w:val="20"/>
          <w:lang w:val="en-US" w:eastAsia="ja-JP"/>
        </w:rPr>
      </w:pPr>
      <w:r w:rsidRPr="005043F6">
        <w:rPr>
          <w:sz w:val="20"/>
          <w:lang w:val="en-US" w:eastAsia="ja-JP"/>
        </w:rPr>
        <w:t xml:space="preserve">The EDMG Capabilities element contains a fixed length Core Capabilities field which may be followed by one or more variable length Extended Capabilities elements. The element is present in Association Request, Association Response, Re-association Request, Re-association Response, Probe Request and Probe Response frames and can be present in EDMG Beacon, Information Request, and Information Response Frames. </w:t>
      </w:r>
    </w:p>
    <w:p w:rsidR="005043F6" w:rsidRPr="005043F6" w:rsidRDefault="005043F6" w:rsidP="005043F6">
      <w:pPr>
        <w:spacing w:after="240"/>
        <w:jc w:val="both"/>
        <w:rPr>
          <w:sz w:val="20"/>
          <w:lang w:val="en-US" w:eastAsia="ja-JP"/>
        </w:rPr>
      </w:pPr>
      <w:r w:rsidRPr="005043F6">
        <w:rPr>
          <w:sz w:val="20"/>
          <w:lang w:val="en-US" w:eastAsia="ja-JP"/>
        </w:rPr>
        <w:t xml:space="preserve">The format of the EDMG Capabilities element is shown in </w:t>
      </w:r>
      <w:r w:rsidRPr="005043F6">
        <w:rPr>
          <w:sz w:val="20"/>
          <w:lang w:val="en-US" w:eastAsia="ja-JP"/>
        </w:rPr>
        <w:fldChar w:fldCharType="begin"/>
      </w:r>
      <w:r w:rsidRPr="005043F6">
        <w:rPr>
          <w:sz w:val="20"/>
          <w:lang w:val="en-US" w:eastAsia="ja-JP"/>
        </w:rPr>
        <w:instrText xml:space="preserve"> REF _Ref461739555 \r \h </w:instrText>
      </w:r>
      <w:r w:rsidRPr="005043F6">
        <w:rPr>
          <w:sz w:val="20"/>
          <w:lang w:val="en-US" w:eastAsia="ja-JP"/>
        </w:rPr>
      </w:r>
      <w:r w:rsidRPr="005043F6">
        <w:rPr>
          <w:sz w:val="20"/>
          <w:lang w:val="en-US" w:eastAsia="ja-JP"/>
        </w:rPr>
        <w:fldChar w:fldCharType="separate"/>
      </w:r>
      <w:r w:rsidRPr="005043F6">
        <w:rPr>
          <w:sz w:val="20"/>
          <w:lang w:val="en-US" w:eastAsia="ja-JP"/>
        </w:rPr>
        <w:t>Figure 1</w:t>
      </w:r>
      <w:r w:rsidRPr="005043F6">
        <w:rPr>
          <w:sz w:val="20"/>
          <w:lang w:val="en-US" w:eastAsia="ja-JP"/>
        </w:rPr>
        <w:fldChar w:fldCharType="end"/>
      </w:r>
      <w:r w:rsidRPr="005043F6">
        <w:rPr>
          <w:sz w:val="20"/>
          <w:lang w:val="en-US" w:eastAsia="ja-JP"/>
        </w:rPr>
        <w:t>.</w:t>
      </w:r>
    </w:p>
    <w:tbl>
      <w:tblPr>
        <w:tblW w:w="0" w:type="auto"/>
        <w:jc w:val="center"/>
        <w:tblLook w:val="04A0" w:firstRow="1" w:lastRow="0" w:firstColumn="1" w:lastColumn="0" w:noHBand="0" w:noVBand="1"/>
      </w:tblPr>
      <w:tblGrid>
        <w:gridCol w:w="726"/>
        <w:gridCol w:w="1013"/>
        <w:gridCol w:w="726"/>
        <w:gridCol w:w="1676"/>
        <w:gridCol w:w="1408"/>
        <w:gridCol w:w="1799"/>
        <w:gridCol w:w="396"/>
        <w:gridCol w:w="1832"/>
      </w:tblGrid>
      <w:tr w:rsidR="005043F6" w:rsidRPr="005043F6" w:rsidTr="004228FE">
        <w:trPr>
          <w:jc w:val="center"/>
        </w:trPr>
        <w:tc>
          <w:tcPr>
            <w:tcW w:w="0" w:type="auto"/>
            <w:tcBorders>
              <w:right w:val="single" w:sz="4" w:space="0" w:color="auto"/>
            </w:tcBorders>
            <w:shd w:val="clear" w:color="auto" w:fill="auto"/>
          </w:tcPr>
          <w:p w:rsidR="005043F6" w:rsidRPr="005043F6" w:rsidRDefault="005043F6" w:rsidP="005043F6">
            <w:pPr>
              <w:keepNext/>
              <w:keepLines/>
              <w:jc w:val="center"/>
              <w:rPr>
                <w:sz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Element ID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Element ID Extension</w:t>
            </w:r>
          </w:p>
        </w:tc>
        <w:tc>
          <w:tcPr>
            <w:tcW w:w="0" w:type="auto"/>
            <w:tcBorders>
              <w:top w:val="single" w:sz="4" w:space="0" w:color="auto"/>
              <w:left w:val="single" w:sz="4" w:space="0" w:color="auto"/>
              <w:bottom w:val="single" w:sz="4" w:space="0" w:color="auto"/>
              <w:right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Core Capabilities</w:t>
            </w:r>
          </w:p>
        </w:tc>
        <w:tc>
          <w:tcPr>
            <w:tcW w:w="0" w:type="auto"/>
            <w:tcBorders>
              <w:top w:val="single" w:sz="4" w:space="0" w:color="auto"/>
              <w:left w:val="single" w:sz="4" w:space="0" w:color="auto"/>
              <w:bottom w:val="single" w:sz="4" w:space="0" w:color="auto"/>
              <w:right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Extended Capabilities 1</w:t>
            </w:r>
          </w:p>
        </w:tc>
        <w:tc>
          <w:tcPr>
            <w:tcW w:w="0" w:type="auto"/>
            <w:tcBorders>
              <w:top w:val="single" w:sz="4" w:space="0" w:color="auto"/>
              <w:left w:val="single" w:sz="4" w:space="0" w:color="auto"/>
              <w:bottom w:val="single" w:sz="4" w:space="0" w:color="auto"/>
              <w:right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w:t>
            </w:r>
          </w:p>
        </w:tc>
        <w:tc>
          <w:tcPr>
            <w:tcW w:w="0" w:type="auto"/>
            <w:tcBorders>
              <w:top w:val="single" w:sz="4" w:space="0" w:color="auto"/>
              <w:left w:val="single" w:sz="4" w:space="0" w:color="auto"/>
              <w:bottom w:val="single" w:sz="4" w:space="0" w:color="auto"/>
              <w:right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Extended Capabilities N</w:t>
            </w:r>
          </w:p>
        </w:tc>
      </w:tr>
      <w:tr w:rsidR="005043F6" w:rsidRPr="005043F6" w:rsidTr="004228FE">
        <w:trPr>
          <w:jc w:val="center"/>
        </w:trPr>
        <w:tc>
          <w:tcPr>
            <w:tcW w:w="0" w:type="auto"/>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Octets:</w:t>
            </w: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1</w:t>
            </w: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1</w:t>
            </w: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1</w:t>
            </w:r>
          </w:p>
        </w:tc>
        <w:tc>
          <w:tcPr>
            <w:tcW w:w="0" w:type="auto"/>
            <w:tcBorders>
              <w:top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TBD</w:t>
            </w:r>
          </w:p>
        </w:tc>
        <w:tc>
          <w:tcPr>
            <w:tcW w:w="0" w:type="auto"/>
            <w:tcBorders>
              <w:top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Variable</w:t>
            </w:r>
          </w:p>
        </w:tc>
        <w:tc>
          <w:tcPr>
            <w:tcW w:w="0" w:type="auto"/>
            <w:tcBorders>
              <w:top w:val="single" w:sz="4" w:space="0" w:color="auto"/>
            </w:tcBorders>
          </w:tcPr>
          <w:p w:rsidR="005043F6" w:rsidRPr="005043F6" w:rsidRDefault="005043F6" w:rsidP="005043F6">
            <w:pPr>
              <w:keepNext/>
              <w:keepLines/>
              <w:jc w:val="center"/>
              <w:rPr>
                <w:sz w:val="18"/>
                <w:lang w:val="en-US" w:eastAsia="ja-JP"/>
              </w:rPr>
            </w:pPr>
          </w:p>
        </w:tc>
        <w:tc>
          <w:tcPr>
            <w:tcW w:w="0" w:type="auto"/>
            <w:tcBorders>
              <w:top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Variable</w:t>
            </w:r>
          </w:p>
        </w:tc>
      </w:tr>
    </w:tbl>
    <w:p w:rsidR="005043F6" w:rsidRPr="005043F6" w:rsidRDefault="005043F6" w:rsidP="005043F6">
      <w:pPr>
        <w:keepLines/>
        <w:tabs>
          <w:tab w:val="left" w:pos="403"/>
          <w:tab w:val="left" w:pos="475"/>
          <w:tab w:val="left" w:pos="547"/>
        </w:tabs>
        <w:suppressAutoHyphens/>
        <w:spacing w:before="120" w:after="120"/>
        <w:jc w:val="center"/>
        <w:rPr>
          <w:rFonts w:ascii="Arial" w:hAnsi="Arial"/>
          <w:b/>
          <w:sz w:val="20"/>
          <w:lang w:val="en-US" w:eastAsia="ja-JP"/>
        </w:rPr>
      </w:pPr>
      <w:bookmarkStart w:id="0" w:name="_Ref461739555"/>
      <w:r w:rsidRPr="005043F6">
        <w:rPr>
          <w:rFonts w:ascii="Arial" w:hAnsi="Arial"/>
          <w:b/>
          <w:sz w:val="20"/>
          <w:lang w:val="en-US" w:eastAsia="ja-JP"/>
        </w:rPr>
        <w:t>—EDMG Capabilities element format</w:t>
      </w:r>
      <w:bookmarkEnd w:id="0"/>
    </w:p>
    <w:p w:rsidR="005043F6" w:rsidRPr="005043F6" w:rsidRDefault="005043F6" w:rsidP="005043F6">
      <w:pPr>
        <w:spacing w:after="240"/>
        <w:jc w:val="both"/>
        <w:rPr>
          <w:sz w:val="20"/>
          <w:lang w:val="en-US" w:eastAsia="ja-JP"/>
        </w:rPr>
      </w:pPr>
    </w:p>
    <w:p w:rsidR="005043F6" w:rsidRPr="005043F6" w:rsidRDefault="005043F6" w:rsidP="005043F6">
      <w:pPr>
        <w:spacing w:after="240"/>
        <w:jc w:val="both"/>
        <w:rPr>
          <w:sz w:val="20"/>
          <w:lang w:val="en-US" w:eastAsia="ja-JP"/>
        </w:rPr>
      </w:pPr>
    </w:p>
    <w:p w:rsidR="005043F6" w:rsidRPr="005043F6" w:rsidRDefault="005043F6" w:rsidP="005043F6">
      <w:pPr>
        <w:spacing w:after="240"/>
        <w:jc w:val="both"/>
        <w:rPr>
          <w:sz w:val="20"/>
          <w:lang w:val="en-US" w:eastAsia="ja-JP"/>
        </w:rPr>
      </w:pPr>
      <w:r w:rsidRPr="005043F6">
        <w:rPr>
          <w:sz w:val="20"/>
          <w:lang w:val="en-US" w:eastAsia="ja-JP"/>
        </w:rPr>
        <w:t xml:space="preserve">The Core Capabilities field is shown in </w:t>
      </w:r>
      <w:r w:rsidRPr="005043F6">
        <w:rPr>
          <w:sz w:val="20"/>
          <w:lang w:val="en-US" w:eastAsia="ja-JP"/>
        </w:rPr>
        <w:fldChar w:fldCharType="begin"/>
      </w:r>
      <w:r w:rsidRPr="005043F6">
        <w:rPr>
          <w:sz w:val="20"/>
          <w:lang w:val="en-US" w:eastAsia="ja-JP"/>
        </w:rPr>
        <w:instrText xml:space="preserve"> REF _Ref469060121 \r \h </w:instrText>
      </w:r>
      <w:r w:rsidRPr="005043F6">
        <w:rPr>
          <w:sz w:val="20"/>
          <w:lang w:val="en-US" w:eastAsia="ja-JP"/>
        </w:rPr>
      </w:r>
      <w:r w:rsidRPr="005043F6">
        <w:rPr>
          <w:sz w:val="20"/>
          <w:lang w:val="en-US" w:eastAsia="ja-JP"/>
        </w:rPr>
        <w:fldChar w:fldCharType="separate"/>
      </w:r>
      <w:r w:rsidRPr="005043F6">
        <w:rPr>
          <w:sz w:val="20"/>
          <w:lang w:val="en-US" w:eastAsia="ja-JP"/>
        </w:rPr>
        <w:t>Figure 2</w:t>
      </w:r>
      <w:r w:rsidRPr="005043F6">
        <w:rPr>
          <w:sz w:val="20"/>
          <w:lang w:val="en-US" w:eastAsia="ja-JP"/>
        </w:rPr>
        <w:fldChar w:fldCharType="end"/>
      </w:r>
      <w:r w:rsidRPr="005043F6">
        <w:rPr>
          <w:sz w:val="20"/>
          <w:lang w:val="en-US" w:eastAsia="ja-JP"/>
        </w:rPr>
        <w:t>.</w:t>
      </w:r>
    </w:p>
    <w:tbl>
      <w:tblPr>
        <w:tblW w:w="0" w:type="auto"/>
        <w:jc w:val="center"/>
        <w:tblLook w:val="04A0" w:firstRow="1" w:lastRow="0" w:firstColumn="1" w:lastColumn="0" w:noHBand="0" w:noVBand="1"/>
      </w:tblPr>
      <w:tblGrid>
        <w:gridCol w:w="726"/>
        <w:gridCol w:w="871"/>
        <w:gridCol w:w="536"/>
        <w:gridCol w:w="1307"/>
        <w:gridCol w:w="1284"/>
        <w:gridCol w:w="1598"/>
        <w:gridCol w:w="1628"/>
        <w:gridCol w:w="1626"/>
      </w:tblGrid>
      <w:tr w:rsidR="005043F6" w:rsidRPr="005043F6" w:rsidTr="004228FE">
        <w:trPr>
          <w:jc w:val="center"/>
        </w:trPr>
        <w:tc>
          <w:tcPr>
            <w:tcW w:w="0" w:type="auto"/>
            <w:tcBorders>
              <w:right w:val="single" w:sz="4" w:space="0" w:color="auto"/>
            </w:tcBorders>
            <w:shd w:val="clear" w:color="auto" w:fill="auto"/>
          </w:tcPr>
          <w:p w:rsidR="005043F6" w:rsidRPr="005043F6" w:rsidRDefault="005043F6" w:rsidP="005043F6">
            <w:pPr>
              <w:keepNext/>
              <w:keepLines/>
              <w:jc w:val="center"/>
              <w:rPr>
                <w:sz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STA Address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AID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EDMG STA Core Capabilities</w:t>
            </w:r>
          </w:p>
        </w:tc>
        <w:tc>
          <w:tcPr>
            <w:tcW w:w="0" w:type="auto"/>
            <w:tcBorders>
              <w:top w:val="single" w:sz="4" w:space="0" w:color="auto"/>
              <w:left w:val="single" w:sz="4" w:space="0" w:color="auto"/>
              <w:bottom w:val="single" w:sz="4" w:space="0" w:color="auto"/>
              <w:right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EDMG AP/PCP Capabilities</w:t>
            </w:r>
          </w:p>
        </w:tc>
        <w:tc>
          <w:tcPr>
            <w:tcW w:w="0" w:type="auto"/>
            <w:tcBorders>
              <w:top w:val="single" w:sz="4" w:space="0" w:color="auto"/>
              <w:left w:val="single" w:sz="4" w:space="0" w:color="auto"/>
              <w:bottom w:val="single" w:sz="4" w:space="0" w:color="auto"/>
              <w:right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EDMG STA BeamTracking Time Limit</w:t>
            </w:r>
          </w:p>
        </w:tc>
        <w:tc>
          <w:tcPr>
            <w:tcW w:w="0" w:type="auto"/>
            <w:tcBorders>
              <w:top w:val="single" w:sz="4" w:space="0" w:color="auto"/>
              <w:left w:val="single" w:sz="4" w:space="0" w:color="auto"/>
              <w:bottom w:val="single" w:sz="4" w:space="0" w:color="auto"/>
              <w:right w:val="single" w:sz="4" w:space="0" w:color="auto"/>
            </w:tcBorders>
          </w:tcPr>
          <w:p w:rsidR="005043F6" w:rsidRPr="005043F6" w:rsidRDefault="005043F6" w:rsidP="005043F6">
            <w:pPr>
              <w:keepNext/>
              <w:keepLines/>
              <w:rPr>
                <w:sz w:val="18"/>
                <w:lang w:val="en-US" w:eastAsia="ja-JP"/>
              </w:rPr>
            </w:pPr>
            <w:r w:rsidRPr="005043F6">
              <w:rPr>
                <w:sz w:val="18"/>
                <w:lang w:val="en-US" w:eastAsia="ja-JP"/>
              </w:rPr>
              <w:t>Maximum Number of Basic A-MSDU Subframes in A-MSDU</w:t>
            </w:r>
          </w:p>
        </w:tc>
        <w:tc>
          <w:tcPr>
            <w:tcW w:w="0" w:type="auto"/>
            <w:tcBorders>
              <w:top w:val="single" w:sz="4" w:space="0" w:color="auto"/>
              <w:left w:val="single" w:sz="4" w:space="0" w:color="auto"/>
              <w:bottom w:val="single" w:sz="4" w:space="0" w:color="auto"/>
              <w:right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Maximum Number of Short A-MSDU Subframes in A-MSDU</w:t>
            </w:r>
          </w:p>
        </w:tc>
      </w:tr>
      <w:tr w:rsidR="005043F6" w:rsidRPr="005043F6" w:rsidTr="004228FE">
        <w:trPr>
          <w:jc w:val="center"/>
        </w:trPr>
        <w:tc>
          <w:tcPr>
            <w:tcW w:w="0" w:type="auto"/>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Octets:</w:t>
            </w: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6</w:t>
            </w: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1</w:t>
            </w: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TBD</w:t>
            </w:r>
          </w:p>
        </w:tc>
        <w:tc>
          <w:tcPr>
            <w:tcW w:w="0" w:type="auto"/>
            <w:tcBorders>
              <w:top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TBD</w:t>
            </w:r>
          </w:p>
        </w:tc>
        <w:tc>
          <w:tcPr>
            <w:tcW w:w="0" w:type="auto"/>
            <w:tcBorders>
              <w:top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TBD</w:t>
            </w:r>
          </w:p>
        </w:tc>
        <w:tc>
          <w:tcPr>
            <w:tcW w:w="0" w:type="auto"/>
            <w:tcBorders>
              <w:top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1</w:t>
            </w:r>
          </w:p>
        </w:tc>
        <w:tc>
          <w:tcPr>
            <w:tcW w:w="0" w:type="auto"/>
            <w:tcBorders>
              <w:top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1</w:t>
            </w:r>
          </w:p>
        </w:tc>
      </w:tr>
    </w:tbl>
    <w:p w:rsidR="005043F6" w:rsidRPr="005043F6" w:rsidRDefault="005043F6" w:rsidP="005043F6">
      <w:pPr>
        <w:spacing w:after="240"/>
        <w:jc w:val="both"/>
        <w:rPr>
          <w:sz w:val="20"/>
          <w:lang w:val="en-US" w:eastAsia="ja-JP"/>
        </w:rPr>
      </w:pPr>
    </w:p>
    <w:p w:rsidR="005043F6" w:rsidRPr="005043F6" w:rsidRDefault="005043F6" w:rsidP="005043F6">
      <w:pPr>
        <w:keepLines/>
        <w:tabs>
          <w:tab w:val="left" w:pos="403"/>
          <w:tab w:val="left" w:pos="475"/>
          <w:tab w:val="left" w:pos="547"/>
        </w:tabs>
        <w:suppressAutoHyphens/>
        <w:spacing w:before="120" w:after="120"/>
        <w:jc w:val="center"/>
        <w:rPr>
          <w:rFonts w:ascii="Arial" w:hAnsi="Arial"/>
          <w:b/>
          <w:sz w:val="20"/>
          <w:lang w:val="en-US" w:eastAsia="ja-JP"/>
        </w:rPr>
      </w:pPr>
      <w:bookmarkStart w:id="1" w:name="_Ref469060121"/>
      <w:r w:rsidRPr="005043F6">
        <w:rPr>
          <w:rFonts w:ascii="Arial" w:hAnsi="Arial"/>
          <w:b/>
          <w:sz w:val="20"/>
          <w:lang w:val="en-US" w:eastAsia="ja-JP"/>
        </w:rPr>
        <w:t>—Core Capabilities sub-field format</w:t>
      </w:r>
      <w:bookmarkEnd w:id="1"/>
    </w:p>
    <w:p w:rsidR="005043F6" w:rsidRPr="005043F6" w:rsidRDefault="005043F6" w:rsidP="005043F6">
      <w:pPr>
        <w:spacing w:after="240"/>
        <w:jc w:val="both"/>
        <w:rPr>
          <w:sz w:val="20"/>
          <w:lang w:val="en-US" w:eastAsia="ja-JP"/>
        </w:rPr>
      </w:pPr>
    </w:p>
    <w:p w:rsidR="005043F6" w:rsidRPr="005043F6" w:rsidRDefault="005043F6" w:rsidP="005043F6">
      <w:pPr>
        <w:spacing w:after="240"/>
        <w:jc w:val="both"/>
        <w:rPr>
          <w:sz w:val="20"/>
          <w:lang w:val="en-US" w:eastAsia="ja-JP"/>
        </w:rPr>
      </w:pPr>
      <w:r w:rsidRPr="005043F6">
        <w:rPr>
          <w:sz w:val="20"/>
          <w:lang w:val="en-US" w:eastAsia="ja-JP"/>
        </w:rPr>
        <w:t>The AID field contains the AID assigned to the STA by the AP or PCP The AID field is reserved in Association Request, Re-association Request, and Probe Request frames and when used in an IBSS.</w:t>
      </w:r>
    </w:p>
    <w:p w:rsidR="005043F6" w:rsidRPr="005043F6" w:rsidRDefault="005043F6" w:rsidP="005043F6">
      <w:pPr>
        <w:spacing w:after="240"/>
        <w:jc w:val="both"/>
        <w:rPr>
          <w:sz w:val="20"/>
          <w:lang w:val="en-US" w:eastAsia="ja-JP"/>
        </w:rPr>
      </w:pPr>
      <w:r w:rsidRPr="005043F6">
        <w:rPr>
          <w:sz w:val="20"/>
          <w:lang w:val="en-US" w:eastAsia="ja-JP"/>
        </w:rPr>
        <w:t xml:space="preserve">The EDMG STA Core Capabilities field is shown in </w:t>
      </w:r>
      <w:r w:rsidRPr="005043F6">
        <w:rPr>
          <w:sz w:val="20"/>
          <w:lang w:val="en-US" w:eastAsia="ja-JP"/>
        </w:rPr>
        <w:fldChar w:fldCharType="begin"/>
      </w:r>
      <w:r w:rsidRPr="005043F6">
        <w:rPr>
          <w:sz w:val="20"/>
          <w:lang w:val="en-US" w:eastAsia="ja-JP"/>
        </w:rPr>
        <w:instrText xml:space="preserve"> REF _Ref469061607 \r \h </w:instrText>
      </w:r>
      <w:r w:rsidRPr="005043F6">
        <w:rPr>
          <w:sz w:val="20"/>
          <w:lang w:val="en-US" w:eastAsia="ja-JP"/>
        </w:rPr>
      </w:r>
      <w:r w:rsidRPr="005043F6">
        <w:rPr>
          <w:sz w:val="20"/>
          <w:lang w:val="en-US" w:eastAsia="ja-JP"/>
        </w:rPr>
        <w:fldChar w:fldCharType="separate"/>
      </w:r>
      <w:r w:rsidRPr="005043F6">
        <w:rPr>
          <w:sz w:val="20"/>
          <w:lang w:val="en-US" w:eastAsia="ja-JP"/>
        </w:rPr>
        <w:t>Figure 3</w:t>
      </w:r>
      <w:r w:rsidRPr="005043F6">
        <w:rPr>
          <w:sz w:val="20"/>
          <w:lang w:val="en-US" w:eastAsia="ja-JP"/>
        </w:rPr>
        <w:fldChar w:fldCharType="end"/>
      </w:r>
      <w:r w:rsidRPr="005043F6">
        <w:rPr>
          <w:sz w:val="20"/>
          <w:lang w:val="en-US" w:eastAsia="ja-JP"/>
        </w:rPr>
        <w:t>.</w:t>
      </w:r>
    </w:p>
    <w:tbl>
      <w:tblPr>
        <w:tblW w:w="0" w:type="auto"/>
        <w:jc w:val="center"/>
        <w:tblLook w:val="04A0" w:firstRow="1" w:lastRow="0" w:firstColumn="1" w:lastColumn="0" w:noHBand="0" w:noVBand="1"/>
      </w:tblPr>
      <w:tblGrid>
        <w:gridCol w:w="557"/>
        <w:gridCol w:w="1040"/>
        <w:gridCol w:w="1680"/>
        <w:gridCol w:w="1286"/>
        <w:gridCol w:w="1387"/>
        <w:gridCol w:w="1247"/>
        <w:gridCol w:w="1224"/>
        <w:gridCol w:w="1155"/>
      </w:tblGrid>
      <w:tr w:rsidR="005043F6" w:rsidRPr="005043F6" w:rsidTr="004228FE">
        <w:trPr>
          <w:jc w:val="center"/>
        </w:trPr>
        <w:tc>
          <w:tcPr>
            <w:tcW w:w="0" w:type="auto"/>
            <w:tcBorders>
              <w:right w:val="single" w:sz="4" w:space="0" w:color="auto"/>
            </w:tcBorders>
            <w:shd w:val="clear" w:color="auto" w:fill="auto"/>
          </w:tcPr>
          <w:p w:rsidR="005043F6" w:rsidRPr="005043F6" w:rsidRDefault="005043F6" w:rsidP="005043F6">
            <w:pPr>
              <w:keepNext/>
              <w:keepLines/>
              <w:jc w:val="center"/>
              <w:rPr>
                <w:sz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43F6" w:rsidRPr="005043F6" w:rsidRDefault="005043F6" w:rsidP="005043F6">
            <w:pPr>
              <w:keepNext/>
              <w:keepLines/>
              <w:rPr>
                <w:sz w:val="18"/>
                <w:lang w:val="en-US" w:eastAsia="ja-JP"/>
              </w:rPr>
            </w:pPr>
            <w:r w:rsidRPr="005043F6">
              <w:rPr>
                <w:sz w:val="18"/>
                <w:lang w:val="en-US" w:eastAsia="ja-JP"/>
              </w:rPr>
              <w:t xml:space="preserve"> Reverse Direction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Higher Layer Timer Synchronization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TPC</w:t>
            </w:r>
          </w:p>
        </w:tc>
        <w:tc>
          <w:tcPr>
            <w:tcW w:w="0" w:type="auto"/>
            <w:tcBorders>
              <w:top w:val="single" w:sz="4" w:space="0" w:color="auto"/>
              <w:left w:val="single" w:sz="4" w:space="0" w:color="auto"/>
              <w:bottom w:val="single" w:sz="4" w:space="0" w:color="auto"/>
              <w:right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SPSH and Interference Mitigation</w:t>
            </w:r>
          </w:p>
        </w:tc>
        <w:tc>
          <w:tcPr>
            <w:tcW w:w="0" w:type="auto"/>
            <w:tcBorders>
              <w:top w:val="single" w:sz="4" w:space="0" w:color="auto"/>
              <w:left w:val="single" w:sz="4" w:space="0" w:color="auto"/>
              <w:bottom w:val="single" w:sz="4" w:space="0" w:color="auto"/>
              <w:right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Number of RX DMG Antennas</w:t>
            </w:r>
          </w:p>
        </w:tc>
        <w:tc>
          <w:tcPr>
            <w:tcW w:w="0" w:type="auto"/>
            <w:tcBorders>
              <w:top w:val="single" w:sz="4" w:space="0" w:color="auto"/>
              <w:left w:val="single" w:sz="4" w:space="0" w:color="auto"/>
              <w:bottom w:val="single" w:sz="4" w:space="0" w:color="auto"/>
              <w:right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Fast Link Adaptation</w:t>
            </w:r>
          </w:p>
        </w:tc>
        <w:tc>
          <w:tcPr>
            <w:tcW w:w="0" w:type="auto"/>
            <w:tcBorders>
              <w:top w:val="single" w:sz="4" w:space="0" w:color="auto"/>
              <w:left w:val="single" w:sz="4" w:space="0" w:color="auto"/>
              <w:bottom w:val="single" w:sz="4" w:space="0" w:color="auto"/>
              <w:right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Total Number of Sectors</w:t>
            </w:r>
          </w:p>
        </w:tc>
      </w:tr>
      <w:tr w:rsidR="005043F6" w:rsidRPr="005043F6" w:rsidTr="004228FE">
        <w:trPr>
          <w:jc w:val="center"/>
        </w:trPr>
        <w:tc>
          <w:tcPr>
            <w:tcW w:w="0" w:type="auto"/>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Bits:</w:t>
            </w: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1</w:t>
            </w: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1</w:t>
            </w: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1</w:t>
            </w:r>
          </w:p>
        </w:tc>
        <w:tc>
          <w:tcPr>
            <w:tcW w:w="0" w:type="auto"/>
            <w:tcBorders>
              <w:top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1</w:t>
            </w:r>
          </w:p>
        </w:tc>
        <w:tc>
          <w:tcPr>
            <w:tcW w:w="0" w:type="auto"/>
            <w:tcBorders>
              <w:top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2</w:t>
            </w:r>
          </w:p>
        </w:tc>
        <w:tc>
          <w:tcPr>
            <w:tcW w:w="0" w:type="auto"/>
            <w:tcBorders>
              <w:top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1</w:t>
            </w:r>
          </w:p>
        </w:tc>
        <w:tc>
          <w:tcPr>
            <w:tcW w:w="0" w:type="auto"/>
            <w:tcBorders>
              <w:top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1</w:t>
            </w:r>
          </w:p>
        </w:tc>
      </w:tr>
      <w:tr w:rsidR="005043F6" w:rsidRPr="005043F6" w:rsidTr="004228FE">
        <w:trPr>
          <w:jc w:val="center"/>
        </w:trPr>
        <w:tc>
          <w:tcPr>
            <w:tcW w:w="0" w:type="auto"/>
            <w:shd w:val="clear" w:color="auto" w:fill="auto"/>
          </w:tcPr>
          <w:p w:rsidR="005043F6" w:rsidRPr="005043F6" w:rsidRDefault="005043F6" w:rsidP="005043F6">
            <w:pPr>
              <w:keepNext/>
              <w:keepLines/>
              <w:jc w:val="center"/>
              <w:rPr>
                <w:sz w:val="18"/>
                <w:lang w:val="en-US" w:eastAsia="ja-JP"/>
              </w:rPr>
            </w:pP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p>
        </w:tc>
        <w:tc>
          <w:tcPr>
            <w:tcW w:w="0" w:type="auto"/>
            <w:tcBorders>
              <w:top w:val="single" w:sz="4" w:space="0" w:color="auto"/>
            </w:tcBorders>
          </w:tcPr>
          <w:p w:rsidR="005043F6" w:rsidRPr="005043F6" w:rsidRDefault="005043F6" w:rsidP="005043F6">
            <w:pPr>
              <w:keepNext/>
              <w:keepLines/>
              <w:jc w:val="center"/>
              <w:rPr>
                <w:sz w:val="18"/>
                <w:lang w:val="en-US" w:eastAsia="ja-JP"/>
              </w:rPr>
            </w:pPr>
          </w:p>
        </w:tc>
        <w:tc>
          <w:tcPr>
            <w:tcW w:w="0" w:type="auto"/>
            <w:tcBorders>
              <w:top w:val="single" w:sz="4" w:space="0" w:color="auto"/>
            </w:tcBorders>
          </w:tcPr>
          <w:p w:rsidR="005043F6" w:rsidRPr="005043F6" w:rsidRDefault="005043F6" w:rsidP="005043F6">
            <w:pPr>
              <w:keepNext/>
              <w:keepLines/>
              <w:jc w:val="center"/>
              <w:rPr>
                <w:sz w:val="18"/>
                <w:lang w:val="en-US" w:eastAsia="ja-JP"/>
              </w:rPr>
            </w:pPr>
          </w:p>
        </w:tc>
        <w:tc>
          <w:tcPr>
            <w:tcW w:w="0" w:type="auto"/>
            <w:tcBorders>
              <w:top w:val="single" w:sz="4" w:space="0" w:color="auto"/>
            </w:tcBorders>
          </w:tcPr>
          <w:p w:rsidR="005043F6" w:rsidRPr="005043F6" w:rsidRDefault="005043F6" w:rsidP="005043F6">
            <w:pPr>
              <w:keepNext/>
              <w:keepLines/>
              <w:jc w:val="center"/>
              <w:rPr>
                <w:sz w:val="18"/>
                <w:lang w:val="en-US" w:eastAsia="ja-JP"/>
              </w:rPr>
            </w:pPr>
          </w:p>
        </w:tc>
        <w:tc>
          <w:tcPr>
            <w:tcW w:w="0" w:type="auto"/>
            <w:tcBorders>
              <w:top w:val="single" w:sz="4" w:space="0" w:color="auto"/>
            </w:tcBorders>
          </w:tcPr>
          <w:p w:rsidR="005043F6" w:rsidRPr="005043F6" w:rsidRDefault="005043F6" w:rsidP="005043F6">
            <w:pPr>
              <w:keepNext/>
              <w:keepLines/>
              <w:jc w:val="center"/>
              <w:rPr>
                <w:sz w:val="18"/>
                <w:lang w:val="en-US" w:eastAsia="ja-JP"/>
              </w:rPr>
            </w:pPr>
          </w:p>
        </w:tc>
      </w:tr>
      <w:tr w:rsidR="005043F6" w:rsidRPr="005043F6" w:rsidTr="004228FE">
        <w:trPr>
          <w:jc w:val="center"/>
        </w:trPr>
        <w:tc>
          <w:tcPr>
            <w:tcW w:w="0" w:type="auto"/>
            <w:tcBorders>
              <w:right w:val="single" w:sz="4" w:space="0" w:color="auto"/>
            </w:tcBorders>
            <w:shd w:val="clear" w:color="auto" w:fill="auto"/>
          </w:tcPr>
          <w:p w:rsidR="005043F6" w:rsidRPr="005043F6" w:rsidRDefault="005043F6" w:rsidP="005043F6">
            <w:pPr>
              <w:keepNext/>
              <w:keepLines/>
              <w:jc w:val="center"/>
              <w:rPr>
                <w:sz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RXSS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EDMG Antenna Reciprocity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A-MPDU Parameters</w:t>
            </w:r>
          </w:p>
        </w:tc>
        <w:tc>
          <w:tcPr>
            <w:tcW w:w="0" w:type="auto"/>
            <w:tcBorders>
              <w:top w:val="single" w:sz="4" w:space="0" w:color="auto"/>
              <w:left w:val="single" w:sz="4" w:space="0" w:color="auto"/>
              <w:bottom w:val="single" w:sz="4" w:space="0" w:color="auto"/>
              <w:right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BA with Flow Control</w:t>
            </w:r>
          </w:p>
        </w:tc>
        <w:tc>
          <w:tcPr>
            <w:tcW w:w="0" w:type="auto"/>
            <w:tcBorders>
              <w:top w:val="single" w:sz="4" w:space="0" w:color="auto"/>
              <w:left w:val="single" w:sz="4" w:space="0" w:color="auto"/>
              <w:bottom w:val="single" w:sz="4" w:space="0" w:color="auto"/>
              <w:right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Support MCS Set</w:t>
            </w:r>
          </w:p>
        </w:tc>
        <w:tc>
          <w:tcPr>
            <w:tcW w:w="0" w:type="auto"/>
            <w:tcBorders>
              <w:top w:val="single" w:sz="4" w:space="0" w:color="auto"/>
              <w:left w:val="single" w:sz="4" w:space="0" w:color="auto"/>
              <w:bottom w:val="single" w:sz="4" w:space="0" w:color="auto"/>
              <w:right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DTP Supported</w:t>
            </w:r>
          </w:p>
        </w:tc>
        <w:tc>
          <w:tcPr>
            <w:tcW w:w="0" w:type="auto"/>
            <w:tcBorders>
              <w:top w:val="single" w:sz="4" w:space="0" w:color="auto"/>
              <w:left w:val="single" w:sz="4" w:space="0" w:color="auto"/>
              <w:bottom w:val="single" w:sz="4" w:space="0" w:color="auto"/>
              <w:right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A-PPDU Supported</w:t>
            </w:r>
          </w:p>
        </w:tc>
      </w:tr>
      <w:tr w:rsidR="005043F6" w:rsidRPr="005043F6" w:rsidTr="004228FE">
        <w:trPr>
          <w:jc w:val="center"/>
        </w:trPr>
        <w:tc>
          <w:tcPr>
            <w:tcW w:w="0" w:type="auto"/>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Bits:</w:t>
            </w: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6</w:t>
            </w: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1</w:t>
            </w: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6</w:t>
            </w:r>
          </w:p>
        </w:tc>
        <w:tc>
          <w:tcPr>
            <w:tcW w:w="0" w:type="auto"/>
            <w:tcBorders>
              <w:top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1</w:t>
            </w:r>
          </w:p>
        </w:tc>
        <w:tc>
          <w:tcPr>
            <w:tcW w:w="0" w:type="auto"/>
            <w:tcBorders>
              <w:top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TBD</w:t>
            </w:r>
          </w:p>
        </w:tc>
        <w:tc>
          <w:tcPr>
            <w:tcW w:w="0" w:type="auto"/>
            <w:tcBorders>
              <w:top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1</w:t>
            </w:r>
          </w:p>
        </w:tc>
        <w:tc>
          <w:tcPr>
            <w:tcW w:w="0" w:type="auto"/>
            <w:tcBorders>
              <w:top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1</w:t>
            </w:r>
          </w:p>
        </w:tc>
      </w:tr>
      <w:tr w:rsidR="005043F6" w:rsidRPr="005043F6" w:rsidTr="004228FE">
        <w:trPr>
          <w:jc w:val="center"/>
        </w:trPr>
        <w:tc>
          <w:tcPr>
            <w:tcW w:w="0" w:type="auto"/>
            <w:shd w:val="clear" w:color="auto" w:fill="auto"/>
          </w:tcPr>
          <w:p w:rsidR="005043F6" w:rsidRPr="005043F6" w:rsidRDefault="005043F6" w:rsidP="005043F6">
            <w:pPr>
              <w:keepNext/>
              <w:keepLines/>
              <w:jc w:val="center"/>
              <w:rPr>
                <w:sz w:val="18"/>
                <w:lang w:val="en-US" w:eastAsia="ja-JP"/>
              </w:rPr>
            </w:pP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p>
        </w:tc>
        <w:tc>
          <w:tcPr>
            <w:tcW w:w="0" w:type="auto"/>
            <w:tcBorders>
              <w:top w:val="single" w:sz="4" w:space="0" w:color="auto"/>
            </w:tcBorders>
          </w:tcPr>
          <w:p w:rsidR="005043F6" w:rsidRPr="005043F6" w:rsidRDefault="005043F6" w:rsidP="005043F6">
            <w:pPr>
              <w:keepNext/>
              <w:keepLines/>
              <w:jc w:val="center"/>
              <w:rPr>
                <w:sz w:val="18"/>
                <w:lang w:val="en-US" w:eastAsia="ja-JP"/>
              </w:rPr>
            </w:pPr>
          </w:p>
        </w:tc>
        <w:tc>
          <w:tcPr>
            <w:tcW w:w="0" w:type="auto"/>
            <w:tcBorders>
              <w:top w:val="single" w:sz="4" w:space="0" w:color="auto"/>
            </w:tcBorders>
          </w:tcPr>
          <w:p w:rsidR="005043F6" w:rsidRPr="005043F6" w:rsidRDefault="005043F6" w:rsidP="005043F6">
            <w:pPr>
              <w:keepNext/>
              <w:keepLines/>
              <w:jc w:val="center"/>
              <w:rPr>
                <w:sz w:val="18"/>
                <w:lang w:val="en-US" w:eastAsia="ja-JP"/>
              </w:rPr>
            </w:pPr>
          </w:p>
        </w:tc>
        <w:tc>
          <w:tcPr>
            <w:tcW w:w="0" w:type="auto"/>
            <w:tcBorders>
              <w:top w:val="single" w:sz="4" w:space="0" w:color="auto"/>
            </w:tcBorders>
          </w:tcPr>
          <w:p w:rsidR="005043F6" w:rsidRPr="005043F6" w:rsidRDefault="005043F6" w:rsidP="005043F6">
            <w:pPr>
              <w:keepNext/>
              <w:keepLines/>
              <w:jc w:val="center"/>
              <w:rPr>
                <w:sz w:val="18"/>
                <w:lang w:val="en-US" w:eastAsia="ja-JP"/>
              </w:rPr>
            </w:pPr>
          </w:p>
        </w:tc>
        <w:tc>
          <w:tcPr>
            <w:tcW w:w="0" w:type="auto"/>
            <w:tcBorders>
              <w:top w:val="single" w:sz="4" w:space="0" w:color="auto"/>
            </w:tcBorders>
          </w:tcPr>
          <w:p w:rsidR="005043F6" w:rsidRPr="005043F6" w:rsidRDefault="005043F6" w:rsidP="005043F6">
            <w:pPr>
              <w:keepNext/>
              <w:keepLines/>
              <w:jc w:val="center"/>
              <w:rPr>
                <w:sz w:val="18"/>
                <w:lang w:val="en-US" w:eastAsia="ja-JP"/>
              </w:rPr>
            </w:pPr>
          </w:p>
        </w:tc>
      </w:tr>
      <w:tr w:rsidR="005043F6" w:rsidRPr="005043F6" w:rsidTr="004228FE">
        <w:trPr>
          <w:jc w:val="center"/>
        </w:trPr>
        <w:tc>
          <w:tcPr>
            <w:tcW w:w="0" w:type="auto"/>
            <w:tcBorders>
              <w:right w:val="single" w:sz="4" w:space="0" w:color="auto"/>
            </w:tcBorders>
            <w:shd w:val="clear" w:color="auto" w:fill="auto"/>
          </w:tcPr>
          <w:p w:rsidR="005043F6" w:rsidRPr="005043F6" w:rsidRDefault="005043F6" w:rsidP="005043F6">
            <w:pPr>
              <w:keepNext/>
              <w:keepLines/>
              <w:jc w:val="center"/>
              <w:rPr>
                <w:sz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Heartbeat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Supports Other_AID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Antenna Pattern Reciprocity</w:t>
            </w:r>
          </w:p>
        </w:tc>
        <w:tc>
          <w:tcPr>
            <w:tcW w:w="0" w:type="auto"/>
            <w:tcBorders>
              <w:top w:val="single" w:sz="4" w:space="0" w:color="auto"/>
              <w:left w:val="single" w:sz="4" w:space="0" w:color="auto"/>
              <w:bottom w:val="single" w:sz="4" w:space="0" w:color="auto"/>
              <w:right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Heartbeat Elapsed Indictation</w:t>
            </w:r>
          </w:p>
        </w:tc>
        <w:tc>
          <w:tcPr>
            <w:tcW w:w="0" w:type="auto"/>
            <w:tcBorders>
              <w:top w:val="single" w:sz="4" w:space="0" w:color="auto"/>
              <w:left w:val="single" w:sz="4" w:space="0" w:color="auto"/>
              <w:bottom w:val="single" w:sz="4" w:space="0" w:color="auto"/>
              <w:right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Grant ACK Supported</w:t>
            </w:r>
          </w:p>
        </w:tc>
        <w:tc>
          <w:tcPr>
            <w:tcW w:w="0" w:type="auto"/>
            <w:tcBorders>
              <w:top w:val="single" w:sz="4" w:space="0" w:color="auto"/>
              <w:left w:val="single" w:sz="4" w:space="0" w:color="auto"/>
              <w:bottom w:val="single" w:sz="4" w:space="0" w:color="auto"/>
              <w:right w:val="single" w:sz="4" w:space="0" w:color="auto"/>
            </w:tcBorders>
          </w:tcPr>
          <w:p w:rsidR="005043F6" w:rsidRPr="005043F6" w:rsidRDefault="005043F6" w:rsidP="005043F6">
            <w:pPr>
              <w:keepNext/>
              <w:keepLines/>
              <w:rPr>
                <w:sz w:val="18"/>
                <w:lang w:val="en-US" w:eastAsia="ja-JP"/>
              </w:rPr>
            </w:pPr>
            <w:r w:rsidRPr="005043F6">
              <w:rPr>
                <w:sz w:val="18"/>
                <w:lang w:val="en-US" w:eastAsia="ja-JP"/>
              </w:rPr>
              <w:t>RXSS TX Rate Supported</w:t>
            </w:r>
          </w:p>
        </w:tc>
        <w:tc>
          <w:tcPr>
            <w:tcW w:w="0" w:type="auto"/>
            <w:tcBorders>
              <w:top w:val="single" w:sz="4" w:space="0" w:color="auto"/>
              <w:left w:val="single" w:sz="4" w:space="0" w:color="auto"/>
              <w:bottom w:val="single" w:sz="4" w:space="0" w:color="auto"/>
              <w:right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Reserved</w:t>
            </w:r>
          </w:p>
        </w:tc>
      </w:tr>
      <w:tr w:rsidR="005043F6" w:rsidRPr="005043F6" w:rsidTr="004228FE">
        <w:trPr>
          <w:jc w:val="center"/>
        </w:trPr>
        <w:tc>
          <w:tcPr>
            <w:tcW w:w="0" w:type="auto"/>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Bits:</w:t>
            </w: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1</w:t>
            </w: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1</w:t>
            </w: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1</w:t>
            </w:r>
          </w:p>
        </w:tc>
        <w:tc>
          <w:tcPr>
            <w:tcW w:w="0" w:type="auto"/>
            <w:tcBorders>
              <w:top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3</w:t>
            </w:r>
          </w:p>
        </w:tc>
        <w:tc>
          <w:tcPr>
            <w:tcW w:w="0" w:type="auto"/>
            <w:tcBorders>
              <w:top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1</w:t>
            </w:r>
          </w:p>
        </w:tc>
        <w:tc>
          <w:tcPr>
            <w:tcW w:w="0" w:type="auto"/>
            <w:tcBorders>
              <w:top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1</w:t>
            </w:r>
          </w:p>
        </w:tc>
        <w:tc>
          <w:tcPr>
            <w:tcW w:w="0" w:type="auto"/>
            <w:tcBorders>
              <w:top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TBD</w:t>
            </w:r>
          </w:p>
        </w:tc>
      </w:tr>
    </w:tbl>
    <w:p w:rsidR="005043F6" w:rsidRPr="005043F6" w:rsidRDefault="005043F6" w:rsidP="005043F6">
      <w:pPr>
        <w:keepNext/>
        <w:keepLines/>
        <w:spacing w:before="240"/>
        <w:jc w:val="center"/>
        <w:rPr>
          <w:sz w:val="20"/>
          <w:lang w:val="en-US" w:eastAsia="ja-JP"/>
        </w:rPr>
      </w:pPr>
    </w:p>
    <w:p w:rsidR="005043F6" w:rsidRPr="005043F6" w:rsidRDefault="005043F6" w:rsidP="005043F6">
      <w:pPr>
        <w:keepLines/>
        <w:tabs>
          <w:tab w:val="left" w:pos="403"/>
          <w:tab w:val="left" w:pos="475"/>
          <w:tab w:val="left" w:pos="547"/>
        </w:tabs>
        <w:suppressAutoHyphens/>
        <w:spacing w:before="120" w:after="120"/>
        <w:jc w:val="center"/>
        <w:rPr>
          <w:rFonts w:ascii="Arial" w:hAnsi="Arial"/>
          <w:b/>
          <w:sz w:val="20"/>
          <w:lang w:val="en-US" w:eastAsia="ja-JP"/>
        </w:rPr>
      </w:pPr>
      <w:bookmarkStart w:id="2" w:name="_Ref469061607"/>
      <w:r w:rsidRPr="005043F6">
        <w:rPr>
          <w:rFonts w:ascii="Arial" w:hAnsi="Arial"/>
          <w:b/>
          <w:sz w:val="20"/>
          <w:lang w:val="en-US" w:eastAsia="ja-JP"/>
        </w:rPr>
        <w:t>—EDMG STA Core Capabilities field format</w:t>
      </w:r>
      <w:bookmarkEnd w:id="2"/>
    </w:p>
    <w:p w:rsidR="005043F6" w:rsidRPr="005043F6" w:rsidRDefault="005043F6" w:rsidP="005043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rPr>
      </w:pPr>
      <w:r w:rsidRPr="005043F6">
        <w:rPr>
          <w:color w:val="000000"/>
          <w:sz w:val="20"/>
          <w:lang w:val="en-US"/>
        </w:rPr>
        <w:t xml:space="preserve">The Reverse Direction </w:t>
      </w:r>
      <w:r w:rsidRPr="005043F6">
        <w:rPr>
          <w:vanish/>
          <w:color w:val="000000"/>
          <w:sz w:val="20"/>
          <w:lang w:val="en-US"/>
        </w:rPr>
        <w:t>(#3097)</w:t>
      </w:r>
      <w:r w:rsidRPr="005043F6">
        <w:rPr>
          <w:color w:val="000000"/>
          <w:sz w:val="20"/>
          <w:lang w:val="en-US"/>
        </w:rPr>
        <w:t>subfield is set to 1 if the STA supports RD as defined in 10.28 (Reverse direction protocol) and is set to 0 otherwise.</w:t>
      </w:r>
    </w:p>
    <w:p w:rsidR="005043F6" w:rsidRPr="005043F6" w:rsidRDefault="005043F6" w:rsidP="005043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rPr>
      </w:pPr>
      <w:r w:rsidRPr="005043F6">
        <w:rPr>
          <w:color w:val="000000"/>
          <w:sz w:val="20"/>
          <w:lang w:val="en-US"/>
        </w:rPr>
        <w:t xml:space="preserve">The Higher Layer Timer Synchronization </w:t>
      </w:r>
      <w:r w:rsidRPr="005043F6">
        <w:rPr>
          <w:vanish/>
          <w:color w:val="000000"/>
          <w:sz w:val="20"/>
          <w:lang w:val="en-US"/>
        </w:rPr>
        <w:t>(#3097)</w:t>
      </w:r>
      <w:r w:rsidRPr="005043F6">
        <w:rPr>
          <w:color w:val="000000"/>
          <w:sz w:val="20"/>
          <w:lang w:val="en-US"/>
        </w:rPr>
        <w:t xml:space="preserve">subfield is set to 1 if the STA supports Higher Layer Timer Synchronization as defined in 11.6 (Higher layer timer synchronization) </w:t>
      </w:r>
      <w:r w:rsidRPr="005043F6">
        <w:rPr>
          <w:vanish/>
          <w:color w:val="000000"/>
          <w:sz w:val="20"/>
          <w:lang w:val="en-US"/>
        </w:rPr>
        <w:t>(#3334)</w:t>
      </w:r>
      <w:r w:rsidRPr="005043F6">
        <w:rPr>
          <w:color w:val="000000"/>
          <w:sz w:val="20"/>
          <w:lang w:val="en-US"/>
        </w:rPr>
        <w:t xml:space="preserve">and is set to 0 otherwise. </w:t>
      </w:r>
    </w:p>
    <w:p w:rsidR="005043F6" w:rsidRPr="005043F6" w:rsidRDefault="005043F6" w:rsidP="005043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rPr>
      </w:pPr>
      <w:r w:rsidRPr="005043F6">
        <w:rPr>
          <w:color w:val="000000"/>
          <w:sz w:val="20"/>
          <w:lang w:val="en-US"/>
        </w:rPr>
        <w:t xml:space="preserve">The TPC </w:t>
      </w:r>
      <w:r w:rsidRPr="005043F6">
        <w:rPr>
          <w:vanish/>
          <w:color w:val="000000"/>
          <w:sz w:val="20"/>
          <w:lang w:val="en-US"/>
        </w:rPr>
        <w:t>(#3097)</w:t>
      </w:r>
      <w:r w:rsidRPr="005043F6">
        <w:rPr>
          <w:color w:val="000000"/>
          <w:sz w:val="20"/>
          <w:lang w:val="en-US"/>
        </w:rPr>
        <w:t>subfield is set to 1 if the STA supports the TPC as defined in 11.8 (TPC procedures) and is set to 0 otherwise.</w:t>
      </w:r>
    </w:p>
    <w:p w:rsidR="005043F6" w:rsidRPr="005043F6" w:rsidRDefault="005043F6" w:rsidP="005043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rPr>
      </w:pPr>
      <w:r w:rsidRPr="005043F6">
        <w:rPr>
          <w:color w:val="000000"/>
          <w:sz w:val="20"/>
          <w:lang w:val="en-US"/>
        </w:rPr>
        <w:t xml:space="preserve">The spatial sharing (SPSH) and Interference Mitigation </w:t>
      </w:r>
      <w:r w:rsidRPr="005043F6">
        <w:rPr>
          <w:vanish/>
          <w:color w:val="000000"/>
          <w:sz w:val="20"/>
          <w:lang w:val="en-US"/>
        </w:rPr>
        <w:t>(#3097)</w:t>
      </w:r>
      <w:r w:rsidRPr="005043F6">
        <w:rPr>
          <w:color w:val="000000"/>
          <w:sz w:val="20"/>
          <w:lang w:val="en-US"/>
        </w:rPr>
        <w:t xml:space="preserve">subfield is set to 1 if the STA is capable of performing the function of SPSH and Interference Mitigation and if dot11RadioMeasurementActivated is true and is set to 0 otherwise (see 11.32 (Spatial sharing and interference mitigation for DMG STAs)). </w:t>
      </w:r>
    </w:p>
    <w:p w:rsidR="005043F6" w:rsidRPr="005043F6" w:rsidRDefault="005043F6" w:rsidP="005043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rPr>
      </w:pPr>
      <w:r w:rsidRPr="005043F6">
        <w:rPr>
          <w:color w:val="000000"/>
          <w:sz w:val="20"/>
          <w:lang w:val="en-US"/>
        </w:rPr>
        <w:t xml:space="preserve">The Number of RX DMG Antennas </w:t>
      </w:r>
      <w:r w:rsidRPr="005043F6">
        <w:rPr>
          <w:vanish/>
          <w:color w:val="000000"/>
          <w:sz w:val="20"/>
          <w:lang w:val="en-US"/>
        </w:rPr>
        <w:t>(#3097)</w:t>
      </w:r>
      <w:r w:rsidRPr="005043F6">
        <w:rPr>
          <w:color w:val="000000"/>
          <w:sz w:val="20"/>
          <w:lang w:val="en-US"/>
        </w:rPr>
        <w:t xml:space="preserve">subfield indicates the total number of receive DMG antennas of the STA. The value of this </w:t>
      </w:r>
      <w:r w:rsidRPr="005043F6">
        <w:rPr>
          <w:vanish/>
          <w:color w:val="000000"/>
          <w:sz w:val="20"/>
          <w:lang w:val="en-US"/>
        </w:rPr>
        <w:t>(#3097)</w:t>
      </w:r>
      <w:r w:rsidRPr="005043F6">
        <w:rPr>
          <w:color w:val="000000"/>
          <w:sz w:val="20"/>
          <w:lang w:val="en-US"/>
        </w:rPr>
        <w:t xml:space="preserve">subfield is in the range of 1 to 4, with the value being equal to the bit representation plus 1. </w:t>
      </w:r>
    </w:p>
    <w:p w:rsidR="005043F6" w:rsidRPr="005043F6" w:rsidRDefault="005043F6" w:rsidP="005043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rPr>
      </w:pPr>
      <w:r w:rsidRPr="005043F6">
        <w:rPr>
          <w:color w:val="000000"/>
          <w:sz w:val="20"/>
          <w:lang w:val="en-US"/>
        </w:rPr>
        <w:t xml:space="preserve">The Fast Link Adaptation </w:t>
      </w:r>
      <w:r w:rsidRPr="005043F6">
        <w:rPr>
          <w:vanish/>
          <w:color w:val="000000"/>
          <w:sz w:val="20"/>
          <w:lang w:val="en-US"/>
        </w:rPr>
        <w:t>(#3097)</w:t>
      </w:r>
      <w:r w:rsidRPr="005043F6">
        <w:rPr>
          <w:color w:val="000000"/>
          <w:sz w:val="20"/>
          <w:lang w:val="en-US"/>
        </w:rPr>
        <w:t>subfield is set to 1 to indicate that the STA supports the fast link adaptation procedure described in 10.39.3 (Fast link adaptation). Otherwise, it is set to 0.</w:t>
      </w:r>
    </w:p>
    <w:p w:rsidR="005043F6" w:rsidRPr="005043F6" w:rsidRDefault="005043F6" w:rsidP="005043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rPr>
      </w:pPr>
      <w:r w:rsidRPr="005043F6">
        <w:rPr>
          <w:color w:val="000000"/>
          <w:sz w:val="20"/>
          <w:lang w:val="en-US"/>
        </w:rPr>
        <w:t xml:space="preserve">The Total Number of Sectors </w:t>
      </w:r>
      <w:r w:rsidRPr="005043F6">
        <w:rPr>
          <w:vanish/>
          <w:color w:val="000000"/>
          <w:sz w:val="20"/>
          <w:lang w:val="en-US"/>
        </w:rPr>
        <w:t>(#3097)</w:t>
      </w:r>
      <w:r w:rsidRPr="005043F6">
        <w:rPr>
          <w:color w:val="000000"/>
          <w:sz w:val="20"/>
          <w:lang w:val="en-US"/>
        </w:rPr>
        <w:t>subfield indicates the total number of transmit sectors the STA uses in a transmit sector sweep combined over all DMG antennas, including any LBIFS required for DMG antenna switching (see 10.38 (DMG beamforming)).</w:t>
      </w:r>
      <w:r w:rsidRPr="005043F6">
        <w:rPr>
          <w:vanish/>
          <w:color w:val="000000"/>
          <w:sz w:val="20"/>
          <w:lang w:val="en-US"/>
        </w:rPr>
        <w:t>(M34)</w:t>
      </w:r>
      <w:r w:rsidRPr="005043F6">
        <w:rPr>
          <w:color w:val="000000"/>
          <w:sz w:val="20"/>
          <w:lang w:val="en-US"/>
        </w:rPr>
        <w:t xml:space="preserve"> The value of this </w:t>
      </w:r>
      <w:r w:rsidRPr="005043F6">
        <w:rPr>
          <w:vanish/>
          <w:color w:val="000000"/>
          <w:sz w:val="20"/>
          <w:lang w:val="en-US"/>
        </w:rPr>
        <w:t>(#3097)</w:t>
      </w:r>
      <w:r w:rsidRPr="005043F6">
        <w:rPr>
          <w:color w:val="000000"/>
          <w:sz w:val="20"/>
          <w:lang w:val="en-US"/>
        </w:rPr>
        <w:t>subfield is in the range of 1 to 128, with the value being equal to the bit representation plus 1.</w:t>
      </w:r>
    </w:p>
    <w:p w:rsidR="005043F6" w:rsidRPr="005043F6" w:rsidRDefault="005043F6" w:rsidP="005043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rPr>
      </w:pPr>
      <w:r w:rsidRPr="005043F6">
        <w:rPr>
          <w:color w:val="000000"/>
          <w:sz w:val="20"/>
          <w:lang w:val="en-US"/>
        </w:rPr>
        <w:t xml:space="preserve">The value represented by the RXSS Length </w:t>
      </w:r>
      <w:r w:rsidRPr="005043F6">
        <w:rPr>
          <w:vanish/>
          <w:color w:val="000000"/>
          <w:sz w:val="20"/>
          <w:lang w:val="en-US"/>
        </w:rPr>
        <w:t>(#3097)</w:t>
      </w:r>
      <w:r w:rsidRPr="005043F6">
        <w:rPr>
          <w:color w:val="000000"/>
          <w:sz w:val="20"/>
          <w:lang w:val="en-US"/>
        </w:rPr>
        <w:t>subfield specifies the total number of receive sectors combined over all receive DMG antennas of the STA, including any LBIFS required for DMG antenna switching (see 10.38 (DMG beamforming)).</w:t>
      </w:r>
      <w:r w:rsidRPr="005043F6">
        <w:rPr>
          <w:vanish/>
          <w:color w:val="000000"/>
          <w:sz w:val="20"/>
          <w:lang w:val="en-US"/>
        </w:rPr>
        <w:t>(M34)(#7363)</w:t>
      </w:r>
      <w:r w:rsidRPr="005043F6">
        <w:rPr>
          <w:color w:val="000000"/>
          <w:sz w:val="20"/>
          <w:lang w:val="en-US"/>
        </w:rPr>
        <w:t xml:space="preserve"> The value represented by this </w:t>
      </w:r>
      <w:r w:rsidRPr="005043F6">
        <w:rPr>
          <w:vanish/>
          <w:color w:val="000000"/>
          <w:sz w:val="20"/>
          <w:lang w:val="en-US"/>
        </w:rPr>
        <w:t>(#3097)</w:t>
      </w:r>
      <w:r w:rsidRPr="005043F6">
        <w:rPr>
          <w:color w:val="000000"/>
          <w:sz w:val="20"/>
          <w:lang w:val="en-US"/>
        </w:rPr>
        <w:t>subfield is in the range of 2 to 128 and is given by (RXSS Length+1)×2.</w:t>
      </w:r>
      <w:r w:rsidRPr="005043F6">
        <w:rPr>
          <w:vanish/>
          <w:color w:val="000000"/>
          <w:sz w:val="20"/>
          <w:lang w:val="en-US"/>
        </w:rPr>
        <w:t>(M34)</w:t>
      </w:r>
    </w:p>
    <w:p w:rsidR="005043F6" w:rsidRPr="005043F6" w:rsidRDefault="005043F6" w:rsidP="005043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rPr>
      </w:pPr>
      <w:r w:rsidRPr="005043F6">
        <w:rPr>
          <w:color w:val="000000"/>
          <w:sz w:val="20"/>
          <w:lang w:val="en-US"/>
        </w:rPr>
        <w:t xml:space="preserve">The DMG Antenna Reciprocity </w:t>
      </w:r>
      <w:r w:rsidRPr="005043F6">
        <w:rPr>
          <w:vanish/>
          <w:color w:val="000000"/>
          <w:sz w:val="20"/>
          <w:lang w:val="en-US"/>
        </w:rPr>
        <w:t>(#3097)</w:t>
      </w:r>
      <w:r w:rsidRPr="005043F6">
        <w:rPr>
          <w:color w:val="000000"/>
          <w:sz w:val="20"/>
          <w:lang w:val="en-US"/>
        </w:rPr>
        <w:t xml:space="preserve">subfield is set to 1 to indicate that the best transmit DMG antenna of the STA is the same as the best receive DMG antenna of the STA and vice versa. Otherwise, this </w:t>
      </w:r>
      <w:r w:rsidRPr="005043F6">
        <w:rPr>
          <w:vanish/>
          <w:color w:val="000000"/>
          <w:sz w:val="20"/>
          <w:lang w:val="en-US"/>
        </w:rPr>
        <w:t>(#3097)</w:t>
      </w:r>
      <w:r w:rsidRPr="005043F6">
        <w:rPr>
          <w:color w:val="000000"/>
          <w:sz w:val="20"/>
          <w:lang w:val="en-US"/>
        </w:rPr>
        <w:t xml:space="preserve">subfield is set to 0. </w:t>
      </w:r>
    </w:p>
    <w:p w:rsidR="005043F6" w:rsidRPr="005043F6" w:rsidRDefault="005043F6" w:rsidP="005043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rPr>
      </w:pPr>
      <w:r w:rsidRPr="005043F6">
        <w:rPr>
          <w:color w:val="000000"/>
          <w:sz w:val="20"/>
          <w:lang w:val="en-US"/>
        </w:rPr>
        <w:t>The A</w:t>
      </w:r>
      <w:r w:rsidRPr="005043F6">
        <w:rPr>
          <w:color w:val="000000"/>
          <w:sz w:val="20"/>
          <w:lang w:val="en-US"/>
        </w:rPr>
        <w:noBreakHyphen/>
        <w:t xml:space="preserve">MPDU Parameters </w:t>
      </w:r>
      <w:r w:rsidRPr="005043F6">
        <w:rPr>
          <w:vanish/>
          <w:color w:val="000000"/>
          <w:sz w:val="20"/>
          <w:lang w:val="en-US"/>
        </w:rPr>
        <w:t>(#3097)</w:t>
      </w:r>
      <w:r w:rsidRPr="005043F6">
        <w:rPr>
          <w:color w:val="000000"/>
          <w:sz w:val="20"/>
          <w:lang w:val="en-US"/>
        </w:rPr>
        <w:t xml:space="preserve">subfield is shown in </w:t>
      </w:r>
      <w:r w:rsidRPr="005043F6">
        <w:rPr>
          <w:color w:val="000000"/>
          <w:sz w:val="20"/>
          <w:lang w:val="en-US"/>
        </w:rPr>
        <w:fldChar w:fldCharType="begin"/>
      </w:r>
      <w:r w:rsidRPr="005043F6">
        <w:rPr>
          <w:color w:val="000000"/>
          <w:sz w:val="20"/>
          <w:lang w:val="en-US"/>
        </w:rPr>
        <w:instrText xml:space="preserve"> REF  RTF466967385f34303170 \h</w:instrText>
      </w:r>
      <w:r w:rsidRPr="005043F6">
        <w:rPr>
          <w:color w:val="000000"/>
          <w:sz w:val="20"/>
          <w:lang w:val="en-US"/>
        </w:rPr>
      </w:r>
      <w:r w:rsidRPr="005043F6">
        <w:rPr>
          <w:color w:val="000000"/>
          <w:sz w:val="20"/>
          <w:lang w:val="en-US"/>
        </w:rPr>
        <w:fldChar w:fldCharType="separate"/>
      </w:r>
      <w:r w:rsidRPr="005043F6">
        <w:rPr>
          <w:color w:val="000000"/>
          <w:sz w:val="20"/>
          <w:lang w:val="en-US"/>
        </w:rPr>
        <w:t>Figure 9-505 (A-MPDU parameters subfield format)</w:t>
      </w:r>
      <w:r w:rsidRPr="005043F6">
        <w:rPr>
          <w:color w:val="000000"/>
          <w:sz w:val="20"/>
          <w:lang w:val="en-US"/>
        </w:rPr>
        <w:fldChar w:fldCharType="end"/>
      </w:r>
      <w:r w:rsidRPr="005043F6">
        <w:rPr>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40"/>
        <w:gridCol w:w="2400"/>
        <w:gridCol w:w="2400"/>
      </w:tblGrid>
      <w:tr w:rsidR="005043F6" w:rsidRPr="005043F6" w:rsidTr="004228FE">
        <w:trPr>
          <w:trHeight w:val="400"/>
          <w:jc w:val="center"/>
        </w:trPr>
        <w:tc>
          <w:tcPr>
            <w:tcW w:w="640" w:type="dxa"/>
            <w:tcMar>
              <w:top w:w="160" w:type="dxa"/>
              <w:left w:w="120" w:type="dxa"/>
              <w:bottom w:w="100" w:type="dxa"/>
              <w:right w:w="120" w:type="dxa"/>
            </w:tcMar>
            <w:vAlign w:val="center"/>
          </w:tcPr>
          <w:p w:rsidR="005043F6" w:rsidRPr="005043F6" w:rsidRDefault="005043F6" w:rsidP="005043F6">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p>
        </w:tc>
        <w:tc>
          <w:tcPr>
            <w:tcW w:w="2400" w:type="dxa"/>
            <w:tcBorders>
              <w:top w:val="nil"/>
              <w:left w:val="nil"/>
              <w:bottom w:val="single" w:sz="12" w:space="0" w:color="000000"/>
              <w:right w:val="nil"/>
            </w:tcBorders>
            <w:tcMar>
              <w:top w:w="160" w:type="dxa"/>
              <w:left w:w="120" w:type="dxa"/>
              <w:bottom w:w="100" w:type="dxa"/>
              <w:right w:w="120" w:type="dxa"/>
            </w:tcMar>
            <w:vAlign w:val="center"/>
            <w:hideMark/>
          </w:tcPr>
          <w:p w:rsidR="005043F6" w:rsidRPr="005043F6" w:rsidRDefault="005043F6" w:rsidP="005043F6">
            <w:pPr>
              <w:widowControl w:val="0"/>
              <w:tabs>
                <w:tab w:val="right" w:pos="2160"/>
              </w:tabs>
              <w:suppressAutoHyphens/>
              <w:autoSpaceDE w:val="0"/>
              <w:autoSpaceDN w:val="0"/>
              <w:adjustRightInd w:val="0"/>
              <w:spacing w:line="160" w:lineRule="atLeast"/>
              <w:rPr>
                <w:rFonts w:ascii="Arial" w:hAnsi="Arial" w:cs="Arial"/>
                <w:color w:val="000000"/>
                <w:w w:val="1"/>
                <w:sz w:val="16"/>
                <w:szCs w:val="16"/>
                <w:lang w:val="en-US"/>
              </w:rPr>
            </w:pPr>
            <w:r w:rsidRPr="005043F6">
              <w:rPr>
                <w:rFonts w:ascii="Arial" w:hAnsi="Arial" w:cs="Arial"/>
                <w:color w:val="000000"/>
                <w:sz w:val="16"/>
                <w:szCs w:val="16"/>
                <w:lang w:val="en-US"/>
              </w:rPr>
              <w:t>B0</w:t>
            </w:r>
            <w:r w:rsidRPr="005043F6">
              <w:rPr>
                <w:rFonts w:ascii="Arial" w:hAnsi="Arial" w:cs="Arial"/>
                <w:color w:val="000000"/>
                <w:sz w:val="16"/>
                <w:szCs w:val="16"/>
                <w:lang w:val="en-US"/>
              </w:rPr>
              <w:tab/>
              <w:t>B2</w:t>
            </w:r>
          </w:p>
        </w:tc>
        <w:tc>
          <w:tcPr>
            <w:tcW w:w="2400" w:type="dxa"/>
            <w:tcBorders>
              <w:top w:val="nil"/>
              <w:left w:val="nil"/>
              <w:bottom w:val="single" w:sz="12" w:space="0" w:color="000000"/>
              <w:right w:val="nil"/>
            </w:tcBorders>
            <w:tcMar>
              <w:top w:w="160" w:type="dxa"/>
              <w:left w:w="120" w:type="dxa"/>
              <w:bottom w:w="100" w:type="dxa"/>
              <w:right w:w="120" w:type="dxa"/>
            </w:tcMar>
            <w:vAlign w:val="center"/>
            <w:hideMark/>
          </w:tcPr>
          <w:p w:rsidR="005043F6" w:rsidRPr="005043F6" w:rsidRDefault="005043F6" w:rsidP="005043F6">
            <w:pPr>
              <w:widowControl w:val="0"/>
              <w:tabs>
                <w:tab w:val="right" w:pos="2160"/>
              </w:tabs>
              <w:suppressAutoHyphens/>
              <w:autoSpaceDE w:val="0"/>
              <w:autoSpaceDN w:val="0"/>
              <w:adjustRightInd w:val="0"/>
              <w:spacing w:line="160" w:lineRule="atLeast"/>
              <w:rPr>
                <w:rFonts w:ascii="Arial" w:hAnsi="Arial" w:cs="Arial"/>
                <w:color w:val="000000"/>
                <w:w w:val="1"/>
                <w:sz w:val="16"/>
                <w:szCs w:val="16"/>
                <w:lang w:val="en-US"/>
              </w:rPr>
            </w:pPr>
            <w:r w:rsidRPr="005043F6">
              <w:rPr>
                <w:rFonts w:ascii="Arial" w:hAnsi="Arial" w:cs="Arial"/>
                <w:color w:val="000000"/>
                <w:sz w:val="16"/>
                <w:szCs w:val="16"/>
                <w:lang w:val="en-US"/>
              </w:rPr>
              <w:t>B3</w:t>
            </w:r>
            <w:r w:rsidRPr="005043F6">
              <w:rPr>
                <w:rFonts w:ascii="Arial" w:hAnsi="Arial" w:cs="Arial"/>
                <w:color w:val="000000"/>
                <w:sz w:val="16"/>
                <w:szCs w:val="16"/>
                <w:lang w:val="en-US"/>
              </w:rPr>
              <w:tab/>
              <w:t>B5</w:t>
            </w:r>
          </w:p>
        </w:tc>
      </w:tr>
      <w:tr w:rsidR="005043F6" w:rsidRPr="005043F6" w:rsidTr="004228FE">
        <w:trPr>
          <w:trHeight w:val="560"/>
          <w:jc w:val="center"/>
        </w:trPr>
        <w:tc>
          <w:tcPr>
            <w:tcW w:w="640" w:type="dxa"/>
            <w:tcMar>
              <w:top w:w="160" w:type="dxa"/>
              <w:left w:w="120" w:type="dxa"/>
              <w:bottom w:w="100" w:type="dxa"/>
              <w:right w:w="120" w:type="dxa"/>
            </w:tcMar>
            <w:vAlign w:val="center"/>
          </w:tcPr>
          <w:p w:rsidR="005043F6" w:rsidRPr="005043F6" w:rsidRDefault="005043F6" w:rsidP="005043F6">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p>
        </w:tc>
        <w:tc>
          <w:tcPr>
            <w:tcW w:w="24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5043F6" w:rsidRPr="005043F6" w:rsidRDefault="005043F6" w:rsidP="005043F6">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5043F6">
              <w:rPr>
                <w:rFonts w:ascii="Arial" w:hAnsi="Arial" w:cs="Arial"/>
                <w:color w:val="000000"/>
                <w:sz w:val="16"/>
                <w:szCs w:val="16"/>
                <w:lang w:val="en-US"/>
              </w:rPr>
              <w:t xml:space="preserve">Maximum A-MPDU </w:t>
            </w:r>
            <w:r w:rsidRPr="005043F6">
              <w:rPr>
                <w:rFonts w:ascii="Arial" w:hAnsi="Arial" w:cs="Arial"/>
                <w:color w:val="000000"/>
                <w:sz w:val="16"/>
                <w:szCs w:val="16"/>
                <w:lang w:val="en-US"/>
              </w:rPr>
              <w:br/>
              <w:t>Length Exponent</w:t>
            </w:r>
          </w:p>
        </w:tc>
        <w:tc>
          <w:tcPr>
            <w:tcW w:w="24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5043F6" w:rsidRPr="005043F6" w:rsidRDefault="005043F6" w:rsidP="005043F6">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5043F6">
              <w:rPr>
                <w:rFonts w:ascii="Arial" w:hAnsi="Arial" w:cs="Arial"/>
                <w:color w:val="000000"/>
                <w:sz w:val="16"/>
                <w:szCs w:val="16"/>
                <w:lang w:val="en-US"/>
              </w:rPr>
              <w:t xml:space="preserve">Minimum MPDU </w:t>
            </w:r>
            <w:r w:rsidRPr="005043F6">
              <w:rPr>
                <w:rFonts w:ascii="Arial" w:hAnsi="Arial" w:cs="Arial"/>
                <w:color w:val="000000"/>
                <w:sz w:val="16"/>
                <w:szCs w:val="16"/>
                <w:lang w:val="en-US"/>
              </w:rPr>
              <w:br/>
              <w:t>Start Spacing</w:t>
            </w:r>
          </w:p>
        </w:tc>
      </w:tr>
      <w:tr w:rsidR="005043F6" w:rsidRPr="005043F6" w:rsidTr="004228FE">
        <w:trPr>
          <w:trHeight w:val="400"/>
          <w:jc w:val="center"/>
        </w:trPr>
        <w:tc>
          <w:tcPr>
            <w:tcW w:w="640" w:type="dxa"/>
            <w:tcMar>
              <w:top w:w="160" w:type="dxa"/>
              <w:left w:w="120" w:type="dxa"/>
              <w:bottom w:w="100" w:type="dxa"/>
              <w:right w:w="120" w:type="dxa"/>
            </w:tcMar>
            <w:vAlign w:val="center"/>
            <w:hideMark/>
          </w:tcPr>
          <w:p w:rsidR="005043F6" w:rsidRPr="005043F6" w:rsidRDefault="005043F6" w:rsidP="005043F6">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5043F6">
              <w:rPr>
                <w:rFonts w:ascii="Arial" w:hAnsi="Arial" w:cs="Arial"/>
                <w:color w:val="000000"/>
                <w:sz w:val="16"/>
                <w:szCs w:val="16"/>
                <w:lang w:val="en-US"/>
              </w:rPr>
              <w:lastRenderedPageBreak/>
              <w:t>Bits:</w:t>
            </w:r>
          </w:p>
        </w:tc>
        <w:tc>
          <w:tcPr>
            <w:tcW w:w="2400" w:type="dxa"/>
            <w:tcBorders>
              <w:top w:val="single" w:sz="12" w:space="0" w:color="000000"/>
              <w:left w:val="nil"/>
              <w:bottom w:val="nil"/>
              <w:right w:val="nil"/>
            </w:tcBorders>
            <w:tcMar>
              <w:top w:w="160" w:type="dxa"/>
              <w:left w:w="120" w:type="dxa"/>
              <w:bottom w:w="100" w:type="dxa"/>
              <w:right w:w="120" w:type="dxa"/>
            </w:tcMar>
            <w:vAlign w:val="center"/>
            <w:hideMark/>
          </w:tcPr>
          <w:p w:rsidR="005043F6" w:rsidRPr="005043F6" w:rsidRDefault="005043F6" w:rsidP="005043F6">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5043F6">
              <w:rPr>
                <w:rFonts w:ascii="Arial" w:hAnsi="Arial" w:cs="Arial"/>
                <w:color w:val="000000"/>
                <w:sz w:val="16"/>
                <w:szCs w:val="16"/>
                <w:lang w:val="en-US"/>
              </w:rPr>
              <w:t>3</w:t>
            </w:r>
          </w:p>
        </w:tc>
        <w:tc>
          <w:tcPr>
            <w:tcW w:w="2400" w:type="dxa"/>
            <w:tcBorders>
              <w:top w:val="single" w:sz="12" w:space="0" w:color="000000"/>
              <w:left w:val="nil"/>
              <w:bottom w:val="nil"/>
              <w:right w:val="nil"/>
            </w:tcBorders>
            <w:tcMar>
              <w:top w:w="160" w:type="dxa"/>
              <w:left w:w="120" w:type="dxa"/>
              <w:bottom w:w="100" w:type="dxa"/>
              <w:right w:w="120" w:type="dxa"/>
            </w:tcMar>
            <w:vAlign w:val="center"/>
            <w:hideMark/>
          </w:tcPr>
          <w:p w:rsidR="005043F6" w:rsidRPr="005043F6" w:rsidRDefault="005043F6" w:rsidP="005043F6">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5043F6">
              <w:rPr>
                <w:rFonts w:ascii="Arial" w:hAnsi="Arial" w:cs="Arial"/>
                <w:color w:val="000000"/>
                <w:sz w:val="16"/>
                <w:szCs w:val="16"/>
                <w:lang w:val="en-US"/>
              </w:rPr>
              <w:t>3</w:t>
            </w:r>
          </w:p>
        </w:tc>
      </w:tr>
      <w:tr w:rsidR="005043F6" w:rsidRPr="005043F6" w:rsidTr="004228FE">
        <w:trPr>
          <w:jc w:val="center"/>
        </w:trPr>
        <w:tc>
          <w:tcPr>
            <w:tcW w:w="5440" w:type="dxa"/>
            <w:gridSpan w:val="3"/>
            <w:vAlign w:val="center"/>
            <w:hideMark/>
          </w:tcPr>
          <w:p w:rsidR="005043F6" w:rsidRPr="005043F6" w:rsidRDefault="005043F6" w:rsidP="005043F6">
            <w:pPr>
              <w:widowControl w:val="0"/>
              <w:autoSpaceDE w:val="0"/>
              <w:autoSpaceDN w:val="0"/>
              <w:adjustRightInd w:val="0"/>
              <w:spacing w:before="240" w:line="240" w:lineRule="atLeast"/>
              <w:jc w:val="center"/>
              <w:rPr>
                <w:rFonts w:ascii="Arial" w:hAnsi="Arial" w:cs="Arial"/>
                <w:b/>
                <w:bCs/>
                <w:color w:val="000000"/>
                <w:w w:val="1"/>
                <w:sz w:val="20"/>
                <w:lang w:val="en-US"/>
              </w:rPr>
            </w:pPr>
            <w:r w:rsidRPr="005043F6">
              <w:rPr>
                <w:rFonts w:ascii="Arial" w:hAnsi="Arial" w:cs="Arial"/>
                <w:b/>
                <w:bCs/>
                <w:color w:val="000000"/>
                <w:sz w:val="20"/>
                <w:lang w:val="en-US"/>
              </w:rPr>
              <w:t xml:space="preserve">Figure X A-MPDU parameters </w:t>
            </w:r>
            <w:r w:rsidRPr="005043F6">
              <w:rPr>
                <w:rFonts w:ascii="Arial" w:hAnsi="Arial" w:cs="Arial"/>
                <w:b/>
                <w:bCs/>
                <w:vanish/>
                <w:color w:val="000000"/>
                <w:sz w:val="20"/>
                <w:lang w:val="en-US"/>
              </w:rPr>
              <w:t>(#3097)</w:t>
            </w:r>
            <w:r w:rsidRPr="005043F6">
              <w:rPr>
                <w:rFonts w:ascii="Arial" w:hAnsi="Arial" w:cs="Arial"/>
                <w:b/>
                <w:bCs/>
                <w:color w:val="000000"/>
                <w:sz w:val="20"/>
                <w:lang w:val="en-US"/>
              </w:rPr>
              <w:t>subfield format</w:t>
            </w:r>
            <w:r w:rsidRPr="005043F6">
              <w:rPr>
                <w:rFonts w:ascii="Arial" w:hAnsi="Arial" w:cs="Arial"/>
                <w:b/>
                <w:bCs/>
                <w:vanish/>
                <w:color w:val="000000"/>
                <w:sz w:val="20"/>
                <w:lang w:val="en-US"/>
              </w:rPr>
              <w:t>(11ad)</w:t>
            </w:r>
          </w:p>
        </w:tc>
      </w:tr>
    </w:tbl>
    <w:p w:rsidR="005043F6" w:rsidRPr="005043F6" w:rsidRDefault="005043F6" w:rsidP="005043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rPr>
      </w:pPr>
    </w:p>
    <w:p w:rsidR="005043F6" w:rsidRPr="005043F6" w:rsidRDefault="005043F6" w:rsidP="005043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rPr>
      </w:pPr>
      <w:r w:rsidRPr="005043F6">
        <w:rPr>
          <w:color w:val="000000"/>
          <w:sz w:val="20"/>
          <w:lang w:val="en-US"/>
        </w:rPr>
        <w:t>The subfields of the A</w:t>
      </w:r>
      <w:r w:rsidRPr="005043F6">
        <w:rPr>
          <w:color w:val="000000"/>
          <w:sz w:val="20"/>
          <w:lang w:val="en-US"/>
        </w:rPr>
        <w:noBreakHyphen/>
        <w:t xml:space="preserve">MPDU Parameters </w:t>
      </w:r>
      <w:r w:rsidRPr="005043F6">
        <w:rPr>
          <w:vanish/>
          <w:color w:val="000000"/>
          <w:sz w:val="20"/>
          <w:lang w:val="en-US"/>
        </w:rPr>
        <w:t>(#3097)</w:t>
      </w:r>
      <w:r w:rsidRPr="005043F6">
        <w:rPr>
          <w:color w:val="000000"/>
          <w:sz w:val="20"/>
          <w:lang w:val="en-US"/>
        </w:rPr>
        <w:t xml:space="preserve">subfield are defined in </w:t>
      </w:r>
      <w:r w:rsidRPr="005043F6">
        <w:rPr>
          <w:color w:val="000000"/>
          <w:sz w:val="20"/>
          <w:lang w:val="en-US"/>
        </w:rPr>
        <w:fldChar w:fldCharType="begin"/>
      </w:r>
      <w:r w:rsidRPr="005043F6">
        <w:rPr>
          <w:color w:val="000000"/>
          <w:sz w:val="20"/>
          <w:lang w:val="en-US"/>
        </w:rPr>
        <w:instrText xml:space="preserve"> REF  RTF5f5265663234333139363836 \h</w:instrText>
      </w:r>
      <w:r w:rsidRPr="005043F6">
        <w:rPr>
          <w:color w:val="000000"/>
          <w:sz w:val="20"/>
          <w:lang w:val="en-US"/>
        </w:rPr>
      </w:r>
      <w:r w:rsidRPr="005043F6">
        <w:rPr>
          <w:color w:val="000000"/>
          <w:sz w:val="20"/>
          <w:lang w:val="en-US"/>
        </w:rPr>
        <w:fldChar w:fldCharType="separate"/>
      </w:r>
      <w:r w:rsidRPr="005043F6">
        <w:rPr>
          <w:color w:val="000000"/>
          <w:sz w:val="20"/>
          <w:lang w:val="en-US"/>
        </w:rPr>
        <w:t>Table 9-229 (Subfields of the A-MPDU Parameters subfield)</w:t>
      </w:r>
      <w:r w:rsidRPr="005043F6">
        <w:rPr>
          <w:color w:val="000000"/>
          <w:sz w:val="20"/>
          <w:lang w:val="en-US"/>
        </w:rPr>
        <w:fldChar w:fldCharType="end"/>
      </w:r>
      <w:r w:rsidRPr="005043F6">
        <w:rPr>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080"/>
        <w:gridCol w:w="2700"/>
        <w:gridCol w:w="3800"/>
      </w:tblGrid>
      <w:tr w:rsidR="005043F6" w:rsidRPr="005043F6" w:rsidTr="004228FE">
        <w:trPr>
          <w:jc w:val="center"/>
        </w:trPr>
        <w:tc>
          <w:tcPr>
            <w:tcW w:w="8580" w:type="dxa"/>
            <w:gridSpan w:val="3"/>
            <w:vAlign w:val="center"/>
            <w:hideMark/>
          </w:tcPr>
          <w:p w:rsidR="005043F6" w:rsidRPr="005043F6" w:rsidRDefault="005043F6" w:rsidP="005043F6">
            <w:pPr>
              <w:widowControl w:val="0"/>
              <w:numPr>
                <w:ilvl w:val="0"/>
                <w:numId w:val="1"/>
              </w:numPr>
              <w:autoSpaceDE w:val="0"/>
              <w:autoSpaceDN w:val="0"/>
              <w:adjustRightInd w:val="0"/>
              <w:spacing w:line="240" w:lineRule="atLeast"/>
              <w:jc w:val="center"/>
              <w:rPr>
                <w:rFonts w:ascii="Arial" w:hAnsi="Arial" w:cs="Arial"/>
                <w:b/>
                <w:bCs/>
                <w:color w:val="000000"/>
                <w:w w:val="1"/>
                <w:sz w:val="20"/>
                <w:lang w:val="en-US"/>
              </w:rPr>
            </w:pPr>
            <w:r w:rsidRPr="005043F6">
              <w:rPr>
                <w:rFonts w:ascii="Arial" w:hAnsi="Arial" w:cs="Arial"/>
                <w:b/>
                <w:bCs/>
                <w:color w:val="000000"/>
                <w:sz w:val="20"/>
                <w:lang w:val="en-US"/>
              </w:rPr>
              <w:t xml:space="preserve">Subfields of the A-MPDU Parameters </w:t>
            </w:r>
            <w:r w:rsidRPr="005043F6">
              <w:rPr>
                <w:rFonts w:ascii="Arial" w:hAnsi="Arial" w:cs="Arial"/>
                <w:b/>
                <w:bCs/>
                <w:vanish/>
                <w:color w:val="000000"/>
                <w:sz w:val="20"/>
                <w:lang w:val="en-US"/>
              </w:rPr>
              <w:t>(#3097)</w:t>
            </w:r>
            <w:r w:rsidRPr="005043F6">
              <w:rPr>
                <w:rFonts w:ascii="Arial" w:hAnsi="Arial" w:cs="Arial"/>
                <w:b/>
                <w:bCs/>
                <w:color w:val="000000"/>
                <w:sz w:val="20"/>
                <w:lang w:val="en-US"/>
              </w:rPr>
              <w:t>subfield</w:t>
            </w:r>
            <w:r w:rsidRPr="005043F6">
              <w:rPr>
                <w:rFonts w:ascii="Arial" w:hAnsi="Arial" w:cs="Arial"/>
                <w:b/>
                <w:bCs/>
                <w:vanish/>
                <w:color w:val="000000"/>
                <w:sz w:val="20"/>
                <w:lang w:val="en-US"/>
              </w:rPr>
              <w:t>(11ad)</w:t>
            </w:r>
          </w:p>
        </w:tc>
      </w:tr>
      <w:tr w:rsidR="005043F6" w:rsidRPr="005043F6" w:rsidTr="004228FE">
        <w:trPr>
          <w:trHeight w:val="440"/>
          <w:jc w:val="center"/>
        </w:trPr>
        <w:tc>
          <w:tcPr>
            <w:tcW w:w="208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5043F6" w:rsidRPr="005043F6" w:rsidRDefault="005043F6" w:rsidP="005043F6">
            <w:pPr>
              <w:widowControl w:val="0"/>
              <w:suppressAutoHyphens/>
              <w:autoSpaceDE w:val="0"/>
              <w:autoSpaceDN w:val="0"/>
              <w:adjustRightInd w:val="0"/>
              <w:spacing w:line="200" w:lineRule="atLeast"/>
              <w:jc w:val="center"/>
              <w:rPr>
                <w:b/>
                <w:bCs/>
                <w:color w:val="000000"/>
                <w:w w:val="1"/>
                <w:sz w:val="18"/>
                <w:szCs w:val="18"/>
                <w:lang w:val="en-US"/>
              </w:rPr>
            </w:pPr>
            <w:r w:rsidRPr="005043F6">
              <w:rPr>
                <w:b/>
                <w:bCs/>
                <w:color w:val="000000"/>
                <w:sz w:val="18"/>
                <w:szCs w:val="18"/>
                <w:lang w:val="en-US"/>
              </w:rPr>
              <w:t>Subfield</w:t>
            </w:r>
          </w:p>
        </w:tc>
        <w:tc>
          <w:tcPr>
            <w:tcW w:w="27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5043F6" w:rsidRPr="005043F6" w:rsidRDefault="005043F6" w:rsidP="005043F6">
            <w:pPr>
              <w:widowControl w:val="0"/>
              <w:suppressAutoHyphens/>
              <w:autoSpaceDE w:val="0"/>
              <w:autoSpaceDN w:val="0"/>
              <w:adjustRightInd w:val="0"/>
              <w:spacing w:line="200" w:lineRule="atLeast"/>
              <w:jc w:val="center"/>
              <w:rPr>
                <w:b/>
                <w:bCs/>
                <w:color w:val="000000"/>
                <w:w w:val="1"/>
                <w:sz w:val="18"/>
                <w:szCs w:val="18"/>
                <w:lang w:val="en-US"/>
              </w:rPr>
            </w:pPr>
            <w:r w:rsidRPr="005043F6">
              <w:rPr>
                <w:b/>
                <w:bCs/>
                <w:color w:val="000000"/>
                <w:sz w:val="18"/>
                <w:szCs w:val="18"/>
                <w:lang w:val="en-US"/>
              </w:rPr>
              <w:t>Definition</w:t>
            </w:r>
          </w:p>
        </w:tc>
        <w:tc>
          <w:tcPr>
            <w:tcW w:w="38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5043F6" w:rsidRPr="005043F6" w:rsidRDefault="005043F6" w:rsidP="005043F6">
            <w:pPr>
              <w:widowControl w:val="0"/>
              <w:suppressAutoHyphens/>
              <w:autoSpaceDE w:val="0"/>
              <w:autoSpaceDN w:val="0"/>
              <w:adjustRightInd w:val="0"/>
              <w:spacing w:line="200" w:lineRule="atLeast"/>
              <w:jc w:val="center"/>
              <w:rPr>
                <w:b/>
                <w:bCs/>
                <w:color w:val="000000"/>
                <w:w w:val="1"/>
                <w:sz w:val="18"/>
                <w:szCs w:val="18"/>
                <w:lang w:val="en-US"/>
              </w:rPr>
            </w:pPr>
            <w:r w:rsidRPr="005043F6">
              <w:rPr>
                <w:b/>
                <w:bCs/>
                <w:color w:val="000000"/>
                <w:sz w:val="18"/>
                <w:szCs w:val="18"/>
                <w:lang w:val="en-US"/>
              </w:rPr>
              <w:t>Encoding</w:t>
            </w:r>
          </w:p>
        </w:tc>
      </w:tr>
      <w:tr w:rsidR="005043F6" w:rsidRPr="005043F6" w:rsidTr="004228FE">
        <w:trPr>
          <w:trHeight w:val="1200"/>
          <w:jc w:val="center"/>
        </w:trPr>
        <w:tc>
          <w:tcPr>
            <w:tcW w:w="2080" w:type="dxa"/>
            <w:tcBorders>
              <w:top w:val="single" w:sz="12" w:space="0" w:color="000000"/>
              <w:left w:val="single" w:sz="12" w:space="0" w:color="000000"/>
              <w:bottom w:val="single" w:sz="2" w:space="0" w:color="000000"/>
              <w:right w:val="single" w:sz="2" w:space="0" w:color="000000"/>
            </w:tcBorders>
            <w:hideMark/>
          </w:tcPr>
          <w:p w:rsidR="005043F6" w:rsidRPr="005043F6" w:rsidRDefault="005043F6" w:rsidP="005043F6">
            <w:pPr>
              <w:widowControl w:val="0"/>
              <w:suppressAutoHyphens/>
              <w:autoSpaceDE w:val="0"/>
              <w:autoSpaceDN w:val="0"/>
              <w:adjustRightInd w:val="0"/>
              <w:spacing w:line="200" w:lineRule="atLeast"/>
              <w:rPr>
                <w:color w:val="000000"/>
                <w:w w:val="1"/>
                <w:sz w:val="18"/>
                <w:szCs w:val="18"/>
                <w:lang w:val="en-US"/>
              </w:rPr>
            </w:pPr>
            <w:r w:rsidRPr="005043F6">
              <w:rPr>
                <w:color w:val="000000"/>
                <w:sz w:val="18"/>
                <w:szCs w:val="18"/>
                <w:lang w:val="en-US"/>
              </w:rPr>
              <w:t>Maximum A-MPDU Length Exponent</w:t>
            </w:r>
          </w:p>
        </w:tc>
        <w:tc>
          <w:tcPr>
            <w:tcW w:w="2700" w:type="dxa"/>
            <w:tcBorders>
              <w:top w:val="single" w:sz="12" w:space="0" w:color="000000"/>
              <w:left w:val="single" w:sz="2" w:space="0" w:color="000000"/>
              <w:bottom w:val="single" w:sz="2" w:space="0" w:color="000000"/>
              <w:right w:val="single" w:sz="2" w:space="0" w:color="000000"/>
            </w:tcBorders>
            <w:hideMark/>
          </w:tcPr>
          <w:p w:rsidR="005043F6" w:rsidRPr="005043F6" w:rsidRDefault="005043F6" w:rsidP="005043F6">
            <w:pPr>
              <w:widowControl w:val="0"/>
              <w:suppressAutoHyphens/>
              <w:autoSpaceDE w:val="0"/>
              <w:autoSpaceDN w:val="0"/>
              <w:adjustRightInd w:val="0"/>
              <w:spacing w:line="200" w:lineRule="atLeast"/>
              <w:rPr>
                <w:color w:val="000000"/>
                <w:w w:val="1"/>
                <w:sz w:val="18"/>
                <w:szCs w:val="18"/>
                <w:lang w:val="en-US"/>
              </w:rPr>
            </w:pPr>
            <w:r w:rsidRPr="005043F6">
              <w:rPr>
                <w:color w:val="000000"/>
                <w:sz w:val="18"/>
                <w:szCs w:val="18"/>
                <w:lang w:val="en-US"/>
              </w:rPr>
              <w:t>Indicates the maximum length of A-MPDU that the STA can receive.</w:t>
            </w:r>
          </w:p>
        </w:tc>
        <w:tc>
          <w:tcPr>
            <w:tcW w:w="3800" w:type="dxa"/>
            <w:tcBorders>
              <w:top w:val="single" w:sz="12" w:space="0" w:color="000000"/>
              <w:left w:val="single" w:sz="2" w:space="0" w:color="000000"/>
              <w:bottom w:val="single" w:sz="2" w:space="0" w:color="000000"/>
              <w:right w:val="single" w:sz="12" w:space="0" w:color="000000"/>
            </w:tcBorders>
            <w:hideMark/>
          </w:tcPr>
          <w:p w:rsidR="005043F6" w:rsidRPr="005043F6" w:rsidRDefault="005043F6" w:rsidP="005043F6">
            <w:pPr>
              <w:widowControl w:val="0"/>
              <w:suppressAutoHyphens/>
              <w:autoSpaceDE w:val="0"/>
              <w:autoSpaceDN w:val="0"/>
              <w:adjustRightInd w:val="0"/>
              <w:spacing w:line="200" w:lineRule="atLeast"/>
              <w:rPr>
                <w:color w:val="000000"/>
                <w:sz w:val="18"/>
                <w:szCs w:val="18"/>
                <w:lang w:val="en-US"/>
              </w:rPr>
            </w:pPr>
            <w:r w:rsidRPr="005043F6">
              <w:rPr>
                <w:color w:val="000000"/>
                <w:sz w:val="18"/>
                <w:szCs w:val="18"/>
                <w:lang w:val="en-US"/>
              </w:rPr>
              <w:t xml:space="preserve">This </w:t>
            </w:r>
            <w:r w:rsidRPr="005043F6">
              <w:rPr>
                <w:vanish/>
                <w:color w:val="000000"/>
                <w:sz w:val="18"/>
                <w:szCs w:val="18"/>
                <w:lang w:val="en-US"/>
              </w:rPr>
              <w:t>(#3097)</w:t>
            </w:r>
            <w:r w:rsidRPr="005043F6">
              <w:rPr>
                <w:color w:val="000000"/>
                <w:sz w:val="18"/>
                <w:szCs w:val="18"/>
                <w:lang w:val="en-US"/>
              </w:rPr>
              <w:t>subfield is an integer in the range of 0 to 5.</w:t>
            </w:r>
          </w:p>
          <w:p w:rsidR="005043F6" w:rsidRPr="005043F6" w:rsidRDefault="005043F6" w:rsidP="005043F6">
            <w:pPr>
              <w:widowControl w:val="0"/>
              <w:suppressAutoHyphens/>
              <w:autoSpaceDE w:val="0"/>
              <w:autoSpaceDN w:val="0"/>
              <w:adjustRightInd w:val="0"/>
              <w:spacing w:line="200" w:lineRule="atLeast"/>
              <w:rPr>
                <w:color w:val="000000"/>
                <w:w w:val="1"/>
                <w:sz w:val="18"/>
                <w:szCs w:val="18"/>
                <w:lang w:val="en-US"/>
              </w:rPr>
            </w:pPr>
            <w:r w:rsidRPr="005043F6">
              <w:rPr>
                <w:color w:val="000000"/>
                <w:sz w:val="18"/>
                <w:szCs w:val="18"/>
                <w:lang w:val="en-US"/>
              </w:rPr>
              <w:t xml:space="preserve">The length defined by this </w:t>
            </w:r>
            <w:r w:rsidRPr="005043F6">
              <w:rPr>
                <w:vanish/>
                <w:color w:val="000000"/>
                <w:sz w:val="18"/>
                <w:szCs w:val="18"/>
                <w:lang w:val="en-US"/>
              </w:rPr>
              <w:t>(#3097)</w:t>
            </w:r>
            <w:r w:rsidRPr="005043F6">
              <w:rPr>
                <w:color w:val="000000"/>
                <w:sz w:val="18"/>
                <w:szCs w:val="18"/>
                <w:lang w:val="en-US"/>
              </w:rPr>
              <w:t xml:space="preserve">subfield is equal to </w:t>
            </w:r>
            <w:r w:rsidRPr="005043F6">
              <w:rPr>
                <w:color w:val="000000"/>
                <w:sz w:val="18"/>
                <w:szCs w:val="18"/>
                <w:lang w:val="en-US"/>
              </w:rPr>
              <w:br/>
              <w:t>2</w:t>
            </w:r>
            <w:r w:rsidRPr="005043F6">
              <w:rPr>
                <w:color w:val="000000"/>
                <w:sz w:val="18"/>
                <w:szCs w:val="18"/>
                <w:vertAlign w:val="superscript"/>
                <w:lang w:val="en-US"/>
              </w:rPr>
              <w:t>(13 + Maximum A-MPDU Length Exponent)</w:t>
            </w:r>
            <w:r w:rsidRPr="005043F6">
              <w:rPr>
                <w:color w:val="000000"/>
                <w:sz w:val="18"/>
                <w:szCs w:val="18"/>
                <w:lang w:val="en-US"/>
              </w:rPr>
              <w:t xml:space="preserve"> – 1 octets.</w:t>
            </w:r>
          </w:p>
        </w:tc>
      </w:tr>
      <w:tr w:rsidR="005043F6" w:rsidRPr="005043F6" w:rsidTr="004228FE">
        <w:trPr>
          <w:trHeight w:val="1760"/>
          <w:jc w:val="center"/>
        </w:trPr>
        <w:tc>
          <w:tcPr>
            <w:tcW w:w="2080" w:type="dxa"/>
            <w:tcBorders>
              <w:top w:val="nil"/>
              <w:left w:val="single" w:sz="12" w:space="0" w:color="000000"/>
              <w:bottom w:val="single" w:sz="12" w:space="0" w:color="000000"/>
              <w:right w:val="single" w:sz="2" w:space="0" w:color="000000"/>
            </w:tcBorders>
            <w:hideMark/>
          </w:tcPr>
          <w:p w:rsidR="005043F6" w:rsidRPr="005043F6" w:rsidRDefault="005043F6" w:rsidP="005043F6">
            <w:pPr>
              <w:widowControl w:val="0"/>
              <w:suppressAutoHyphens/>
              <w:autoSpaceDE w:val="0"/>
              <w:autoSpaceDN w:val="0"/>
              <w:adjustRightInd w:val="0"/>
              <w:spacing w:line="200" w:lineRule="atLeast"/>
              <w:rPr>
                <w:color w:val="000000"/>
                <w:w w:val="1"/>
                <w:sz w:val="18"/>
                <w:szCs w:val="18"/>
                <w:lang w:val="en-US"/>
              </w:rPr>
            </w:pPr>
            <w:r w:rsidRPr="005043F6">
              <w:rPr>
                <w:color w:val="000000"/>
                <w:sz w:val="18"/>
                <w:szCs w:val="18"/>
                <w:lang w:val="en-US"/>
              </w:rPr>
              <w:t>Minimum MPDU Start Spacing</w:t>
            </w:r>
          </w:p>
        </w:tc>
        <w:tc>
          <w:tcPr>
            <w:tcW w:w="2700" w:type="dxa"/>
            <w:tcBorders>
              <w:top w:val="nil"/>
              <w:left w:val="single" w:sz="2" w:space="0" w:color="000000"/>
              <w:bottom w:val="single" w:sz="12" w:space="0" w:color="000000"/>
              <w:right w:val="single" w:sz="2" w:space="0" w:color="000000"/>
            </w:tcBorders>
            <w:hideMark/>
          </w:tcPr>
          <w:p w:rsidR="005043F6" w:rsidRPr="005043F6" w:rsidRDefault="005043F6" w:rsidP="005043F6">
            <w:pPr>
              <w:widowControl w:val="0"/>
              <w:suppressAutoHyphens/>
              <w:autoSpaceDE w:val="0"/>
              <w:autoSpaceDN w:val="0"/>
              <w:adjustRightInd w:val="0"/>
              <w:spacing w:line="200" w:lineRule="atLeast"/>
              <w:rPr>
                <w:color w:val="000000"/>
                <w:w w:val="1"/>
                <w:sz w:val="18"/>
                <w:szCs w:val="18"/>
                <w:lang w:val="en-US"/>
              </w:rPr>
            </w:pPr>
            <w:r w:rsidRPr="005043F6">
              <w:rPr>
                <w:color w:val="000000"/>
                <w:sz w:val="18"/>
                <w:szCs w:val="18"/>
                <w:lang w:val="en-US"/>
              </w:rPr>
              <w:t xml:space="preserve">Determines the minimum time between the start of adjacent MPDUs within an A-MPDU that the STA can receive, measured at the PHY </w:t>
            </w:r>
            <w:r w:rsidRPr="005043F6">
              <w:rPr>
                <w:vanish/>
                <w:color w:val="000000"/>
                <w:sz w:val="20"/>
                <w:lang w:val="en-US"/>
              </w:rPr>
              <w:t>(#7268)</w:t>
            </w:r>
            <w:r w:rsidRPr="005043F6">
              <w:rPr>
                <w:color w:val="000000"/>
                <w:sz w:val="20"/>
                <w:lang w:val="en-US"/>
              </w:rPr>
              <w:t>SAP</w:t>
            </w:r>
            <w:r w:rsidRPr="005043F6">
              <w:rPr>
                <w:color w:val="000000"/>
                <w:sz w:val="18"/>
                <w:szCs w:val="18"/>
                <w:lang w:val="en-US"/>
              </w:rPr>
              <w:t>.</w:t>
            </w:r>
          </w:p>
        </w:tc>
        <w:tc>
          <w:tcPr>
            <w:tcW w:w="3800" w:type="dxa"/>
            <w:tcBorders>
              <w:top w:val="nil"/>
              <w:left w:val="single" w:sz="2" w:space="0" w:color="000000"/>
              <w:bottom w:val="single" w:sz="12" w:space="0" w:color="000000"/>
              <w:right w:val="single" w:sz="12" w:space="0" w:color="000000"/>
            </w:tcBorders>
            <w:hideMark/>
          </w:tcPr>
          <w:p w:rsidR="005043F6" w:rsidRPr="005043F6" w:rsidRDefault="005043F6" w:rsidP="005043F6">
            <w:pPr>
              <w:widowControl w:val="0"/>
              <w:suppressAutoHyphens/>
              <w:autoSpaceDE w:val="0"/>
              <w:autoSpaceDN w:val="0"/>
              <w:adjustRightInd w:val="0"/>
              <w:spacing w:line="200" w:lineRule="atLeast"/>
              <w:rPr>
                <w:color w:val="000000"/>
                <w:sz w:val="18"/>
                <w:szCs w:val="18"/>
                <w:lang w:val="en-US"/>
              </w:rPr>
            </w:pPr>
            <w:r w:rsidRPr="005043F6">
              <w:rPr>
                <w:color w:val="000000"/>
                <w:sz w:val="18"/>
                <w:szCs w:val="18"/>
                <w:lang w:val="en-US"/>
              </w:rPr>
              <w:t>Set to 0 for no restriction</w:t>
            </w:r>
          </w:p>
          <w:p w:rsidR="005043F6" w:rsidRPr="005043F6" w:rsidRDefault="005043F6" w:rsidP="005043F6">
            <w:pPr>
              <w:widowControl w:val="0"/>
              <w:suppressAutoHyphens/>
              <w:autoSpaceDE w:val="0"/>
              <w:autoSpaceDN w:val="0"/>
              <w:adjustRightInd w:val="0"/>
              <w:spacing w:line="200" w:lineRule="atLeast"/>
              <w:rPr>
                <w:color w:val="000000"/>
                <w:sz w:val="18"/>
                <w:szCs w:val="18"/>
                <w:lang w:val="en-US"/>
              </w:rPr>
            </w:pPr>
            <w:r w:rsidRPr="005043F6">
              <w:rPr>
                <w:color w:val="000000"/>
                <w:sz w:val="18"/>
                <w:szCs w:val="18"/>
                <w:lang w:val="en-US"/>
              </w:rPr>
              <w:t>Set to 1 for 16 ns</w:t>
            </w:r>
          </w:p>
          <w:p w:rsidR="005043F6" w:rsidRPr="005043F6" w:rsidRDefault="005043F6" w:rsidP="005043F6">
            <w:pPr>
              <w:widowControl w:val="0"/>
              <w:suppressAutoHyphens/>
              <w:autoSpaceDE w:val="0"/>
              <w:autoSpaceDN w:val="0"/>
              <w:adjustRightInd w:val="0"/>
              <w:spacing w:line="200" w:lineRule="atLeast"/>
              <w:rPr>
                <w:color w:val="000000"/>
                <w:sz w:val="18"/>
                <w:szCs w:val="18"/>
                <w:lang w:val="en-US"/>
              </w:rPr>
            </w:pPr>
            <w:r w:rsidRPr="005043F6">
              <w:rPr>
                <w:color w:val="000000"/>
                <w:sz w:val="18"/>
                <w:szCs w:val="18"/>
                <w:lang w:val="en-US"/>
              </w:rPr>
              <w:t>Set to 2 for 32 ns</w:t>
            </w:r>
          </w:p>
          <w:p w:rsidR="005043F6" w:rsidRPr="005043F6" w:rsidRDefault="005043F6" w:rsidP="005043F6">
            <w:pPr>
              <w:widowControl w:val="0"/>
              <w:suppressAutoHyphens/>
              <w:autoSpaceDE w:val="0"/>
              <w:autoSpaceDN w:val="0"/>
              <w:adjustRightInd w:val="0"/>
              <w:spacing w:line="200" w:lineRule="atLeast"/>
              <w:rPr>
                <w:color w:val="000000"/>
                <w:sz w:val="18"/>
                <w:szCs w:val="18"/>
                <w:lang w:val="en-US"/>
              </w:rPr>
            </w:pPr>
            <w:r w:rsidRPr="005043F6">
              <w:rPr>
                <w:color w:val="000000"/>
                <w:sz w:val="18"/>
                <w:szCs w:val="18"/>
                <w:lang w:val="en-US"/>
              </w:rPr>
              <w:t>Set to 3 for 64 ns</w:t>
            </w:r>
          </w:p>
          <w:p w:rsidR="005043F6" w:rsidRPr="005043F6" w:rsidRDefault="005043F6" w:rsidP="005043F6">
            <w:pPr>
              <w:widowControl w:val="0"/>
              <w:suppressAutoHyphens/>
              <w:autoSpaceDE w:val="0"/>
              <w:autoSpaceDN w:val="0"/>
              <w:adjustRightInd w:val="0"/>
              <w:spacing w:line="200" w:lineRule="atLeast"/>
              <w:rPr>
                <w:color w:val="000000"/>
                <w:sz w:val="18"/>
                <w:szCs w:val="18"/>
                <w:lang w:val="en-US"/>
              </w:rPr>
            </w:pPr>
            <w:r w:rsidRPr="005043F6">
              <w:rPr>
                <w:color w:val="000000"/>
                <w:sz w:val="18"/>
                <w:szCs w:val="18"/>
                <w:lang w:val="en-US"/>
              </w:rPr>
              <w:t>Set to 4 for 128 ns</w:t>
            </w:r>
          </w:p>
          <w:p w:rsidR="005043F6" w:rsidRPr="005043F6" w:rsidRDefault="005043F6" w:rsidP="005043F6">
            <w:pPr>
              <w:widowControl w:val="0"/>
              <w:suppressAutoHyphens/>
              <w:autoSpaceDE w:val="0"/>
              <w:autoSpaceDN w:val="0"/>
              <w:adjustRightInd w:val="0"/>
              <w:spacing w:line="200" w:lineRule="atLeast"/>
              <w:rPr>
                <w:color w:val="000000"/>
                <w:sz w:val="18"/>
                <w:szCs w:val="18"/>
                <w:lang w:val="en-US"/>
              </w:rPr>
            </w:pPr>
            <w:r w:rsidRPr="005043F6">
              <w:rPr>
                <w:color w:val="000000"/>
                <w:sz w:val="18"/>
                <w:szCs w:val="18"/>
                <w:lang w:val="en-US"/>
              </w:rPr>
              <w:t>Set to 5 for 256 ns</w:t>
            </w:r>
          </w:p>
          <w:p w:rsidR="005043F6" w:rsidRPr="005043F6" w:rsidRDefault="005043F6" w:rsidP="005043F6">
            <w:pPr>
              <w:widowControl w:val="0"/>
              <w:suppressAutoHyphens/>
              <w:autoSpaceDE w:val="0"/>
              <w:autoSpaceDN w:val="0"/>
              <w:adjustRightInd w:val="0"/>
              <w:spacing w:line="200" w:lineRule="atLeast"/>
              <w:rPr>
                <w:color w:val="000000"/>
                <w:sz w:val="18"/>
                <w:szCs w:val="18"/>
                <w:lang w:val="en-US"/>
              </w:rPr>
            </w:pPr>
            <w:r w:rsidRPr="005043F6">
              <w:rPr>
                <w:color w:val="000000"/>
                <w:sz w:val="18"/>
                <w:szCs w:val="18"/>
                <w:lang w:val="en-US"/>
              </w:rPr>
              <w:t>Set to 6 for 512 ns</w:t>
            </w:r>
          </w:p>
          <w:p w:rsidR="005043F6" w:rsidRPr="005043F6" w:rsidRDefault="005043F6" w:rsidP="005043F6">
            <w:pPr>
              <w:widowControl w:val="0"/>
              <w:suppressAutoHyphens/>
              <w:autoSpaceDE w:val="0"/>
              <w:autoSpaceDN w:val="0"/>
              <w:adjustRightInd w:val="0"/>
              <w:spacing w:line="200" w:lineRule="atLeast"/>
              <w:rPr>
                <w:color w:val="000000"/>
                <w:w w:val="1"/>
                <w:sz w:val="18"/>
                <w:szCs w:val="18"/>
                <w:lang w:val="en-US"/>
              </w:rPr>
            </w:pPr>
            <w:r w:rsidRPr="005043F6">
              <w:rPr>
                <w:color w:val="000000"/>
                <w:sz w:val="18"/>
                <w:szCs w:val="18"/>
                <w:lang w:val="en-US"/>
              </w:rPr>
              <w:t>Set to 7 for 1024 ns</w:t>
            </w:r>
          </w:p>
        </w:tc>
      </w:tr>
    </w:tbl>
    <w:p w:rsidR="005043F6" w:rsidRPr="005043F6" w:rsidRDefault="005043F6" w:rsidP="005043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rPr>
      </w:pPr>
    </w:p>
    <w:p w:rsidR="005043F6" w:rsidRPr="005043F6" w:rsidRDefault="005043F6" w:rsidP="005043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rPr>
      </w:pPr>
      <w:r w:rsidRPr="005043F6">
        <w:rPr>
          <w:color w:val="000000"/>
          <w:sz w:val="20"/>
          <w:lang w:val="en-US"/>
        </w:rPr>
        <w:t xml:space="preserve">The BA with Flow Control </w:t>
      </w:r>
      <w:r w:rsidRPr="005043F6">
        <w:rPr>
          <w:vanish/>
          <w:color w:val="000000"/>
          <w:sz w:val="20"/>
          <w:lang w:val="en-US"/>
        </w:rPr>
        <w:t>(#3097)</w:t>
      </w:r>
      <w:r w:rsidRPr="005043F6">
        <w:rPr>
          <w:color w:val="000000"/>
          <w:sz w:val="20"/>
          <w:lang w:val="en-US"/>
        </w:rPr>
        <w:t>subfield is set to 1 if the STA supports BA with flow control as defined in 10.39 (DMG link adaptation) and is set to 0 otherwise.</w:t>
      </w:r>
    </w:p>
    <w:p w:rsidR="005043F6" w:rsidRPr="005043F6" w:rsidRDefault="005043F6" w:rsidP="005043F6">
      <w:pPr>
        <w:spacing w:after="240"/>
        <w:jc w:val="both"/>
        <w:rPr>
          <w:sz w:val="20"/>
          <w:lang w:val="en-US" w:eastAsia="ja-JP"/>
        </w:rPr>
      </w:pPr>
      <w:r w:rsidRPr="005043F6">
        <w:rPr>
          <w:sz w:val="20"/>
          <w:lang w:val="en-US" w:eastAsia="ja-JP"/>
        </w:rPr>
        <w:t xml:space="preserve">The Supported MCS Set </w:t>
      </w:r>
      <w:r w:rsidRPr="005043F6">
        <w:rPr>
          <w:vanish/>
          <w:sz w:val="20"/>
          <w:lang w:val="en-US" w:eastAsia="ja-JP"/>
        </w:rPr>
        <w:t>(#3097)</w:t>
      </w:r>
      <w:r w:rsidRPr="005043F6">
        <w:rPr>
          <w:sz w:val="20"/>
          <w:lang w:val="en-US" w:eastAsia="ja-JP"/>
        </w:rPr>
        <w:t>subfield indicates which MCSs a</w:t>
      </w:r>
      <w:r w:rsidRPr="005043F6">
        <w:rPr>
          <w:vanish/>
          <w:sz w:val="20"/>
          <w:lang w:val="en-US" w:eastAsia="ja-JP"/>
        </w:rPr>
        <w:t>(#2157)</w:t>
      </w:r>
      <w:r w:rsidRPr="005043F6">
        <w:rPr>
          <w:sz w:val="20"/>
          <w:lang w:val="en-US" w:eastAsia="ja-JP"/>
        </w:rPr>
        <w:t xml:space="preserve"> STA supports. An MCS is identified by an MCS index, which is represented by an integer in the range of 0 to 31 or by one of the values 9.1, 12.1, 12.2, 12.3, 12.4, 12.5 and 12.6.</w:t>
      </w:r>
      <w:r w:rsidRPr="005043F6">
        <w:rPr>
          <w:vanish/>
          <w:sz w:val="20"/>
          <w:lang w:val="en-US" w:eastAsia="ja-JP"/>
        </w:rPr>
        <w:t>(#7138)</w:t>
      </w:r>
      <w:r w:rsidRPr="005043F6">
        <w:rPr>
          <w:sz w:val="20"/>
          <w:lang w:val="en-US" w:eastAsia="ja-JP"/>
        </w:rPr>
        <w:t xml:space="preserve"> The interpretation of the MCS index (i.e., the mapping from MCS to data rate) is PHY dependent. For the DMG PHY, see Clause 20 (Directional multi-gigabit (DMG) PHY specification). The structure of the Supported MCS Set </w:t>
      </w:r>
      <w:r w:rsidRPr="005043F6">
        <w:rPr>
          <w:vanish/>
          <w:sz w:val="20"/>
          <w:lang w:val="en-US" w:eastAsia="ja-JP"/>
        </w:rPr>
        <w:t>(#3097)</w:t>
      </w:r>
      <w:r w:rsidRPr="005043F6">
        <w:rPr>
          <w:sz w:val="20"/>
          <w:lang w:val="en-US" w:eastAsia="ja-JP"/>
        </w:rPr>
        <w:t xml:space="preserve">subfield is defined in </w:t>
      </w:r>
      <w:r w:rsidRPr="005043F6">
        <w:rPr>
          <w:sz w:val="20"/>
          <w:lang w:val="en-US" w:eastAsia="ja-JP"/>
        </w:rPr>
        <w:fldChar w:fldCharType="begin"/>
      </w:r>
      <w:r w:rsidRPr="005043F6">
        <w:rPr>
          <w:sz w:val="20"/>
          <w:lang w:val="en-US" w:eastAsia="ja-JP"/>
        </w:rPr>
        <w:instrText xml:space="preserve"> REF  RTF466967385f34303171 \h</w:instrText>
      </w:r>
      <w:r w:rsidRPr="005043F6">
        <w:rPr>
          <w:sz w:val="20"/>
          <w:lang w:val="en-US" w:eastAsia="ja-JP"/>
        </w:rPr>
      </w:r>
      <w:r w:rsidRPr="005043F6">
        <w:rPr>
          <w:sz w:val="20"/>
          <w:lang w:val="en-US" w:eastAsia="ja-JP"/>
        </w:rPr>
        <w:fldChar w:fldCharType="separate"/>
      </w:r>
      <w:r w:rsidRPr="005043F6">
        <w:rPr>
          <w:sz w:val="20"/>
          <w:lang w:val="en-US" w:eastAsia="ja-JP"/>
        </w:rPr>
        <w:t>Figure 9-506 (Supported MCS Set subfield format)</w:t>
      </w:r>
      <w:r w:rsidRPr="005043F6">
        <w:rPr>
          <w:sz w:val="20"/>
          <w:lang w:val="en-US" w:eastAsia="ja-JP"/>
        </w:rPr>
        <w:fldChar w:fldCharType="end"/>
      </w:r>
    </w:p>
    <w:p w:rsidR="005043F6" w:rsidRPr="005043F6" w:rsidRDefault="005043F6" w:rsidP="005043F6">
      <w:pPr>
        <w:spacing w:after="240"/>
        <w:jc w:val="both"/>
        <w:rPr>
          <w:sz w:val="20"/>
          <w:lang w:val="en-US" w:eastAsia="ja-JP"/>
        </w:rPr>
      </w:pPr>
      <w:r w:rsidRPr="005043F6">
        <w:rPr>
          <w:sz w:val="20"/>
          <w:lang w:val="en-US" w:eastAsia="ja-JP"/>
        </w:rPr>
        <w:t>Supported MCS Capabilities field is TBD.</w:t>
      </w:r>
    </w:p>
    <w:p w:rsidR="005043F6" w:rsidRPr="005043F6" w:rsidRDefault="005043F6" w:rsidP="005043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rPr>
      </w:pPr>
      <w:r w:rsidRPr="005043F6">
        <w:rPr>
          <w:color w:val="000000"/>
          <w:sz w:val="20"/>
          <w:lang w:val="en-US"/>
        </w:rPr>
        <w:t xml:space="preserve">The DTP Supported </w:t>
      </w:r>
      <w:r w:rsidRPr="005043F6">
        <w:rPr>
          <w:vanish/>
          <w:color w:val="000000"/>
          <w:sz w:val="20"/>
          <w:lang w:val="en-US"/>
        </w:rPr>
        <w:t>(#3097)</w:t>
      </w:r>
      <w:r w:rsidRPr="005043F6">
        <w:rPr>
          <w:color w:val="000000"/>
          <w:sz w:val="20"/>
          <w:lang w:val="en-US"/>
        </w:rPr>
        <w:t>subfield is set to 1 to indicate that the STA supports DTP as described in 10.40 (DMG dynamic tone pairing (DTP)) and 20.5.3.2.4.6.3 (Dynamic tone pairing (DTP)). Otherwise, it is set to 0.</w:t>
      </w:r>
    </w:p>
    <w:p w:rsidR="005043F6" w:rsidRPr="005043F6" w:rsidRDefault="005043F6" w:rsidP="005043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rPr>
      </w:pPr>
      <w:r w:rsidRPr="005043F6">
        <w:rPr>
          <w:color w:val="000000"/>
          <w:sz w:val="20"/>
          <w:lang w:val="en-US"/>
        </w:rPr>
        <w:t xml:space="preserve">The A-PPDU Supported </w:t>
      </w:r>
      <w:r w:rsidRPr="005043F6">
        <w:rPr>
          <w:vanish/>
          <w:color w:val="000000"/>
          <w:sz w:val="20"/>
          <w:lang w:val="en-US"/>
        </w:rPr>
        <w:t>(#3097)</w:t>
      </w:r>
      <w:r w:rsidRPr="005043F6">
        <w:rPr>
          <w:color w:val="000000"/>
          <w:sz w:val="20"/>
          <w:lang w:val="en-US"/>
        </w:rPr>
        <w:t xml:space="preserve">subfield is set to 1 to indicate that the STA supports A-PPDU aggregation as described in 10.15 (DMG A-PPDU operation). Otherwise, it is set to 0. </w:t>
      </w:r>
    </w:p>
    <w:p w:rsidR="005043F6" w:rsidRPr="005043F6" w:rsidRDefault="005043F6" w:rsidP="005043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rPr>
      </w:pPr>
      <w:r w:rsidRPr="005043F6">
        <w:rPr>
          <w:color w:val="000000"/>
          <w:sz w:val="20"/>
          <w:lang w:val="en-US"/>
        </w:rPr>
        <w:t xml:space="preserve">The Supports Other_AID </w:t>
      </w:r>
      <w:r w:rsidRPr="005043F6">
        <w:rPr>
          <w:vanish/>
          <w:color w:val="000000"/>
          <w:sz w:val="20"/>
          <w:lang w:val="en-US"/>
        </w:rPr>
        <w:t>(#3097)</w:t>
      </w:r>
      <w:r w:rsidRPr="005043F6">
        <w:rPr>
          <w:color w:val="000000"/>
          <w:sz w:val="20"/>
          <w:lang w:val="en-US"/>
        </w:rPr>
        <w:t xml:space="preserve">subfield is set to 1 to indicate that the STA sets its AWV configuration according to the Other_AID subfield in the BRP Request field during the BRP procedure as described in 10.38.6.4.4 (Antenna configuration setting during a beam refinement transaction) and 20.10.2.2.6 (TRN field), if the value of the Other_AID subfield is different from zero. Otherwise, this </w:t>
      </w:r>
      <w:r w:rsidRPr="005043F6">
        <w:rPr>
          <w:vanish/>
          <w:color w:val="000000"/>
          <w:sz w:val="20"/>
          <w:lang w:val="en-US"/>
        </w:rPr>
        <w:t>(#3097)</w:t>
      </w:r>
      <w:r w:rsidRPr="005043F6">
        <w:rPr>
          <w:color w:val="000000"/>
          <w:sz w:val="20"/>
          <w:lang w:val="en-US"/>
        </w:rPr>
        <w:t xml:space="preserve">subfield is set to 0. </w:t>
      </w:r>
    </w:p>
    <w:p w:rsidR="005043F6" w:rsidRPr="005043F6" w:rsidRDefault="005043F6" w:rsidP="005043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rPr>
      </w:pPr>
      <w:r w:rsidRPr="005043F6">
        <w:rPr>
          <w:color w:val="000000"/>
          <w:sz w:val="20"/>
          <w:lang w:val="en-US"/>
        </w:rPr>
        <w:t xml:space="preserve">The Heartbeat </w:t>
      </w:r>
      <w:r w:rsidRPr="005043F6">
        <w:rPr>
          <w:vanish/>
          <w:color w:val="000000"/>
          <w:sz w:val="20"/>
          <w:lang w:val="en-US"/>
        </w:rPr>
        <w:t>(#3097)</w:t>
      </w:r>
      <w:r w:rsidRPr="005043F6">
        <w:rPr>
          <w:color w:val="000000"/>
          <w:sz w:val="20"/>
          <w:lang w:val="en-US"/>
        </w:rPr>
        <w:t xml:space="preserve">subfield is set to 1 to indicate that the STA expects to receive a frame from the AP or PCP during the ATI (10.36.3 (ATI transmission rules)) and expects to receive a frame with the DMG Control modulation from a </w:t>
      </w:r>
      <w:r w:rsidRPr="005043F6">
        <w:rPr>
          <w:color w:val="000000"/>
          <w:sz w:val="20"/>
          <w:lang w:val="en-US"/>
        </w:rPr>
        <w:lastRenderedPageBreak/>
        <w:t xml:space="preserve">source DMG STA at the beginning of an SP (10.36.6.2 (Service period (SP) allocation)) or TXOP (10.22.2 (HCF contention based channel access (EDCA))). Otherwise, it is set to 0. </w:t>
      </w:r>
    </w:p>
    <w:p w:rsidR="005043F6" w:rsidRPr="005043F6" w:rsidRDefault="005043F6" w:rsidP="005043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rPr>
      </w:pPr>
      <w:r w:rsidRPr="005043F6">
        <w:rPr>
          <w:color w:val="000000"/>
          <w:sz w:val="20"/>
          <w:lang w:val="en-US"/>
        </w:rPr>
        <w:t xml:space="preserve">The Antenna Pattern Reciprocity </w:t>
      </w:r>
      <w:r w:rsidRPr="005043F6">
        <w:rPr>
          <w:vanish/>
          <w:color w:val="000000"/>
          <w:sz w:val="20"/>
          <w:lang w:val="en-US"/>
        </w:rPr>
        <w:t>(#3097)</w:t>
      </w:r>
      <w:r w:rsidRPr="005043F6">
        <w:rPr>
          <w:color w:val="000000"/>
          <w:sz w:val="20"/>
          <w:lang w:val="en-US"/>
        </w:rPr>
        <w:t xml:space="preserve">subfield is set to 1 to indicate that the transmit antenna pattern associated with an AWV is the same as the receive antenna pattern for the same AWV. Otherwise, this </w:t>
      </w:r>
      <w:r w:rsidRPr="005043F6">
        <w:rPr>
          <w:vanish/>
          <w:color w:val="000000"/>
          <w:sz w:val="20"/>
          <w:lang w:val="en-US"/>
        </w:rPr>
        <w:t>(#3097)</w:t>
      </w:r>
      <w:r w:rsidRPr="005043F6">
        <w:rPr>
          <w:color w:val="000000"/>
          <w:sz w:val="20"/>
          <w:lang w:val="en-US"/>
        </w:rPr>
        <w:t xml:space="preserve">subfield is set to 0. </w:t>
      </w:r>
    </w:p>
    <w:p w:rsidR="005043F6" w:rsidRPr="005043F6" w:rsidRDefault="005043F6" w:rsidP="005043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rPr>
      </w:pPr>
      <w:r w:rsidRPr="005043F6">
        <w:rPr>
          <w:color w:val="000000"/>
          <w:sz w:val="20"/>
          <w:lang w:val="en-US"/>
        </w:rPr>
        <w:t xml:space="preserve">The Heartbeat Elapsed Indication </w:t>
      </w:r>
      <w:r w:rsidRPr="005043F6">
        <w:rPr>
          <w:vanish/>
          <w:color w:val="000000"/>
          <w:sz w:val="20"/>
          <w:lang w:val="en-US"/>
        </w:rPr>
        <w:t>(#3097)</w:t>
      </w:r>
      <w:r w:rsidRPr="005043F6">
        <w:rPr>
          <w:color w:val="000000"/>
          <w:sz w:val="20"/>
          <w:lang w:val="en-US"/>
        </w:rPr>
        <w:t>subfield is used to calculate the value of the Heartbeat Elapsed Time. The Heartbeat Elapsed Time is computed with the following equation:</w:t>
      </w:r>
    </w:p>
    <w:p w:rsidR="005043F6" w:rsidRPr="005043F6" w:rsidRDefault="005043F6" w:rsidP="005043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rPr>
      </w:pPr>
      <w:r w:rsidRPr="005043F6">
        <w:rPr>
          <w:noProof/>
          <w:vanish/>
          <w:color w:val="000000"/>
          <w:sz w:val="20"/>
          <w:lang w:val="en-US"/>
        </w:rPr>
        <w:fldChar w:fldCharType="begin"/>
      </w:r>
      <w:r w:rsidRPr="005043F6">
        <w:rPr>
          <w:noProof/>
          <w:vanish/>
          <w:color w:val="000000"/>
          <w:sz w:val="20"/>
          <w:lang w:val="en-US"/>
        </w:rPr>
        <w:instrText xml:space="preserve"> QUOTE </w:instrText>
      </w:r>
      <w:r w:rsidR="00AC1B9F">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55pt;height:30.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7&quot;/&gt;&lt;w:printFractionalCharacterWidth/&gt;&lt;w:doNotEmbedSystemFonts/&gt;&lt;w:mirrorMargins/&gt;&lt;w:hideSpellingErrors/&gt;&lt;w:stylePaneFormatFilter w:val=&quot;3F01&quot;/&gt;&lt;w:defaultTabStop w:val=&quot;720&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compat&gt;&lt;w:printColBlack/&gt;&lt;w:showBreaksInFrames/&gt;&lt;w:suppressSpBfAfterPgBrk/&gt;&lt;w:swapBordersFacingPages/&gt;&lt;w:convMailMergeEsc/&gt;&lt;w:ww6BorderRules/&gt;&lt;w:footnoteLayoutLikeWW8/&gt;&lt;w:shapeLayoutLikeWW8/&gt;&lt;w:alignTablesRowByRow/&gt;&lt;w:forgetLastTabAlignment/&gt;&lt;w:noSpaceRaiseLower/&gt;&lt;w:doNotUseHTMLParagraphAutoSpacing/&gt;&lt;w:layoutRawTableWidth/&gt;&lt;w:layoutTableRowsApart/&gt;&lt;w:useWord97LineBreakingRules/&gt;&lt;w:dontAllowFieldEndSelect/&gt;&lt;w:useWord2002TableStyleRules/&gt;&lt;/w:compat&gt;&lt;wsp:rsids&gt;&lt;wsp:rsidRoot wsp:val=&quot;00D76578&quot;/&gt;&lt;wsp:rsid wsp:val=&quot;001929B1&quot;/&gt;&lt;wsp:rsid wsp:val=&quot;001D723B&quot;/&gt;&lt;wsp:rsid wsp:val=&quot;0029020B&quot;/&gt;&lt;wsp:rsid wsp:val=&quot;002D44BE&quot;/&gt;&lt;wsp:rsid wsp:val=&quot;00442037&quot;/&gt;&lt;wsp:rsid wsp:val=&quot;004B064B&quot;/&gt;&lt;wsp:rsid wsp:val=&quot;005043F6&quot;/&gt;&lt;wsp:rsid wsp:val=&quot;005C546A&quot;/&gt;&lt;wsp:rsid wsp:val=&quot;0062440B&quot;/&gt;&lt;wsp:rsid wsp:val=&quot;006C0727&quot;/&gt;&lt;wsp:rsid wsp:val=&quot;006E145F&quot;/&gt;&lt;wsp:rsid wsp:val=&quot;00770572&quot;/&gt;&lt;wsp:rsid wsp:val=&quot;009F2FBC&quot;/&gt;&lt;wsp:rsid wsp:val=&quot;00AA427C&quot;/&gt;&lt;wsp:rsid wsp:val=&quot;00BE68C2&quot;/&gt;&lt;wsp:rsid wsp:val=&quot;00CA09B2&quot;/&gt;&lt;wsp:rsid wsp:val=&quot;00D76578&quot;/&gt;&lt;wsp:rsid wsp:val=&quot;00DC5A7B&quot;/&gt;&lt;/wsp:rsids&gt;&lt;/w:docPr&gt;&lt;w:body&gt;&lt;wx:sect&gt;&lt;w:p wsp:rsidR=&quot;00000000&quot; wsp:rsidRDefault=&quot;005C546A&quot; wsp:rsidP=&quot;005C546A&quot;&gt;&lt;m:oMathPara&gt;&lt;m:oMath&gt;&lt;m:sSub&gt;&lt;m:sSubPr&gt;&lt;m:ctrlPr&gt;&lt;w:rPr&gt;&lt;w:rFonts w:ascii=&quot;Cambria Math&quot; w:h-ansi=&quot;Cambria Math&quot;/&gt;&lt;wx:font wx:val=&quot;Cambria Math&quot;/&gt;&lt;w:i/&gt;&lt;w:color w:val=&quot;000000&quot;/&gt;&lt;w:sz w:val=&quot;20&quot;/&gt;&lt;w:lang w:val=&quot;EN-US&quot;/&gt;&lt;/w:rPr&gt;&lt;/m:ctrlPr&gt;&lt;/m:sSubPr&gt;&lt;m:e&gt;&lt;m:r&gt;&lt;w:rPr&gt;&lt;w:rFonts w:ascii=&quot;Cambria Math&quot; w:h-ansi=&quot;Cambria Math&quot;/&gt;&lt;wx:font wx:val=&quot;Cambria Math&quot;/&gt;&lt;w:i/&gt;&lt;w:color w:val=&quot;000000&quot;/&gt;&lt;w:sz w:val=&quot;20&quot;/&gt;&lt;w:lang w:val=&quot;EN-US&quot;/&gt;&lt;/w:rPr&gt;&lt;m:t&gt;T&lt;/m:t&gt;&lt;/m:r&gt;&lt;/m:e&gt;&lt;m:sub&gt;&lt;m:r&gt;&lt;w:rPr&gt;&lt;w:rFonts w:ascii=&quot;Cambria Math&quot; w:h-ansi=&quot;Cambria Math&quot;/&gt;&lt;wx:font wx:val=&quot;Cambria Math&quot;/&gt;&lt;w:i/&gt;&lt;w:color w:val=&quot;000000&quot;/&gt;&lt;w:sz w:val=&quot;20&quot;/&gt;&lt;w:lang w:val=&quot;EN-US&quot;/&gt;&lt;/w:rPr&gt;&lt;m:t&gt;HE&lt;/m:t&gt;&lt;/m:r&gt;&lt;/m:sub&gt;&lt;/m:sSub&gt;&lt;m:r&gt;&lt;w:rPr&gt;&lt;w:rFonts w:ascii=&quot;Cambria Math&quot; w:h-ansi=&quot;Cambria Math&quot;/&gt;&lt;wx:font wx:val=&quot;Cambria Math&quot;/&gt;&lt;w:i/&gt;&lt;w:color w:val=&quot;000000&quot;/&gt;&lt;w:sz w:val=&quot;20&quot;/&gt;&lt;w:lang w:val=&quot;EN-US&quot;/&gt;&lt;/w:rPr&gt;&lt;m:t&gt;=&lt;/m:t&gt;&lt;/m:r&gt;&lt;m:d&gt;&lt;m:dPr&gt;&lt;m:begChr m:val=&quot;{&quot;/&gt;&lt;m:endChr m:val=&quot;&quot;/&gt;&lt;m:ctrlPr&gt;&lt;w:rPr&gt;&lt;w:rFonts w:ascii=&quot;Cambria Math&quot; w:h-ansi=&quot;Cambria Math&quot;/&gt;&lt;wx:font wx:val=&quot;Cambria Math&quot;/&gt;&lt;w:i/&gt;&lt;w:color w:val=&quot;000000&quot;/&gt;&lt;w:sz w:val=&quot;20&quot;/&gt;&lt;w:lang w:val=&quot;EN-US&quot;/&gt;&lt;/w:rPr&gt;&lt;/m:ctrlPr&gt;&lt;/m:dPr&gt;&lt;m:e&gt;&lt;m:eqArr&gt;&lt;m:eqArrPr&gt;&lt;m:ctrlPr&gt;&lt;w:rPr&gt;&lt;w:rFonts w:ascii=&quot;Cambria Math&quot; w:h-ansi=&quot;Cambria Math&quot;/&gt;&lt;wx:font wx:val=&quot;Cambria Math&quot;/&gt;&lt;w:i/&gt;&lt;w:color w:val=&quot;000000&quot;/&gt;&lt;w:sz w:val=&quot;20&quot;/&gt;&lt;w:lang w:val=&quot;EN-US&quot;/&gt;&lt;/w:rPr&gt;&lt;/m:ctrlPr&gt;&lt;/m:eqArrPr&gt;&lt;m:e&gt;&lt;m:r&gt;&lt;w:rPr&gt;&lt;w:rFonts w:ascii=&quot;Cambria Math&quot; w:h-ansi=&quot;Cambria Math&quot;/&gt;&lt;wx:font wx:val=&quot;Cambria Math&quot;/&gt;&lt;w:i/&gt;&lt;w:color w:val=&quot;000000&quot;/&gt;&lt;w:sz w:val=&quot;20&quot;/&gt;&lt;w:lang w:val=&quot;EN-US&quot;/&gt;&lt;/w:rPr&gt;&lt;m:t&gt;0, &lt;/m:t&gt;&lt;/m:r&gt;&lt;m:sSub&gt;&lt;m:sSubPr&gt;&lt;m:ctrlPr&gt;&lt;w:rPr&gt;&lt;w:rFonts w:ascii=&quot;Cambria Math&quot; w:h-ansi=&quot;Cambria Math&quot;/&gt;&lt;wx:font wx:val=&quot;Cambria Math&quot;/&gt;&lt;w:i/&gt;&lt;w:color w:val=&quot;000000&quot;/&gt;&lt;w:sz w:val=&quot;20&quot;/&gt;&lt;w:lang w:val=&quot;EN-US&quot;/&gt;&lt;/w:rPr&gt;&lt;/m:ctrlPr&gt;&lt;/m:sSubPr&gt;&lt;m:e&gt;&lt;m:r&gt;&lt;w:rPr&gt;&lt;w:rFonts w:ascii=&quot;Cambria Math&quot; w:h-ansi=&quot;Cambria Math&quot;/&gt;&lt;wx:font wx:val=&quot;Cambria Math&quot;/&gt;&lt;w:i/&gt;&lt;w:color w:val=&quot;000000&quot;/&gt;&lt;w:sz w:val=&quot;20&quot;/&gt;&lt;w:lang w:val=&quot;EN-US&quot;/&gt;&lt;/w:rPr&gt;&lt;m:t&gt;F&lt;/m:t&gt;&lt;/m:r&gt;&lt;/m:e&gt;&lt;m:sub&gt;&lt;m:r&gt;&lt;w:rPr&gt;&lt;w:rFonts w:ascii=&quot;Cambria Math&quot; w:h-ansi=&quot;Cambria Math&quot;/&gt;&lt;wx:font wx:val=&quot;Cambria Math&quot;/&gt;&lt;w:i/&gt;&lt;w:color w:val=&quot;000000&quot;/&gt;&lt;w:sz w:val=&quot;20&quot;/&gt;&lt;w:lang w:val=&quot;EN-US&quot;/&gt;&lt;/w:rPr&gt;&lt;m:t&gt;HE&lt;/m:t&gt;&lt;/m:r&gt;&lt;/m:sub&gt;&lt;/m:sSub&gt;&lt;m:r&gt;&lt;w:rPr&gt;&lt;w:rFonts w:ascii=&quot;Cambria Math&quot; w:h-ansi=&quot;Cambria Math&quot;/&gt;&lt;wx:font wx:val=&quot;Cambria Math&quot;/&gt;&lt;w:i/&gt;&lt;w:color w:val=&quot;000000&quot;/&gt;&lt;w:sz w:val=&quot;20&quot;/&gt;&lt;w:lang w:val=&quot;EN-US&quot;/&gt;&lt;/w:rPr&gt;&lt;m:t&gt;=0&lt;/m:t&gt;&lt;/m:r&gt;&lt;/m:e&gt;&lt;m:e&gt;&lt;m:f&gt;&lt;m:fPr&gt;&lt;m:ctrlPr&gt;&lt;w:rPr&gt;&lt;w:rFonts w:ascii=&quot;Cambria Math&quot; w:h-ansi=&quot;Cambria Math&quot;/&gt;&lt;wx:font wx:val=&quot;Cambria Math&quot;/&gt;&lt;w:i/&gt;&lt;w:color w:val=&quot;000000&quot;/&gt;&lt;w:sz w:val=&quot;20&quot;/&gt;&lt;w:lang w:val=&quot;EN-US&quot;/&gt;&lt;/w:rPr&gt;&lt;/m:ctrlPr&gt;&lt;/m:fPr&gt;&lt;m:num&gt;&lt;m:sSup&gt;&lt;m:sSupPr&gt;&lt;m:ctrlPr&gt;&lt;w:rPr&gt;&lt;w:rFonts w:ascii=&quot;Cambria Math&quot; w:h-ansi=&quot;Cambria Math&quot;/&gt;&lt;wx:font wx:val=&quot;Cambria Math&quot;/&gt;&lt;w:i/&gt;&lt;w:color w:val=&quot;000000&quot;/&gt;&lt;w:sz w:val=&quot;20&quot;/&gt;&lt;w:lang w:val=&quot;EN-US&quot;/&gt;&lt;/w:rPr&gt;&lt;/m:ctrlPr&gt;&lt;/m:sSupPr&gt;&lt;m:e&gt;&lt;m:r&gt;&lt;w:rPr&gt;&lt;w:rFonts w:ascii=&quot;Cambria Math&quot; w:h-ansi=&quot;Cambria Math&quot;/&gt;&lt;wx:font wx:val=&quot;Cambria Math&quot;/&gt;&lt;w:i/&gt;&lt;w:color w:val=&quot;000000&quot;/&gt;&lt;w:sz w:val=&quot;20&quot;/&gt;&lt;w:lang w:val=&quot;EN-US&quot;/&gt;&lt;/w:rPr&gt;&lt;m:t&gt;2&lt;/m:t&gt;&lt;/m:r&gt;&lt;/m:e&gt;&lt;m:sup&gt;&lt;m:sSub&gt;&lt;m:sSubPr&gt;&lt;m:ctrlPr&gt;&lt;w:rPr&gt;&lt;w:rFonts w:ascii=&quot;Cambria Math&quot; w:h-ansi=&quot;Cambria Math&quot;/&gt;&lt;wx:font wx:val=&quot;Cambria Math&quot;/&gt;&lt;w:i/&gt;&lt;w:color w:val=&quot;000000&quot;/&gt;&lt;w:sz w:val=&quot;20&quot;/&gt;&lt;w:lang w:val=&quot;EN-US&quot;/&gt;&lt;/w:rPr&gt;&lt;/m:ctrlPr&gt;&lt;/m:sSubPr&gt;&lt;m:e&gt;&lt;m:r&gt;&lt;w:rPr&gt;&lt;w:rFonts w:ascii=&quot;Cambria Math&quot; w:h-ansi=&quot;Cambria Math&quot;/&gt;&lt;wx:font wx:val=&quot;Cambria Math&quot;/&gt;&lt;w:i/&gt;&lt;w:color w:val=&quot;000000&quot;/&gt;&lt;w:sz w:val=&quot;20&quot;/&gt;&lt;w:lang w:val=&quot;EN-US&quot;/&gt;&lt;/w:rPr&gt;&lt;m:t&gt;F&lt;/m:t&gt;&lt;/m:r&gt;&lt;/m:e&gt;&lt;m:sub&gt;&lt;m:r&gt;&lt;w:rPr&gt;&lt;w:rFonts w:ascii=&quot;Cambria Math&quot; w:h-ansi=&quot;Cambria Math&quot;/&gt;&lt;wx:font wx:val=&quot;Cambria Math&quot;/&gt;&lt;w:i/&gt;&lt;w:color w:val=&quot;000000&quot;/&gt;&lt;w:sz w:val=&quot;20&quot;/&gt;&lt;w:lang w:val=&quot;EN-US&quot;/&gt;&lt;/w:rPr&gt;&lt;m:t&gt;HE&lt;/m:t&gt;&lt;/m:r&gt;&lt;/m:sub&gt;&lt;/m:sSub&gt;&lt;/m:sup&gt;&lt;/m:sSup&gt;&lt;/m:num&gt;&lt;m:den&gt;&lt;m:r&gt;&lt;w:rPr&gt;&lt;w:rFonts w:ascii=&quot;Cambria Math&quot; w:h-ansi=&quot;Cambria Math&quot;/&gt;&lt;wx:font wx:val=&quot;Cambria Math&quot;/&gt;&lt;w:i/&gt;&lt;w:color w:val=&quot;000000&quot;/&gt;&lt;w:sz w:val=&quot;20&quot;/&gt;&lt;w:lang w:val=&quot;EN-US&quot;/&gt;&lt;/w:rPr&gt;&lt;m:t&gt;4&lt;/m:t&gt;&lt;/m:r&gt;&lt;/m:den&gt;&lt;/m:f&gt;&lt;m:r&gt;&lt;w:rPr&gt;&lt;w:rFonts w:ascii=&quot;Cambria Math&quot; w:h-ansi=&quot;Cambria Math&quot;/&gt;&lt;wx:font wx:val=&quot;Cambria Math&quot;/&gt;&lt;w:i/&gt;&lt;w:color w:val=&quot;000000&quot;/&gt;&lt;w:sz w:val=&quot;20&quot;/&gt;&lt;w:lang w:val=&quot;EN-US&quot;/&gt;&lt;/w:rPr&gt;&lt;m:t&gt;, &lt;/m:t&gt;&lt;/m:r&gt;&lt;m:sSub&gt;&lt;m:sSubPr&gt;&lt;m:ctrlPr&gt;&lt;w:rPr&gt;&lt;w:rFonts w:ascii=&quot;Cambria Math&quot; w:h-ansi=&quot;Cambria Math&quot;/&gt;&lt;wx:font wx:val=&quot;Cambria Math&quot;/&gt;&lt;w:i/&gt;&lt;w:color w:val=&quot;000000&quot;/&gt;&lt;w:sz w:val=&quot;20&quot;/&gt;&lt;w:lang w:val=&quot;EN-US&quot;/&gt;&lt;/w:rPr&gt;&lt;/m:ctrlPr&gt;&lt;/m:sSubPr&gt;&lt;m:e&gt;&lt;m:r&gt;&lt;w:rPr&gt;&lt;w:rFonts w:ascii=&quot;Cambria Math&quot; w:h-ansi=&quot;Cambria Math&quot;/&gt;&lt;wx:font wx:val=&quot;Cambria Math&quot;/&gt;&lt;w:i/&gt;&lt;w:color w:val=&quot;000000&quot;/&gt;&lt;w:sz w:val=&quot;20&quot;/&gt;&lt;w:lang w:val=&quot;EN-US&quot;/&gt;&lt;/w:rPr&gt;&lt;m:t&gt;F&lt;/m:t&gt;&lt;/m:r&gt;&lt;/m:e&gt;&lt;m:sub&gt;&lt;m:r&gt;&lt;w:rPr&gt;&lt;w:rFonts w:ascii=&quot;Cambria Math&quot; w:h-ansi=&quot;Cambria Math&quot;/&gt;&lt;wx:font wx:val=&quot;Cambria Math&quot;/&gt;&lt;w:i/&gt;&lt;w:color w:val=&quot;000000&quot;/&gt;&lt;w:sz w:val=&quot;20&quot;/&gt;&lt;w:lang w:val=&quot;EN-US&quot;/&gt;&lt;/w:rPr&gt;&lt;m:t&gt;HE&lt;/m:t&gt;&lt;/m:r&gt;&lt;/m:sub&gt;&lt;/m:sSub&gt;&lt;m:r&gt;&lt;w:rPr&gt;&lt;w:rFonts w:ascii=&quot;Cambria Math&quot; w:h-ansi=&quot;Cambria Math&quot;/&gt;&lt;wx:font wx:val=&quot;Cambria Math&quot;/&gt;&lt;w:i/&gt;&lt;w:color w:val=&quot;000000&quot;/&gt;&lt;w:sz w:val=&quot;20&quot;/&gt;&lt;w:lang w:val=&quot;EN-US&quot;/&gt;&lt;/w:rPr&gt;&lt;m:t&gt;&amp;gt;0&lt;/m:t&gt;&lt;/m:r&gt;&lt;/m:e&gt;&lt;/m:eqArr&gt;&lt;/m:e&gt;&lt;/m:d&gt;&lt;m:r&gt;&lt;w:rPr&gt;&lt;w:rFonts w:ascii=&quot;Cambria Math&quot; w:h-ansi=&quot;Cambria Math&quot;/&gt;&lt;wx:font wx:val=&quot;Cambria Math&quot;/&gt;&lt;w:i/&gt;&lt;w:vanish/&gt;&lt;w:color w:val=&quot;000000&quot;/&gt;&lt;w:sz w:val=&quot;20&quot;/&gt;&lt;w:lang w:val=&quot;EN-US&quot;/&gt;&lt;/w:rPr&gt;&lt;m:t&gt;T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5043F6">
        <w:rPr>
          <w:noProof/>
          <w:vanish/>
          <w:color w:val="000000"/>
          <w:sz w:val="20"/>
          <w:lang w:val="en-US"/>
        </w:rPr>
        <w:instrText xml:space="preserve"> </w:instrText>
      </w:r>
      <w:r w:rsidRPr="005043F6">
        <w:rPr>
          <w:noProof/>
          <w:vanish/>
          <w:color w:val="000000"/>
          <w:sz w:val="20"/>
          <w:lang w:val="en-US"/>
        </w:rPr>
        <w:fldChar w:fldCharType="separate"/>
      </w:r>
      <w:r w:rsidR="00AC1B9F">
        <w:rPr>
          <w:position w:val="-24"/>
        </w:rPr>
        <w:pict>
          <v:shape id="_x0000_i1026" type="#_x0000_t75" style="width:90.55pt;height:30.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7&quot;/&gt;&lt;w:printFractionalCharacterWidth/&gt;&lt;w:doNotEmbedSystemFonts/&gt;&lt;w:mirrorMargins/&gt;&lt;w:hideSpellingErrors/&gt;&lt;w:stylePaneFormatFilter w:val=&quot;3F01&quot;/&gt;&lt;w:defaultTabStop w:val=&quot;720&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compat&gt;&lt;w:printColBlack/&gt;&lt;w:showBreaksInFrames/&gt;&lt;w:suppressSpBfAfterPgBrk/&gt;&lt;w:swapBordersFacingPages/&gt;&lt;w:convMailMergeEsc/&gt;&lt;w:ww6BorderRules/&gt;&lt;w:footnoteLayoutLikeWW8/&gt;&lt;w:shapeLayoutLikeWW8/&gt;&lt;w:alignTablesRowByRow/&gt;&lt;w:forgetLastTabAlignment/&gt;&lt;w:noSpaceRaiseLower/&gt;&lt;w:doNotUseHTMLParagraphAutoSpacing/&gt;&lt;w:layoutRawTableWidth/&gt;&lt;w:layoutTableRowsApart/&gt;&lt;w:useWord97LineBreakingRules/&gt;&lt;w:dontAllowFieldEndSelect/&gt;&lt;w:useWord2002TableStyleRules/&gt;&lt;/w:compat&gt;&lt;wsp:rsids&gt;&lt;wsp:rsidRoot wsp:val=&quot;00D76578&quot;/&gt;&lt;wsp:rsid wsp:val=&quot;001929B1&quot;/&gt;&lt;wsp:rsid wsp:val=&quot;001D723B&quot;/&gt;&lt;wsp:rsid wsp:val=&quot;0029020B&quot;/&gt;&lt;wsp:rsid wsp:val=&quot;002D44BE&quot;/&gt;&lt;wsp:rsid wsp:val=&quot;00442037&quot;/&gt;&lt;wsp:rsid wsp:val=&quot;004B064B&quot;/&gt;&lt;wsp:rsid wsp:val=&quot;005043F6&quot;/&gt;&lt;wsp:rsid wsp:val=&quot;005C546A&quot;/&gt;&lt;wsp:rsid wsp:val=&quot;0062440B&quot;/&gt;&lt;wsp:rsid wsp:val=&quot;006C0727&quot;/&gt;&lt;wsp:rsid wsp:val=&quot;006E145F&quot;/&gt;&lt;wsp:rsid wsp:val=&quot;00770572&quot;/&gt;&lt;wsp:rsid wsp:val=&quot;009F2FBC&quot;/&gt;&lt;wsp:rsid wsp:val=&quot;00AA427C&quot;/&gt;&lt;wsp:rsid wsp:val=&quot;00BE68C2&quot;/&gt;&lt;wsp:rsid wsp:val=&quot;00CA09B2&quot;/&gt;&lt;wsp:rsid wsp:val=&quot;00D76578&quot;/&gt;&lt;wsp:rsid wsp:val=&quot;00DC5A7B&quot;/&gt;&lt;/wsp:rsids&gt;&lt;/w:docPr&gt;&lt;w:body&gt;&lt;wx:sect&gt;&lt;w:p wsp:rsidR=&quot;00000000&quot; wsp:rsidRDefault=&quot;005C546A&quot; wsp:rsidP=&quot;005C546A&quot;&gt;&lt;m:oMathPara&gt;&lt;m:oMath&gt;&lt;m:sSub&gt;&lt;m:sSubPr&gt;&lt;m:ctrlPr&gt;&lt;w:rPr&gt;&lt;w:rFonts w:ascii=&quot;Cambria Math&quot; w:h-ansi=&quot;Cambria Math&quot;/&gt;&lt;wx:font wx:val=&quot;Cambria Math&quot;/&gt;&lt;w:i/&gt;&lt;w:color w:val=&quot;000000&quot;/&gt;&lt;w:sz w:val=&quot;20&quot;/&gt;&lt;w:lang w:val=&quot;EN-US&quot;/&gt;&lt;/w:rPr&gt;&lt;/m:ctrlPr&gt;&lt;/m:sSubPr&gt;&lt;m:e&gt;&lt;m:r&gt;&lt;w:rPr&gt;&lt;w:rFonts w:ascii=&quot;Cambria Math&quot; w:h-ansi=&quot;Cambria Math&quot;/&gt;&lt;wx:font wx:val=&quot;Cambria Math&quot;/&gt;&lt;w:i/&gt;&lt;w:color w:val=&quot;000000&quot;/&gt;&lt;w:sz w:val=&quot;20&quot;/&gt;&lt;w:lang w:val=&quot;EN-US&quot;/&gt;&lt;/w:rPr&gt;&lt;m:t&gt;T&lt;/m:t&gt;&lt;/m:r&gt;&lt;/m:e&gt;&lt;m:sub&gt;&lt;m:r&gt;&lt;w:rPr&gt;&lt;w:rFonts w:ascii=&quot;Cambria Math&quot; w:h-ansi=&quot;Cambria Math&quot;/&gt;&lt;wx:font wx:val=&quot;Cambria Math&quot;/&gt;&lt;w:i/&gt;&lt;w:color w:val=&quot;000000&quot;/&gt;&lt;w:sz w:val=&quot;20&quot;/&gt;&lt;w:lang w:val=&quot;EN-US&quot;/&gt;&lt;/w:rPr&gt;&lt;m:t&gt;HE&lt;/m:t&gt;&lt;/m:r&gt;&lt;/m:sub&gt;&lt;/m:sSub&gt;&lt;m:r&gt;&lt;w:rPr&gt;&lt;w:rFonts w:ascii=&quot;Cambria Math&quot; w:h-ansi=&quot;Cambria Math&quot;/&gt;&lt;wx:font wx:val=&quot;Cambria Math&quot;/&gt;&lt;w:i/&gt;&lt;w:color w:val=&quot;000000&quot;/&gt;&lt;w:sz w:val=&quot;20&quot;/&gt;&lt;w:lang w:val=&quot;EN-US&quot;/&gt;&lt;/w:rPr&gt;&lt;m:t&gt;=&lt;/m:t&gt;&lt;/m:r&gt;&lt;m:d&gt;&lt;m:dPr&gt;&lt;m:begChr m:val=&quot;{&quot;/&gt;&lt;m:endChr m:val=&quot;&quot;/&gt;&lt;m:ctrlPr&gt;&lt;w:rPr&gt;&lt;w:rFonts w:ascii=&quot;Cambria Math&quot; w:h-ansi=&quot;Cambria Math&quot;/&gt;&lt;wx:font wx:val=&quot;Cambria Math&quot;/&gt;&lt;w:i/&gt;&lt;w:color w:val=&quot;000000&quot;/&gt;&lt;w:sz w:val=&quot;20&quot;/&gt;&lt;w:lang w:val=&quot;EN-US&quot;/&gt;&lt;/w:rPr&gt;&lt;/m:ctrlPr&gt;&lt;/m:dPr&gt;&lt;m:e&gt;&lt;m:eqArr&gt;&lt;m:eqArrPr&gt;&lt;m:ctrlPr&gt;&lt;w:rPr&gt;&lt;w:rFonts w:ascii=&quot;Cambria Math&quot; w:h-ansi=&quot;Cambria Math&quot;/&gt;&lt;wx:font wx:val=&quot;Cambria Math&quot;/&gt;&lt;w:i/&gt;&lt;w:color w:val=&quot;000000&quot;/&gt;&lt;w:sz w:val=&quot;20&quot;/&gt;&lt;w:lang w:val=&quot;EN-US&quot;/&gt;&lt;/w:rPr&gt;&lt;/m:ctrlPr&gt;&lt;/m:eqArrPr&gt;&lt;m:e&gt;&lt;m:r&gt;&lt;w:rPr&gt;&lt;w:rFonts w:ascii=&quot;Cambria Math&quot; w:h-ansi=&quot;Cambria Math&quot;/&gt;&lt;wx:font wx:val=&quot;Cambria Math&quot;/&gt;&lt;w:i/&gt;&lt;w:color w:val=&quot;000000&quot;/&gt;&lt;w:sz w:val=&quot;20&quot;/&gt;&lt;w:lang w:val=&quot;EN-US&quot;/&gt;&lt;/w:rPr&gt;&lt;m:t&gt;0, &lt;/m:t&gt;&lt;/m:r&gt;&lt;m:sSub&gt;&lt;m:sSubPr&gt;&lt;m:ctrlPr&gt;&lt;w:rPr&gt;&lt;w:rFonts w:ascii=&quot;Cambria Math&quot; w:h-ansi=&quot;Cambria Math&quot;/&gt;&lt;wx:font wx:val=&quot;Cambria Math&quot;/&gt;&lt;w:i/&gt;&lt;w:color w:val=&quot;000000&quot;/&gt;&lt;w:sz w:val=&quot;20&quot;/&gt;&lt;w:lang w:val=&quot;EN-US&quot;/&gt;&lt;/w:rPr&gt;&lt;/m:ctrlPr&gt;&lt;/m:sSubPr&gt;&lt;m:e&gt;&lt;m:r&gt;&lt;w:rPr&gt;&lt;w:rFonts w:ascii=&quot;Cambria Math&quot; w:h-ansi=&quot;Cambria Math&quot;/&gt;&lt;wx:font wx:val=&quot;Cambria Math&quot;/&gt;&lt;w:i/&gt;&lt;w:color w:val=&quot;000000&quot;/&gt;&lt;w:sz w:val=&quot;20&quot;/&gt;&lt;w:lang w:val=&quot;EN-US&quot;/&gt;&lt;/w:rPr&gt;&lt;m:t&gt;F&lt;/m:t&gt;&lt;/m:r&gt;&lt;/m:e&gt;&lt;m:sub&gt;&lt;m:r&gt;&lt;w:rPr&gt;&lt;w:rFonts w:ascii=&quot;Cambria Math&quot; w:h-ansi=&quot;Cambria Math&quot;/&gt;&lt;wx:font wx:val=&quot;Cambria Math&quot;/&gt;&lt;w:i/&gt;&lt;w:color w:val=&quot;000000&quot;/&gt;&lt;w:sz w:val=&quot;20&quot;/&gt;&lt;w:lang w:val=&quot;EN-US&quot;/&gt;&lt;/w:rPr&gt;&lt;m:t&gt;HE&lt;/m:t&gt;&lt;/m:r&gt;&lt;/m:sub&gt;&lt;/m:sSub&gt;&lt;m:r&gt;&lt;w:rPr&gt;&lt;w:rFonts w:ascii=&quot;Cambria Math&quot; w:h-ansi=&quot;Cambria Math&quot;/&gt;&lt;wx:font wx:val=&quot;Cambria Math&quot;/&gt;&lt;w:i/&gt;&lt;w:color w:val=&quot;000000&quot;/&gt;&lt;w:sz w:val=&quot;20&quot;/&gt;&lt;w:lang w:val=&quot;EN-US&quot;/&gt;&lt;/w:rPr&gt;&lt;m:t&gt;=0&lt;/m:t&gt;&lt;/m:r&gt;&lt;/m:e&gt;&lt;m:e&gt;&lt;m:f&gt;&lt;m:fPr&gt;&lt;m:ctrlPr&gt;&lt;w:rPr&gt;&lt;w:rFonts w:ascii=&quot;Cambria Math&quot; w:h-ansi=&quot;Cambria Math&quot;/&gt;&lt;wx:font wx:val=&quot;Cambria Math&quot;/&gt;&lt;w:i/&gt;&lt;w:color w:val=&quot;000000&quot;/&gt;&lt;w:sz w:val=&quot;20&quot;/&gt;&lt;w:lang w:val=&quot;EN-US&quot;/&gt;&lt;/w:rPr&gt;&lt;/m:ctrlPr&gt;&lt;/m:fPr&gt;&lt;m:num&gt;&lt;m:sSup&gt;&lt;m:sSupPr&gt;&lt;m:ctrlPr&gt;&lt;w:rPr&gt;&lt;w:rFonts w:ascii=&quot;Cambria Math&quot; w:h-ansi=&quot;Cambria Math&quot;/&gt;&lt;wx:font wx:val=&quot;Cambria Math&quot;/&gt;&lt;w:i/&gt;&lt;w:color w:val=&quot;000000&quot;/&gt;&lt;w:sz w:val=&quot;20&quot;/&gt;&lt;w:lang w:val=&quot;EN-US&quot;/&gt;&lt;/w:rPr&gt;&lt;/m:ctrlPr&gt;&lt;/m:sSupPr&gt;&lt;m:e&gt;&lt;m:r&gt;&lt;w:rPr&gt;&lt;w:rFonts w:ascii=&quot;Cambria Math&quot; w:h-ansi=&quot;Cambria Math&quot;/&gt;&lt;wx:font wx:val=&quot;Cambria Math&quot;/&gt;&lt;w:i/&gt;&lt;w:color w:val=&quot;000000&quot;/&gt;&lt;w:sz w:val=&quot;20&quot;/&gt;&lt;w:lang w:val=&quot;EN-US&quot;/&gt;&lt;/w:rPr&gt;&lt;m:t&gt;2&lt;/m:t&gt;&lt;/m:r&gt;&lt;/m:e&gt;&lt;m:sup&gt;&lt;m:sSub&gt;&lt;m:sSubPr&gt;&lt;m:ctrlPr&gt;&lt;w:rPr&gt;&lt;w:rFonts w:ascii=&quot;Cambria Math&quot; w:h-ansi=&quot;Cambria Math&quot;/&gt;&lt;wx:font wx:val=&quot;Cambria Math&quot;/&gt;&lt;w:i/&gt;&lt;w:color w:val=&quot;000000&quot;/&gt;&lt;w:sz w:val=&quot;20&quot;/&gt;&lt;w:lang w:val=&quot;EN-US&quot;/&gt;&lt;/w:rPr&gt;&lt;/m:ctrlPr&gt;&lt;/m:sSubPr&gt;&lt;m:e&gt;&lt;m:r&gt;&lt;w:rPr&gt;&lt;w:rFonts w:ascii=&quot;Cambria Math&quot; w:h-ansi=&quot;Cambria Math&quot;/&gt;&lt;wx:font wx:val=&quot;Cambria Math&quot;/&gt;&lt;w:i/&gt;&lt;w:color w:val=&quot;000000&quot;/&gt;&lt;w:sz w:val=&quot;20&quot;/&gt;&lt;w:lang w:val=&quot;EN-US&quot;/&gt;&lt;/w:rPr&gt;&lt;m:t&gt;F&lt;/m:t&gt;&lt;/m:r&gt;&lt;/m:e&gt;&lt;m:sub&gt;&lt;m:r&gt;&lt;w:rPr&gt;&lt;w:rFonts w:ascii=&quot;Cambria Math&quot; w:h-ansi=&quot;Cambria Math&quot;/&gt;&lt;wx:font wx:val=&quot;Cambria Math&quot;/&gt;&lt;w:i/&gt;&lt;w:color w:val=&quot;000000&quot;/&gt;&lt;w:sz w:val=&quot;20&quot;/&gt;&lt;w:lang w:val=&quot;EN-US&quot;/&gt;&lt;/w:rPr&gt;&lt;m:t&gt;HE&lt;/m:t&gt;&lt;/m:r&gt;&lt;/m:sub&gt;&lt;/m:sSub&gt;&lt;/m:sup&gt;&lt;/m:sSup&gt;&lt;/m:num&gt;&lt;m:den&gt;&lt;m:r&gt;&lt;w:rPr&gt;&lt;w:rFonts w:ascii=&quot;Cambria Math&quot; w:h-ansi=&quot;Cambria Math&quot;/&gt;&lt;wx:font wx:val=&quot;Cambria Math&quot;/&gt;&lt;w:i/&gt;&lt;w:color w:val=&quot;000000&quot;/&gt;&lt;w:sz w:val=&quot;20&quot;/&gt;&lt;w:lang w:val=&quot;EN-US&quot;/&gt;&lt;/w:rPr&gt;&lt;m:t&gt;4&lt;/m:t&gt;&lt;/m:r&gt;&lt;/m:den&gt;&lt;/m:f&gt;&lt;m:r&gt;&lt;w:rPr&gt;&lt;w:rFonts w:ascii=&quot;Cambria Math&quot; w:h-ansi=&quot;Cambria Math&quot;/&gt;&lt;wx:font wx:val=&quot;Cambria Math&quot;/&gt;&lt;w:i/&gt;&lt;w:color w:val=&quot;000000&quot;/&gt;&lt;w:sz w:val=&quot;20&quot;/&gt;&lt;w:lang w:val=&quot;EN-US&quot;/&gt;&lt;/w:rPr&gt;&lt;m:t&gt;, &lt;/m:t&gt;&lt;/m:r&gt;&lt;m:sSub&gt;&lt;m:sSubPr&gt;&lt;m:ctrlPr&gt;&lt;w:rPr&gt;&lt;w:rFonts w:ascii=&quot;Cambria Math&quot; w:h-ansi=&quot;Cambria Math&quot;/&gt;&lt;wx:font wx:val=&quot;Cambria Math&quot;/&gt;&lt;w:i/&gt;&lt;w:color w:val=&quot;000000&quot;/&gt;&lt;w:sz w:val=&quot;20&quot;/&gt;&lt;w:lang w:val=&quot;EN-US&quot;/&gt;&lt;/w:rPr&gt;&lt;/m:ctrlPr&gt;&lt;/m:sSubPr&gt;&lt;m:e&gt;&lt;m:r&gt;&lt;w:rPr&gt;&lt;w:rFonts w:ascii=&quot;Cambria Math&quot; w:h-ansi=&quot;Cambria Math&quot;/&gt;&lt;wx:font wx:val=&quot;Cambria Math&quot;/&gt;&lt;w:i/&gt;&lt;w:color w:val=&quot;000000&quot;/&gt;&lt;w:sz w:val=&quot;20&quot;/&gt;&lt;w:lang w:val=&quot;EN-US&quot;/&gt;&lt;/w:rPr&gt;&lt;m:t&gt;F&lt;/m:t&gt;&lt;/m:r&gt;&lt;/m:e&gt;&lt;m:sub&gt;&lt;m:r&gt;&lt;w:rPr&gt;&lt;w:rFonts w:ascii=&quot;Cambria Math&quot; w:h-ansi=&quot;Cambria Math&quot;/&gt;&lt;wx:font wx:val=&quot;Cambria Math&quot;/&gt;&lt;w:i/&gt;&lt;w:color w:val=&quot;000000&quot;/&gt;&lt;w:sz w:val=&quot;20&quot;/&gt;&lt;w:lang w:val=&quot;EN-US&quot;/&gt;&lt;/w:rPr&gt;&lt;m:t&gt;HE&lt;/m:t&gt;&lt;/m:r&gt;&lt;/m:sub&gt;&lt;/m:sSub&gt;&lt;m:r&gt;&lt;w:rPr&gt;&lt;w:rFonts w:ascii=&quot;Cambria Math&quot; w:h-ansi=&quot;Cambria Math&quot;/&gt;&lt;wx:font wx:val=&quot;Cambria Math&quot;/&gt;&lt;w:i/&gt;&lt;w:color w:val=&quot;000000&quot;/&gt;&lt;w:sz w:val=&quot;20&quot;/&gt;&lt;w:lang w:val=&quot;EN-US&quot;/&gt;&lt;/w:rPr&gt;&lt;m:t&gt;&amp;gt;0&lt;/m:t&gt;&lt;/m:r&gt;&lt;/m:e&gt;&lt;/m:eqArr&gt;&lt;/m:e&gt;&lt;/m:d&gt;&lt;m:r&gt;&lt;w:rPr&gt;&lt;w:rFonts w:ascii=&quot;Cambria Math&quot; w:h-ansi=&quot;Cambria Math&quot;/&gt;&lt;wx:font wx:val=&quot;Cambria Math&quot;/&gt;&lt;w:i/&gt;&lt;w:vanish/&gt;&lt;w:color w:val=&quot;000000&quot;/&gt;&lt;w:sz w:val=&quot;20&quot;/&gt;&lt;w:lang w:val=&quot;EN-US&quot;/&gt;&lt;/w:rPr&gt;&lt;m:t&gt;T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5043F6">
        <w:rPr>
          <w:noProof/>
          <w:vanish/>
          <w:color w:val="000000"/>
          <w:sz w:val="20"/>
          <w:lang w:val="en-US"/>
        </w:rPr>
        <w:fldChar w:fldCharType="end"/>
      </w:r>
      <w:r w:rsidR="00AC1B9F">
        <w:rPr>
          <w:noProof/>
          <w:vanish/>
          <w:color w:val="000000"/>
          <w:sz w:val="20"/>
          <w:lang w:val="en-US"/>
        </w:rPr>
        <w:pict>
          <v:shape id="Picture 1" o:spid="_x0000_i1027" type="#_x0000_t75" style="width:119.25pt;height:53.45pt;visibility:visible;mso-wrap-style:square">
            <v:imagedata r:id="rId9" o:title=""/>
          </v:shape>
        </w:pict>
      </w:r>
      <w:r w:rsidRPr="005043F6">
        <w:rPr>
          <w:vanish/>
          <w:color w:val="000000"/>
          <w:sz w:val="20"/>
          <w:lang w:val="en-US"/>
        </w:rPr>
        <w:t>(Ed)</w:t>
      </w:r>
    </w:p>
    <w:p w:rsidR="005043F6" w:rsidRPr="005043F6" w:rsidRDefault="005043F6" w:rsidP="005043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rPr>
      </w:pPr>
      <w:r w:rsidRPr="005043F6">
        <w:rPr>
          <w:color w:val="000000"/>
          <w:sz w:val="20"/>
          <w:lang w:val="en-US"/>
        </w:rPr>
        <w:t>where</w:t>
      </w:r>
    </w:p>
    <w:p w:rsidR="005043F6" w:rsidRPr="005043F6" w:rsidRDefault="005043F6" w:rsidP="005043F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color w:val="000000"/>
          <w:sz w:val="20"/>
          <w:lang w:val="en-US"/>
        </w:rPr>
      </w:pPr>
      <w:r w:rsidRPr="005043F6">
        <w:rPr>
          <w:i/>
          <w:iCs/>
          <w:color w:val="000000"/>
          <w:sz w:val="20"/>
          <w:lang w:val="en-US"/>
        </w:rPr>
        <w:t>T</w:t>
      </w:r>
      <w:r w:rsidRPr="005043F6">
        <w:rPr>
          <w:i/>
          <w:iCs/>
          <w:color w:val="000000"/>
          <w:sz w:val="20"/>
          <w:vertAlign w:val="subscript"/>
          <w:lang w:val="en-US"/>
        </w:rPr>
        <w:t>HE</w:t>
      </w:r>
      <w:r w:rsidRPr="005043F6">
        <w:rPr>
          <w:color w:val="000000"/>
          <w:sz w:val="20"/>
          <w:lang w:val="en-US"/>
        </w:rPr>
        <w:tab/>
        <w:t>is the Heartbeat Elapsed Time (in milliseconds)</w:t>
      </w:r>
    </w:p>
    <w:p w:rsidR="005043F6" w:rsidRPr="005043F6" w:rsidRDefault="005043F6" w:rsidP="005043F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color w:val="000000"/>
          <w:sz w:val="20"/>
          <w:lang w:val="en-US"/>
        </w:rPr>
      </w:pPr>
      <w:r w:rsidRPr="005043F6">
        <w:rPr>
          <w:i/>
          <w:iCs/>
          <w:color w:val="000000"/>
          <w:sz w:val="20"/>
          <w:lang w:val="en-US"/>
        </w:rPr>
        <w:t>F</w:t>
      </w:r>
      <w:r w:rsidRPr="005043F6">
        <w:rPr>
          <w:i/>
          <w:iCs/>
          <w:color w:val="000000"/>
          <w:sz w:val="20"/>
          <w:vertAlign w:val="subscript"/>
          <w:lang w:val="en-US"/>
        </w:rPr>
        <w:t>HE</w:t>
      </w:r>
      <w:r w:rsidRPr="005043F6">
        <w:rPr>
          <w:color w:val="000000"/>
          <w:sz w:val="20"/>
          <w:lang w:val="en-US"/>
        </w:rPr>
        <w:tab/>
        <w:t xml:space="preserve">is the value of the Heartbeat Elapsed Indication </w:t>
      </w:r>
      <w:r w:rsidRPr="005043F6">
        <w:rPr>
          <w:vanish/>
          <w:color w:val="000000"/>
          <w:sz w:val="20"/>
          <w:lang w:val="en-US"/>
        </w:rPr>
        <w:t>(#3097)</w:t>
      </w:r>
      <w:r w:rsidRPr="005043F6">
        <w:rPr>
          <w:color w:val="000000"/>
          <w:sz w:val="20"/>
          <w:lang w:val="en-US"/>
        </w:rPr>
        <w:t>subfield</w:t>
      </w:r>
    </w:p>
    <w:p w:rsidR="005043F6" w:rsidRPr="005043F6" w:rsidRDefault="005043F6" w:rsidP="005043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rPr>
      </w:pPr>
      <w:r w:rsidRPr="005043F6">
        <w:rPr>
          <w:color w:val="000000"/>
          <w:sz w:val="20"/>
          <w:lang w:val="en-US"/>
        </w:rPr>
        <w:t xml:space="preserve">The Grant </w:t>
      </w:r>
      <w:r w:rsidRPr="005043F6">
        <w:rPr>
          <w:vanish/>
          <w:color w:val="000000"/>
          <w:sz w:val="20"/>
          <w:lang w:val="en-US"/>
        </w:rPr>
        <w:t>(#1198)</w:t>
      </w:r>
      <w:r w:rsidRPr="005043F6">
        <w:rPr>
          <w:color w:val="000000"/>
          <w:sz w:val="20"/>
          <w:lang w:val="en-US"/>
        </w:rPr>
        <w:t xml:space="preserve">Ack Supported </w:t>
      </w:r>
      <w:r w:rsidRPr="005043F6">
        <w:rPr>
          <w:vanish/>
          <w:color w:val="000000"/>
          <w:sz w:val="20"/>
          <w:lang w:val="en-US"/>
        </w:rPr>
        <w:t>(#3097)</w:t>
      </w:r>
      <w:r w:rsidRPr="005043F6">
        <w:rPr>
          <w:color w:val="000000"/>
          <w:sz w:val="20"/>
          <w:lang w:val="en-US"/>
        </w:rPr>
        <w:t xml:space="preserve">subfield is set to 1 to indicate that the STA is capable of responding to a Grant frame with a Grant </w:t>
      </w:r>
      <w:r w:rsidRPr="005043F6">
        <w:rPr>
          <w:vanish/>
          <w:color w:val="000000"/>
          <w:sz w:val="20"/>
          <w:lang w:val="en-US"/>
        </w:rPr>
        <w:t>(#1198)</w:t>
      </w:r>
      <w:r w:rsidRPr="005043F6">
        <w:rPr>
          <w:color w:val="000000"/>
          <w:sz w:val="20"/>
          <w:lang w:val="en-US"/>
        </w:rPr>
        <w:t xml:space="preserve">Ack frame. Otherwise, this </w:t>
      </w:r>
      <w:r w:rsidRPr="005043F6">
        <w:rPr>
          <w:vanish/>
          <w:color w:val="000000"/>
          <w:sz w:val="20"/>
          <w:lang w:val="en-US"/>
        </w:rPr>
        <w:t>(#3097)</w:t>
      </w:r>
      <w:r w:rsidRPr="005043F6">
        <w:rPr>
          <w:color w:val="000000"/>
          <w:sz w:val="20"/>
          <w:lang w:val="en-US"/>
        </w:rPr>
        <w:t>subfield is set to 0.</w:t>
      </w:r>
    </w:p>
    <w:p w:rsidR="005043F6" w:rsidRPr="005043F6" w:rsidRDefault="005043F6" w:rsidP="005043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rPr>
      </w:pPr>
      <w:r w:rsidRPr="005043F6">
        <w:rPr>
          <w:color w:val="000000"/>
          <w:sz w:val="20"/>
          <w:lang w:val="en-US"/>
        </w:rPr>
        <w:t xml:space="preserve">The RXSSTxRate Supported </w:t>
      </w:r>
      <w:r w:rsidRPr="005043F6">
        <w:rPr>
          <w:vanish/>
          <w:color w:val="000000"/>
          <w:sz w:val="20"/>
          <w:lang w:val="en-US"/>
        </w:rPr>
        <w:t>(#3097)</w:t>
      </w:r>
      <w:r w:rsidRPr="005043F6">
        <w:rPr>
          <w:color w:val="000000"/>
          <w:sz w:val="20"/>
          <w:lang w:val="en-US"/>
        </w:rPr>
        <w:t>subfield is set to 1 to indicate that the STA can perform an RXSS with SSW frames transmitted at MCS 1 of the DMG SC modulation class. Otherwise, it is set to 0.</w:t>
      </w:r>
    </w:p>
    <w:p w:rsidR="005043F6" w:rsidRPr="005043F6" w:rsidRDefault="005043F6" w:rsidP="005043F6">
      <w:pPr>
        <w:spacing w:after="240"/>
        <w:jc w:val="both"/>
        <w:rPr>
          <w:sz w:val="20"/>
          <w:lang w:val="en-US" w:eastAsia="ja-JP"/>
        </w:rPr>
      </w:pPr>
    </w:p>
    <w:p w:rsidR="005043F6" w:rsidRPr="005043F6" w:rsidRDefault="005043F6" w:rsidP="005043F6">
      <w:pPr>
        <w:spacing w:after="240"/>
        <w:jc w:val="both"/>
        <w:rPr>
          <w:sz w:val="20"/>
          <w:lang w:val="en-US" w:eastAsia="ja-JP"/>
        </w:rPr>
      </w:pPr>
      <w:r w:rsidRPr="005043F6">
        <w:rPr>
          <w:sz w:val="20"/>
          <w:lang w:val="en-US" w:eastAsia="ja-JP"/>
        </w:rPr>
        <w:t xml:space="preserve">The EDMG AP/PCP Core Capabilities field is shown in </w:t>
      </w:r>
      <w:r w:rsidRPr="005043F6">
        <w:rPr>
          <w:sz w:val="20"/>
          <w:lang w:val="en-US" w:eastAsia="ja-JP"/>
        </w:rPr>
        <w:fldChar w:fldCharType="begin"/>
      </w:r>
      <w:r w:rsidRPr="005043F6">
        <w:rPr>
          <w:sz w:val="20"/>
          <w:lang w:val="en-US" w:eastAsia="ja-JP"/>
        </w:rPr>
        <w:instrText xml:space="preserve"> REF _Ref469061660 \r \h </w:instrText>
      </w:r>
      <w:r w:rsidRPr="005043F6">
        <w:rPr>
          <w:sz w:val="20"/>
          <w:lang w:val="en-US" w:eastAsia="ja-JP"/>
        </w:rPr>
      </w:r>
      <w:r w:rsidRPr="005043F6">
        <w:rPr>
          <w:sz w:val="20"/>
          <w:lang w:val="en-US" w:eastAsia="ja-JP"/>
        </w:rPr>
        <w:fldChar w:fldCharType="separate"/>
      </w:r>
      <w:r w:rsidRPr="005043F6">
        <w:rPr>
          <w:sz w:val="20"/>
          <w:lang w:val="en-US" w:eastAsia="ja-JP"/>
        </w:rPr>
        <w:t>Figure 4</w:t>
      </w:r>
      <w:r w:rsidRPr="005043F6">
        <w:rPr>
          <w:sz w:val="20"/>
          <w:lang w:val="en-US" w:eastAsia="ja-JP"/>
        </w:rPr>
        <w:fldChar w:fldCharType="end"/>
      </w:r>
      <w:r w:rsidRPr="005043F6">
        <w:rPr>
          <w:sz w:val="20"/>
          <w:lang w:val="en-US" w:eastAsia="ja-JP"/>
        </w:rPr>
        <w:t>.</w:t>
      </w:r>
    </w:p>
    <w:tbl>
      <w:tblPr>
        <w:tblW w:w="0" w:type="auto"/>
        <w:jc w:val="center"/>
        <w:tblLook w:val="04A0" w:firstRow="1" w:lastRow="0" w:firstColumn="1" w:lastColumn="0" w:noHBand="0" w:noVBand="1"/>
      </w:tblPr>
      <w:tblGrid>
        <w:gridCol w:w="557"/>
        <w:gridCol w:w="756"/>
        <w:gridCol w:w="2051"/>
        <w:gridCol w:w="1291"/>
        <w:gridCol w:w="2491"/>
        <w:gridCol w:w="1221"/>
      </w:tblGrid>
      <w:tr w:rsidR="005043F6" w:rsidRPr="005043F6" w:rsidTr="004228FE">
        <w:trPr>
          <w:jc w:val="center"/>
        </w:trPr>
        <w:tc>
          <w:tcPr>
            <w:tcW w:w="0" w:type="auto"/>
            <w:tcBorders>
              <w:right w:val="single" w:sz="4" w:space="0" w:color="auto"/>
            </w:tcBorders>
            <w:shd w:val="clear" w:color="auto" w:fill="auto"/>
          </w:tcPr>
          <w:p w:rsidR="005043F6" w:rsidRPr="005043F6" w:rsidRDefault="005043F6" w:rsidP="005043F6">
            <w:pPr>
              <w:keepNext/>
              <w:keepLines/>
              <w:jc w:val="center"/>
              <w:rPr>
                <w:sz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TDDTI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Pseudo-static Allocations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PCP Handover</w:t>
            </w:r>
          </w:p>
        </w:tc>
        <w:tc>
          <w:tcPr>
            <w:tcW w:w="0" w:type="auto"/>
            <w:tcBorders>
              <w:top w:val="single" w:sz="4" w:space="0" w:color="auto"/>
              <w:left w:val="single" w:sz="4" w:space="0" w:color="auto"/>
              <w:bottom w:val="single" w:sz="4" w:space="0" w:color="auto"/>
              <w:right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MAX Associated STA Number</w:t>
            </w:r>
          </w:p>
        </w:tc>
        <w:tc>
          <w:tcPr>
            <w:tcW w:w="0" w:type="auto"/>
            <w:tcBorders>
              <w:top w:val="single" w:sz="4" w:space="0" w:color="auto"/>
              <w:left w:val="single" w:sz="4" w:space="0" w:color="auto"/>
              <w:bottom w:val="single" w:sz="4" w:space="0" w:color="auto"/>
              <w:right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Power Source</w:t>
            </w:r>
          </w:p>
        </w:tc>
      </w:tr>
      <w:tr w:rsidR="005043F6" w:rsidRPr="005043F6" w:rsidTr="004228FE">
        <w:trPr>
          <w:jc w:val="center"/>
        </w:trPr>
        <w:tc>
          <w:tcPr>
            <w:tcW w:w="0" w:type="auto"/>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Bits:</w:t>
            </w: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1</w:t>
            </w: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1</w:t>
            </w: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1</w:t>
            </w:r>
          </w:p>
        </w:tc>
        <w:tc>
          <w:tcPr>
            <w:tcW w:w="0" w:type="auto"/>
            <w:tcBorders>
              <w:top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8</w:t>
            </w:r>
          </w:p>
        </w:tc>
        <w:tc>
          <w:tcPr>
            <w:tcW w:w="0" w:type="auto"/>
            <w:tcBorders>
              <w:top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1</w:t>
            </w:r>
          </w:p>
        </w:tc>
      </w:tr>
    </w:tbl>
    <w:p w:rsidR="005043F6" w:rsidRPr="005043F6" w:rsidRDefault="005043F6" w:rsidP="005043F6">
      <w:pPr>
        <w:spacing w:after="240"/>
        <w:jc w:val="both"/>
        <w:rPr>
          <w:sz w:val="20"/>
          <w:lang w:val="en-US" w:eastAsia="ja-JP"/>
        </w:rPr>
      </w:pPr>
    </w:p>
    <w:tbl>
      <w:tblPr>
        <w:tblW w:w="0" w:type="auto"/>
        <w:jc w:val="center"/>
        <w:tblLook w:val="04A0" w:firstRow="1" w:lastRow="0" w:firstColumn="1" w:lastColumn="0" w:noHBand="0" w:noVBand="1"/>
      </w:tblPr>
      <w:tblGrid>
        <w:gridCol w:w="557"/>
        <w:gridCol w:w="2031"/>
        <w:gridCol w:w="1239"/>
        <w:gridCol w:w="1861"/>
        <w:gridCol w:w="1687"/>
        <w:gridCol w:w="2201"/>
      </w:tblGrid>
      <w:tr w:rsidR="005043F6" w:rsidRPr="005043F6" w:rsidTr="004228FE">
        <w:trPr>
          <w:jc w:val="center"/>
        </w:trPr>
        <w:tc>
          <w:tcPr>
            <w:tcW w:w="0" w:type="auto"/>
            <w:tcBorders>
              <w:right w:val="single" w:sz="4" w:space="0" w:color="auto"/>
            </w:tcBorders>
            <w:shd w:val="clear" w:color="auto" w:fill="auto"/>
          </w:tcPr>
          <w:p w:rsidR="005043F6" w:rsidRPr="005043F6" w:rsidRDefault="005043F6" w:rsidP="005043F6">
            <w:pPr>
              <w:keepNext/>
              <w:keepLines/>
              <w:jc w:val="center"/>
              <w:rPr>
                <w:sz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Decentralized AP or PCP Clustering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PCP Forwarding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Centralized AP or PCP Clustering</w:t>
            </w:r>
          </w:p>
        </w:tc>
        <w:tc>
          <w:tcPr>
            <w:tcW w:w="0" w:type="auto"/>
            <w:tcBorders>
              <w:top w:val="single" w:sz="4" w:space="0" w:color="auto"/>
              <w:left w:val="single" w:sz="4" w:space="0" w:color="auto"/>
              <w:bottom w:val="single" w:sz="4" w:space="0" w:color="auto"/>
              <w:right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EDMG AP/PCP Capabilities</w:t>
            </w:r>
          </w:p>
        </w:tc>
        <w:tc>
          <w:tcPr>
            <w:tcW w:w="0" w:type="auto"/>
            <w:tcBorders>
              <w:top w:val="single" w:sz="4" w:space="0" w:color="auto"/>
              <w:left w:val="single" w:sz="4" w:space="0" w:color="auto"/>
              <w:bottom w:val="single" w:sz="4" w:space="0" w:color="auto"/>
              <w:right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EDMG STA BeamTracking Time Limit</w:t>
            </w:r>
          </w:p>
        </w:tc>
      </w:tr>
      <w:tr w:rsidR="005043F6" w:rsidRPr="005043F6" w:rsidTr="004228FE">
        <w:trPr>
          <w:jc w:val="center"/>
        </w:trPr>
        <w:tc>
          <w:tcPr>
            <w:tcW w:w="0" w:type="auto"/>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Bits:</w:t>
            </w: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1</w:t>
            </w: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1</w:t>
            </w: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TBD</w:t>
            </w:r>
          </w:p>
        </w:tc>
        <w:tc>
          <w:tcPr>
            <w:tcW w:w="0" w:type="auto"/>
            <w:tcBorders>
              <w:top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TBD</w:t>
            </w:r>
          </w:p>
        </w:tc>
        <w:tc>
          <w:tcPr>
            <w:tcW w:w="0" w:type="auto"/>
            <w:tcBorders>
              <w:top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TBD</w:t>
            </w:r>
          </w:p>
        </w:tc>
      </w:tr>
    </w:tbl>
    <w:p w:rsidR="005043F6" w:rsidRPr="005043F6" w:rsidRDefault="005043F6" w:rsidP="005043F6">
      <w:pPr>
        <w:spacing w:after="240"/>
        <w:jc w:val="both"/>
        <w:rPr>
          <w:sz w:val="20"/>
          <w:lang w:val="en-US" w:eastAsia="ja-JP"/>
        </w:rPr>
      </w:pPr>
    </w:p>
    <w:p w:rsidR="005043F6" w:rsidRPr="005043F6" w:rsidRDefault="005043F6" w:rsidP="005043F6">
      <w:pPr>
        <w:keepLines/>
        <w:tabs>
          <w:tab w:val="left" w:pos="403"/>
          <w:tab w:val="left" w:pos="475"/>
          <w:tab w:val="left" w:pos="547"/>
        </w:tabs>
        <w:suppressAutoHyphens/>
        <w:spacing w:before="120" w:after="120"/>
        <w:jc w:val="center"/>
        <w:rPr>
          <w:rFonts w:ascii="Arial" w:hAnsi="Arial"/>
          <w:b/>
          <w:sz w:val="20"/>
          <w:lang w:val="en-US" w:eastAsia="ja-JP"/>
        </w:rPr>
      </w:pPr>
      <w:bookmarkStart w:id="3" w:name="_Ref469061660"/>
      <w:r w:rsidRPr="005043F6">
        <w:rPr>
          <w:rFonts w:ascii="Arial" w:hAnsi="Arial"/>
          <w:b/>
          <w:sz w:val="20"/>
          <w:lang w:val="en-US" w:eastAsia="ja-JP"/>
        </w:rPr>
        <w:t>—EDMG AP/PCP Core Capabilities sub-field format</w:t>
      </w:r>
      <w:bookmarkEnd w:id="3"/>
    </w:p>
    <w:p w:rsidR="005043F6" w:rsidRPr="005043F6" w:rsidRDefault="005043F6" w:rsidP="005043F6">
      <w:pPr>
        <w:spacing w:after="240"/>
        <w:jc w:val="both"/>
        <w:rPr>
          <w:sz w:val="20"/>
          <w:lang w:val="en-US" w:eastAsia="ja-JP"/>
        </w:rPr>
      </w:pPr>
    </w:p>
    <w:p w:rsidR="005043F6" w:rsidRPr="005043F6" w:rsidRDefault="005043F6" w:rsidP="005043F6">
      <w:pPr>
        <w:spacing w:after="240"/>
        <w:jc w:val="both"/>
        <w:rPr>
          <w:sz w:val="20"/>
          <w:lang w:val="en-US" w:eastAsia="ja-JP"/>
        </w:rPr>
      </w:pPr>
      <w:r w:rsidRPr="005043F6">
        <w:rPr>
          <w:sz w:val="20"/>
          <w:lang w:val="en-US" w:eastAsia="ja-JP"/>
        </w:rPr>
        <w:t xml:space="preserve">Each Extended Capabilities sub-field is structured as defined in </w:t>
      </w:r>
      <w:r w:rsidRPr="005043F6">
        <w:rPr>
          <w:sz w:val="20"/>
          <w:lang w:val="en-US" w:eastAsia="ja-JP"/>
        </w:rPr>
        <w:fldChar w:fldCharType="begin"/>
      </w:r>
      <w:r w:rsidRPr="005043F6">
        <w:rPr>
          <w:sz w:val="20"/>
          <w:lang w:val="en-US" w:eastAsia="ja-JP"/>
        </w:rPr>
        <w:instrText xml:space="preserve"> REF _Ref467592346 \r \h </w:instrText>
      </w:r>
      <w:r w:rsidRPr="005043F6">
        <w:rPr>
          <w:sz w:val="20"/>
          <w:lang w:val="en-US" w:eastAsia="ja-JP"/>
        </w:rPr>
      </w:r>
      <w:r w:rsidRPr="005043F6">
        <w:rPr>
          <w:sz w:val="20"/>
          <w:lang w:val="en-US" w:eastAsia="ja-JP"/>
        </w:rPr>
        <w:fldChar w:fldCharType="separate"/>
      </w:r>
      <w:r w:rsidRPr="005043F6">
        <w:rPr>
          <w:sz w:val="20"/>
          <w:lang w:val="en-US" w:eastAsia="ja-JP"/>
        </w:rPr>
        <w:t>Figure 5</w:t>
      </w:r>
      <w:r w:rsidRPr="005043F6">
        <w:rPr>
          <w:sz w:val="20"/>
          <w:lang w:val="en-US" w:eastAsia="ja-JP"/>
        </w:rPr>
        <w:fldChar w:fldCharType="end"/>
      </w:r>
      <w:r w:rsidRPr="005043F6">
        <w:rPr>
          <w:sz w:val="20"/>
          <w:lang w:val="en-US" w:eastAsia="ja-JP"/>
        </w:rPr>
        <w:t xml:space="preserve">. The Extended Capabilities field is identified by the contents of the Capabilities ID subfield. The Capabilities Length subfield specifies the number of octets in the Capabilities Payload subfield that follows the Capabilities Length subfield. </w:t>
      </w:r>
    </w:p>
    <w:tbl>
      <w:tblPr>
        <w:tblW w:w="0" w:type="auto"/>
        <w:jc w:val="center"/>
        <w:tblLook w:val="04A0" w:firstRow="1" w:lastRow="0" w:firstColumn="1" w:lastColumn="0" w:noHBand="0" w:noVBand="1"/>
      </w:tblPr>
      <w:tblGrid>
        <w:gridCol w:w="726"/>
        <w:gridCol w:w="1311"/>
        <w:gridCol w:w="1631"/>
        <w:gridCol w:w="1701"/>
      </w:tblGrid>
      <w:tr w:rsidR="005043F6" w:rsidRPr="005043F6" w:rsidTr="004228FE">
        <w:trPr>
          <w:jc w:val="center"/>
        </w:trPr>
        <w:tc>
          <w:tcPr>
            <w:tcW w:w="0" w:type="auto"/>
            <w:tcBorders>
              <w:right w:val="single" w:sz="4" w:space="0" w:color="auto"/>
            </w:tcBorders>
            <w:shd w:val="clear" w:color="auto" w:fill="auto"/>
          </w:tcPr>
          <w:p w:rsidR="005043F6" w:rsidRPr="005043F6" w:rsidRDefault="005043F6" w:rsidP="005043F6">
            <w:pPr>
              <w:keepNext/>
              <w:keepLines/>
              <w:jc w:val="center"/>
              <w:rPr>
                <w:sz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Capabilities ID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Capabilities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Capabilities Payload</w:t>
            </w:r>
          </w:p>
        </w:tc>
      </w:tr>
      <w:tr w:rsidR="005043F6" w:rsidRPr="005043F6" w:rsidTr="004228FE">
        <w:trPr>
          <w:jc w:val="center"/>
        </w:trPr>
        <w:tc>
          <w:tcPr>
            <w:tcW w:w="0" w:type="auto"/>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Octets:</w:t>
            </w: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1</w:t>
            </w: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1</w:t>
            </w: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Variable</w:t>
            </w:r>
          </w:p>
        </w:tc>
      </w:tr>
    </w:tbl>
    <w:p w:rsidR="005043F6" w:rsidRPr="005043F6" w:rsidRDefault="005043F6" w:rsidP="005043F6">
      <w:pPr>
        <w:keepLines/>
        <w:tabs>
          <w:tab w:val="left" w:pos="403"/>
          <w:tab w:val="left" w:pos="475"/>
          <w:tab w:val="left" w:pos="547"/>
        </w:tabs>
        <w:suppressAutoHyphens/>
        <w:spacing w:before="120" w:after="120"/>
        <w:jc w:val="center"/>
        <w:rPr>
          <w:rFonts w:ascii="Arial" w:hAnsi="Arial"/>
          <w:b/>
          <w:sz w:val="20"/>
          <w:lang w:val="en-US" w:eastAsia="ja-JP"/>
        </w:rPr>
      </w:pPr>
      <w:bookmarkStart w:id="4" w:name="_Ref467592346"/>
      <w:r w:rsidRPr="005043F6">
        <w:rPr>
          <w:rFonts w:ascii="Arial" w:hAnsi="Arial"/>
          <w:b/>
          <w:sz w:val="20"/>
          <w:lang w:val="en-US" w:eastAsia="ja-JP"/>
        </w:rPr>
        <w:t>—Extended Capability sub-field format</w:t>
      </w:r>
      <w:bookmarkEnd w:id="4"/>
    </w:p>
    <w:p w:rsidR="005043F6" w:rsidRPr="005043F6" w:rsidRDefault="005043F6" w:rsidP="005043F6">
      <w:pPr>
        <w:spacing w:after="240"/>
        <w:jc w:val="both"/>
        <w:rPr>
          <w:sz w:val="20"/>
          <w:lang w:val="en-US" w:eastAsia="ja-JP"/>
        </w:rPr>
      </w:pPr>
    </w:p>
    <w:p w:rsidR="005043F6" w:rsidRPr="005043F6" w:rsidRDefault="005043F6" w:rsidP="005043F6">
      <w:pPr>
        <w:spacing w:after="240"/>
        <w:jc w:val="both"/>
        <w:rPr>
          <w:sz w:val="20"/>
          <w:lang w:val="en-US" w:eastAsia="ja-JP"/>
        </w:rPr>
      </w:pPr>
      <w:r w:rsidRPr="005043F6">
        <w:rPr>
          <w:sz w:val="20"/>
          <w:lang w:val="en-US" w:eastAsia="ja-JP"/>
        </w:rPr>
        <w:t xml:space="preserve">The set of valid extended capabilities is defined in </w:t>
      </w:r>
      <w:r w:rsidRPr="005043F6">
        <w:rPr>
          <w:sz w:val="20"/>
          <w:lang w:val="en-US" w:eastAsia="ja-JP"/>
        </w:rPr>
        <w:fldChar w:fldCharType="begin"/>
      </w:r>
      <w:r w:rsidRPr="005043F6">
        <w:rPr>
          <w:sz w:val="20"/>
          <w:lang w:val="en-US" w:eastAsia="ja-JP"/>
        </w:rPr>
        <w:instrText xml:space="preserve"> REF _Ref467593130 \r \h </w:instrText>
      </w:r>
      <w:r w:rsidRPr="005043F6">
        <w:rPr>
          <w:sz w:val="20"/>
          <w:lang w:val="en-US" w:eastAsia="ja-JP"/>
        </w:rPr>
      </w:r>
      <w:r w:rsidRPr="005043F6">
        <w:rPr>
          <w:sz w:val="20"/>
          <w:lang w:val="en-US" w:eastAsia="ja-JP"/>
        </w:rPr>
        <w:fldChar w:fldCharType="separate"/>
      </w:r>
      <w:r w:rsidRPr="005043F6">
        <w:rPr>
          <w:sz w:val="20"/>
          <w:lang w:val="en-US" w:eastAsia="ja-JP"/>
        </w:rPr>
        <w:t>Table 2</w:t>
      </w:r>
      <w:r w:rsidRPr="005043F6">
        <w:rPr>
          <w:sz w:val="20"/>
          <w:lang w:val="en-US" w:eastAsia="ja-JP"/>
        </w:rPr>
        <w:fldChar w:fldCharType="end"/>
      </w:r>
      <w:r w:rsidRPr="005043F6">
        <w:rPr>
          <w:sz w:val="20"/>
          <w:lang w:val="en-US" w:eastAsia="ja-JP"/>
        </w:rPr>
        <w:t>. An Extended Capabilities sub-field shall only appear once in the EDMG Capabilities element. Extended Capabilities sub-fields may be transmitted in any order.</w:t>
      </w:r>
    </w:p>
    <w:p w:rsidR="005043F6" w:rsidRPr="005043F6" w:rsidRDefault="005043F6" w:rsidP="005043F6">
      <w:pPr>
        <w:keepNext/>
        <w:keepLines/>
        <w:tabs>
          <w:tab w:val="left" w:pos="360"/>
          <w:tab w:val="left" w:pos="432"/>
          <w:tab w:val="left" w:pos="504"/>
        </w:tabs>
        <w:suppressAutoHyphens/>
        <w:spacing w:before="120" w:after="120"/>
        <w:jc w:val="center"/>
        <w:rPr>
          <w:rFonts w:ascii="Arial" w:hAnsi="Arial"/>
          <w:b/>
          <w:sz w:val="20"/>
          <w:lang w:val="en-US" w:eastAsia="ja-JP"/>
        </w:rPr>
      </w:pPr>
      <w:bookmarkStart w:id="5" w:name="_Ref467593130"/>
      <w:r w:rsidRPr="005043F6">
        <w:rPr>
          <w:rFonts w:ascii="Arial" w:hAnsi="Arial"/>
          <w:b/>
          <w:sz w:val="20"/>
          <w:lang w:val="en-US" w:eastAsia="ja-JP"/>
        </w:rPr>
        <w:t>—Capabilities IDs</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382"/>
      </w:tblGrid>
      <w:tr w:rsidR="005043F6" w:rsidRPr="005043F6" w:rsidTr="004228FE">
        <w:trPr>
          <w:jc w:val="center"/>
        </w:trPr>
        <w:tc>
          <w:tcPr>
            <w:tcW w:w="0" w:type="auto"/>
            <w:shd w:val="clear" w:color="auto" w:fill="auto"/>
          </w:tcPr>
          <w:p w:rsidR="005043F6" w:rsidRPr="005043F6" w:rsidRDefault="005043F6" w:rsidP="005043F6">
            <w:pPr>
              <w:keepNext/>
              <w:keepLines/>
              <w:jc w:val="center"/>
              <w:rPr>
                <w:b/>
                <w:sz w:val="18"/>
                <w:lang w:val="en-US" w:eastAsia="ja-JP"/>
              </w:rPr>
            </w:pPr>
            <w:r w:rsidRPr="005043F6">
              <w:rPr>
                <w:b/>
                <w:sz w:val="18"/>
                <w:lang w:val="en-US" w:eastAsia="ja-JP"/>
              </w:rPr>
              <w:t>Capability</w:t>
            </w:r>
          </w:p>
        </w:tc>
        <w:tc>
          <w:tcPr>
            <w:tcW w:w="0" w:type="auto"/>
            <w:shd w:val="clear" w:color="auto" w:fill="auto"/>
          </w:tcPr>
          <w:p w:rsidR="005043F6" w:rsidRPr="005043F6" w:rsidRDefault="005043F6" w:rsidP="005043F6">
            <w:pPr>
              <w:keepNext/>
              <w:keepLines/>
              <w:jc w:val="center"/>
              <w:rPr>
                <w:b/>
                <w:sz w:val="18"/>
                <w:lang w:val="en-US" w:eastAsia="ja-JP"/>
              </w:rPr>
            </w:pPr>
            <w:r w:rsidRPr="005043F6">
              <w:rPr>
                <w:b/>
                <w:sz w:val="18"/>
                <w:lang w:val="en-US" w:eastAsia="ja-JP"/>
              </w:rPr>
              <w:t>Capabilities ID</w:t>
            </w:r>
          </w:p>
        </w:tc>
      </w:tr>
      <w:tr w:rsidR="005043F6" w:rsidRPr="005043F6" w:rsidTr="004228FE">
        <w:trPr>
          <w:jc w:val="center"/>
        </w:trPr>
        <w:tc>
          <w:tcPr>
            <w:tcW w:w="0" w:type="auto"/>
            <w:shd w:val="clear" w:color="auto" w:fill="auto"/>
          </w:tcPr>
          <w:p w:rsidR="005043F6" w:rsidRPr="005043F6" w:rsidRDefault="005043F6" w:rsidP="005043F6">
            <w:pPr>
              <w:keepNext/>
              <w:keepLines/>
              <w:rPr>
                <w:sz w:val="18"/>
                <w:lang w:val="en-US" w:eastAsia="ja-JP"/>
              </w:rPr>
            </w:pPr>
            <w:r w:rsidRPr="005043F6">
              <w:rPr>
                <w:sz w:val="18"/>
                <w:lang w:val="en-US" w:eastAsia="ja-JP"/>
              </w:rPr>
              <w:t>Multi-BF</w:t>
            </w:r>
          </w:p>
        </w:tc>
        <w:tc>
          <w:tcPr>
            <w:tcW w:w="0" w:type="auto"/>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0</w:t>
            </w:r>
          </w:p>
        </w:tc>
      </w:tr>
      <w:tr w:rsidR="005043F6" w:rsidRPr="005043F6" w:rsidTr="004228FE">
        <w:trPr>
          <w:jc w:val="center"/>
        </w:trPr>
        <w:tc>
          <w:tcPr>
            <w:tcW w:w="0" w:type="auto"/>
            <w:shd w:val="clear" w:color="auto" w:fill="auto"/>
          </w:tcPr>
          <w:p w:rsidR="005043F6" w:rsidRPr="005043F6" w:rsidRDefault="005043F6" w:rsidP="005043F6">
            <w:pPr>
              <w:keepNext/>
              <w:keepLines/>
              <w:rPr>
                <w:sz w:val="18"/>
                <w:lang w:val="en-US" w:eastAsia="ja-JP"/>
              </w:rPr>
            </w:pPr>
            <w:r w:rsidRPr="005043F6">
              <w:rPr>
                <w:sz w:val="18"/>
                <w:lang w:val="en-US" w:eastAsia="ja-JP"/>
              </w:rPr>
              <w:t>Antenna Polarization Capability</w:t>
            </w:r>
          </w:p>
        </w:tc>
        <w:tc>
          <w:tcPr>
            <w:tcW w:w="0" w:type="auto"/>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1</w:t>
            </w:r>
          </w:p>
        </w:tc>
      </w:tr>
    </w:tbl>
    <w:p w:rsidR="005043F6" w:rsidRPr="005043F6" w:rsidRDefault="005043F6" w:rsidP="005043F6">
      <w:pPr>
        <w:spacing w:after="240"/>
        <w:jc w:val="both"/>
        <w:rPr>
          <w:sz w:val="20"/>
          <w:lang w:val="en-US" w:eastAsia="ja-JP"/>
        </w:rPr>
      </w:pPr>
    </w:p>
    <w:p w:rsidR="005043F6" w:rsidRPr="005043F6" w:rsidRDefault="005043F6" w:rsidP="005043F6">
      <w:pPr>
        <w:keepNext/>
        <w:keepLines/>
        <w:numPr>
          <w:ilvl w:val="3"/>
          <w:numId w:val="0"/>
        </w:numPr>
        <w:suppressAutoHyphens/>
        <w:spacing w:before="240" w:after="240"/>
        <w:outlineLvl w:val="3"/>
        <w:rPr>
          <w:rFonts w:ascii="Arial" w:hAnsi="Arial"/>
          <w:b/>
          <w:sz w:val="20"/>
          <w:lang w:val="en-US" w:eastAsia="ja-JP"/>
        </w:rPr>
      </w:pPr>
      <w:r w:rsidRPr="005043F6">
        <w:rPr>
          <w:rFonts w:ascii="Arial" w:hAnsi="Arial"/>
          <w:b/>
          <w:sz w:val="20"/>
          <w:lang w:val="en-US" w:eastAsia="ja-JP"/>
        </w:rPr>
        <w:lastRenderedPageBreak/>
        <w:t>Multi-BF field</w:t>
      </w:r>
    </w:p>
    <w:p w:rsidR="005043F6" w:rsidRPr="005043F6" w:rsidRDefault="005043F6" w:rsidP="005043F6">
      <w:pPr>
        <w:spacing w:after="240"/>
        <w:jc w:val="both"/>
        <w:rPr>
          <w:sz w:val="20"/>
          <w:lang w:val="en-US" w:eastAsia="ja-JP"/>
        </w:rPr>
      </w:pPr>
      <w:r w:rsidRPr="005043F6">
        <w:rPr>
          <w:sz w:val="20"/>
          <w:lang w:val="en-US" w:eastAsia="ja-JP"/>
        </w:rPr>
        <w:t>The Multi-BF field indicates the capability of the STA to perform multi-beamforming.</w:t>
      </w:r>
    </w:p>
    <w:p w:rsidR="005043F6" w:rsidRPr="005043F6" w:rsidRDefault="005043F6" w:rsidP="005043F6">
      <w:pPr>
        <w:keepNext/>
        <w:keepLines/>
        <w:numPr>
          <w:ilvl w:val="3"/>
          <w:numId w:val="0"/>
        </w:numPr>
        <w:suppressAutoHyphens/>
        <w:spacing w:before="240" w:after="240"/>
        <w:outlineLvl w:val="3"/>
        <w:rPr>
          <w:rFonts w:ascii="Arial" w:hAnsi="Arial"/>
          <w:b/>
          <w:sz w:val="20"/>
          <w:lang w:val="en-US" w:eastAsia="ja-JP"/>
        </w:rPr>
      </w:pPr>
      <w:r w:rsidRPr="005043F6">
        <w:rPr>
          <w:rFonts w:ascii="Arial" w:hAnsi="Arial"/>
          <w:b/>
          <w:sz w:val="20"/>
          <w:lang w:val="en-US" w:eastAsia="ja-JP"/>
        </w:rPr>
        <w:t>Antenna Polarization field</w:t>
      </w:r>
    </w:p>
    <w:p w:rsidR="005043F6" w:rsidRPr="005043F6" w:rsidRDefault="005043F6" w:rsidP="005043F6">
      <w:pPr>
        <w:spacing w:after="240"/>
        <w:jc w:val="both"/>
        <w:rPr>
          <w:sz w:val="20"/>
          <w:lang w:val="en-US" w:eastAsia="ja-JP"/>
        </w:rPr>
      </w:pPr>
      <w:r w:rsidRPr="005043F6">
        <w:rPr>
          <w:sz w:val="20"/>
          <w:lang w:val="en-US" w:eastAsia="ja-JP"/>
        </w:rPr>
        <w:t xml:space="preserve">The Antenna Polarization Capability field indicates the capability to share antenna polarization information and is defined in </w:t>
      </w:r>
      <w:r w:rsidRPr="005043F6">
        <w:rPr>
          <w:sz w:val="20"/>
          <w:lang w:val="en-US" w:eastAsia="ja-JP"/>
        </w:rPr>
        <w:fldChar w:fldCharType="begin"/>
      </w:r>
      <w:r w:rsidRPr="005043F6">
        <w:rPr>
          <w:sz w:val="20"/>
          <w:lang w:val="en-US" w:eastAsia="ja-JP"/>
        </w:rPr>
        <w:instrText xml:space="preserve"> REF _Ref458873400 \r \h </w:instrText>
      </w:r>
      <w:r w:rsidRPr="005043F6">
        <w:rPr>
          <w:sz w:val="20"/>
          <w:lang w:val="en-US" w:eastAsia="ja-JP"/>
        </w:rPr>
      </w:r>
      <w:r w:rsidRPr="005043F6">
        <w:rPr>
          <w:sz w:val="20"/>
          <w:lang w:val="en-US" w:eastAsia="ja-JP"/>
        </w:rPr>
        <w:fldChar w:fldCharType="separate"/>
      </w:r>
      <w:r w:rsidRPr="005043F6">
        <w:rPr>
          <w:sz w:val="20"/>
          <w:lang w:val="en-US" w:eastAsia="ja-JP"/>
        </w:rPr>
        <w:t>Figure 7</w:t>
      </w:r>
      <w:r w:rsidRPr="005043F6">
        <w:rPr>
          <w:sz w:val="20"/>
          <w:lang w:val="en-US" w:eastAsia="ja-JP"/>
        </w:rPr>
        <w:fldChar w:fldCharType="end"/>
      </w:r>
      <w:r w:rsidRPr="005043F6">
        <w:rPr>
          <w:sz w:val="20"/>
          <w:lang w:val="en-US" w:eastAsia="ja-JP"/>
        </w:rPr>
        <w:t>.</w:t>
      </w:r>
    </w:p>
    <w:tbl>
      <w:tblPr>
        <w:tblW w:w="0" w:type="auto"/>
        <w:jc w:val="center"/>
        <w:tblLook w:val="04A0" w:firstRow="1" w:lastRow="0" w:firstColumn="1" w:lastColumn="0" w:noHBand="0" w:noVBand="1"/>
      </w:tblPr>
      <w:tblGrid>
        <w:gridCol w:w="726"/>
        <w:gridCol w:w="2191"/>
        <w:gridCol w:w="2016"/>
        <w:gridCol w:w="396"/>
        <w:gridCol w:w="2056"/>
      </w:tblGrid>
      <w:tr w:rsidR="005043F6" w:rsidRPr="005043F6" w:rsidTr="004228FE">
        <w:trPr>
          <w:jc w:val="center"/>
        </w:trPr>
        <w:tc>
          <w:tcPr>
            <w:tcW w:w="0" w:type="auto"/>
            <w:tcBorders>
              <w:right w:val="single" w:sz="4" w:space="0" w:color="auto"/>
            </w:tcBorders>
            <w:shd w:val="clear" w:color="auto" w:fill="auto"/>
          </w:tcPr>
          <w:p w:rsidR="005043F6" w:rsidRPr="005043F6" w:rsidRDefault="005043F6" w:rsidP="005043F6">
            <w:pPr>
              <w:keepNext/>
              <w:keepLines/>
              <w:jc w:val="center"/>
              <w:rPr>
                <w:sz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Number of DMG Antennas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Polarization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Polarization Capability N</w:t>
            </w:r>
          </w:p>
        </w:tc>
      </w:tr>
      <w:tr w:rsidR="005043F6" w:rsidRPr="005043F6" w:rsidTr="004228FE">
        <w:trPr>
          <w:jc w:val="center"/>
        </w:trPr>
        <w:tc>
          <w:tcPr>
            <w:tcW w:w="0" w:type="auto"/>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Octets:</w:t>
            </w: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1</w:t>
            </w: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2</w:t>
            </w: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w:t>
            </w: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2</w:t>
            </w:r>
          </w:p>
        </w:tc>
      </w:tr>
    </w:tbl>
    <w:p w:rsidR="005043F6" w:rsidRPr="005043F6" w:rsidRDefault="005043F6" w:rsidP="005043F6">
      <w:pPr>
        <w:keepLines/>
        <w:tabs>
          <w:tab w:val="left" w:pos="403"/>
          <w:tab w:val="left" w:pos="475"/>
          <w:tab w:val="left" w:pos="547"/>
        </w:tabs>
        <w:suppressAutoHyphens/>
        <w:spacing w:before="120" w:after="120"/>
        <w:jc w:val="center"/>
        <w:rPr>
          <w:rFonts w:ascii="Arial" w:hAnsi="Arial"/>
          <w:b/>
          <w:sz w:val="20"/>
          <w:lang w:val="en-US" w:eastAsia="ja-JP"/>
        </w:rPr>
      </w:pPr>
      <w:bookmarkStart w:id="6" w:name="_Ref458873400"/>
      <w:r w:rsidRPr="005043F6">
        <w:rPr>
          <w:rFonts w:ascii="Arial" w:hAnsi="Arial"/>
          <w:b/>
          <w:sz w:val="20"/>
          <w:lang w:val="en-US" w:eastAsia="ja-JP"/>
        </w:rPr>
        <w:t>—Antenna Polarization Capability field format</w:t>
      </w:r>
      <w:bookmarkEnd w:id="6"/>
    </w:p>
    <w:p w:rsidR="005043F6" w:rsidRPr="005043F6" w:rsidRDefault="005043F6" w:rsidP="005043F6">
      <w:pPr>
        <w:spacing w:after="240"/>
        <w:jc w:val="both"/>
        <w:rPr>
          <w:sz w:val="20"/>
          <w:lang w:val="en-US" w:eastAsia="ja-JP"/>
        </w:rPr>
      </w:pPr>
      <w:r w:rsidRPr="005043F6">
        <w:rPr>
          <w:sz w:val="20"/>
          <w:lang w:val="en-US" w:eastAsia="ja-JP"/>
        </w:rPr>
        <w:t>The Number of DMG Antennas subfield defines the combined total number of RX and TX antennas of an EDMG STA.</w:t>
      </w:r>
    </w:p>
    <w:p w:rsidR="005043F6" w:rsidRPr="005043F6" w:rsidRDefault="005043F6" w:rsidP="005043F6">
      <w:pPr>
        <w:spacing w:after="240"/>
        <w:jc w:val="both"/>
        <w:rPr>
          <w:sz w:val="20"/>
          <w:lang w:val="en-US" w:eastAsia="ja-JP"/>
        </w:rPr>
      </w:pPr>
      <w:r w:rsidRPr="005043F6">
        <w:rPr>
          <w:sz w:val="20"/>
          <w:lang w:val="en-US" w:eastAsia="ja-JP"/>
        </w:rPr>
        <w:t xml:space="preserve">A Polarization Capability subfield is present for as many DMG antennas as indicated by the value of the Number of DMG Antennas subfield. The Polarization Capability subfield is defined in </w:t>
      </w:r>
      <w:r w:rsidRPr="005043F6">
        <w:rPr>
          <w:sz w:val="20"/>
          <w:lang w:val="en-US" w:eastAsia="ja-JP"/>
        </w:rPr>
        <w:fldChar w:fldCharType="begin"/>
      </w:r>
      <w:r w:rsidRPr="005043F6">
        <w:rPr>
          <w:sz w:val="20"/>
          <w:lang w:val="en-US" w:eastAsia="ja-JP"/>
        </w:rPr>
        <w:instrText xml:space="preserve"> REF _Ref458951015 \r \h </w:instrText>
      </w:r>
      <w:r w:rsidRPr="005043F6">
        <w:rPr>
          <w:sz w:val="20"/>
          <w:lang w:val="en-US" w:eastAsia="ja-JP"/>
        </w:rPr>
      </w:r>
      <w:r w:rsidRPr="005043F6">
        <w:rPr>
          <w:sz w:val="20"/>
          <w:lang w:val="en-US" w:eastAsia="ja-JP"/>
        </w:rPr>
        <w:fldChar w:fldCharType="separate"/>
      </w:r>
      <w:r w:rsidRPr="005043F6">
        <w:rPr>
          <w:sz w:val="20"/>
          <w:lang w:val="en-US" w:eastAsia="ja-JP"/>
        </w:rPr>
        <w:t>Figure 8</w:t>
      </w:r>
      <w:r w:rsidRPr="005043F6">
        <w:rPr>
          <w:sz w:val="20"/>
          <w:lang w:val="en-US" w:eastAsia="ja-JP"/>
        </w:rPr>
        <w:fldChar w:fldCharType="end"/>
      </w:r>
      <w:r w:rsidRPr="005043F6">
        <w:rPr>
          <w:sz w:val="20"/>
          <w:lang w:val="en-US" w:eastAsia="ja-JP"/>
        </w:rPr>
        <w:t>.</w:t>
      </w:r>
    </w:p>
    <w:tbl>
      <w:tblPr>
        <w:tblW w:w="0" w:type="auto"/>
        <w:jc w:val="center"/>
        <w:tblLook w:val="04A0" w:firstRow="1" w:lastRow="0" w:firstColumn="1" w:lastColumn="0" w:noHBand="0" w:noVBand="1"/>
      </w:tblPr>
      <w:tblGrid>
        <w:gridCol w:w="557"/>
        <w:gridCol w:w="756"/>
        <w:gridCol w:w="2141"/>
        <w:gridCol w:w="1971"/>
        <w:gridCol w:w="907"/>
      </w:tblGrid>
      <w:tr w:rsidR="005043F6" w:rsidRPr="005043F6" w:rsidTr="004228FE">
        <w:trPr>
          <w:jc w:val="center"/>
        </w:trPr>
        <w:tc>
          <w:tcPr>
            <w:tcW w:w="0" w:type="auto"/>
            <w:shd w:val="clear" w:color="auto" w:fill="auto"/>
          </w:tcPr>
          <w:p w:rsidR="005043F6" w:rsidRPr="005043F6" w:rsidRDefault="005043F6" w:rsidP="005043F6">
            <w:pPr>
              <w:keepNext/>
              <w:keepLines/>
              <w:jc w:val="center"/>
              <w:rPr>
                <w:sz w:val="18"/>
                <w:lang w:val="en-US" w:eastAsia="ja-JP"/>
              </w:rPr>
            </w:pPr>
          </w:p>
        </w:tc>
        <w:tc>
          <w:tcPr>
            <w:tcW w:w="0" w:type="auto"/>
            <w:tcBorders>
              <w:bottom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B0  B1</w:t>
            </w:r>
          </w:p>
        </w:tc>
        <w:tc>
          <w:tcPr>
            <w:tcW w:w="0" w:type="auto"/>
            <w:tcBorders>
              <w:bottom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B2  B3</w:t>
            </w:r>
          </w:p>
        </w:tc>
        <w:tc>
          <w:tcPr>
            <w:tcW w:w="0" w:type="auto"/>
            <w:tcBorders>
              <w:bottom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B4  B10</w:t>
            </w:r>
          </w:p>
        </w:tc>
        <w:tc>
          <w:tcPr>
            <w:tcW w:w="0" w:type="auto"/>
            <w:tcBorders>
              <w:bottom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B11  B15</w:t>
            </w:r>
          </w:p>
        </w:tc>
      </w:tr>
      <w:tr w:rsidR="005043F6" w:rsidRPr="005043F6" w:rsidTr="004228FE">
        <w:trPr>
          <w:jc w:val="center"/>
        </w:trPr>
        <w:tc>
          <w:tcPr>
            <w:tcW w:w="0" w:type="auto"/>
            <w:tcBorders>
              <w:right w:val="single" w:sz="4" w:space="0" w:color="auto"/>
            </w:tcBorders>
            <w:shd w:val="clear" w:color="auto" w:fill="auto"/>
          </w:tcPr>
          <w:p w:rsidR="005043F6" w:rsidRPr="005043F6" w:rsidRDefault="005043F6" w:rsidP="005043F6">
            <w:pPr>
              <w:keepNext/>
              <w:keepLines/>
              <w:jc w:val="center"/>
              <w:rPr>
                <w:sz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TX/RX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Polarization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Polarization Description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Reserved</w:t>
            </w:r>
          </w:p>
        </w:tc>
      </w:tr>
      <w:tr w:rsidR="005043F6" w:rsidRPr="005043F6" w:rsidTr="004228FE">
        <w:trPr>
          <w:jc w:val="center"/>
        </w:trPr>
        <w:tc>
          <w:tcPr>
            <w:tcW w:w="0" w:type="auto"/>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Bits:</w:t>
            </w: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2</w:t>
            </w: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2</w:t>
            </w: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7</w:t>
            </w: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5</w:t>
            </w:r>
          </w:p>
        </w:tc>
      </w:tr>
    </w:tbl>
    <w:p w:rsidR="005043F6" w:rsidRPr="005043F6" w:rsidRDefault="005043F6" w:rsidP="005043F6">
      <w:pPr>
        <w:keepLines/>
        <w:tabs>
          <w:tab w:val="left" w:pos="403"/>
          <w:tab w:val="left" w:pos="475"/>
          <w:tab w:val="left" w:pos="547"/>
        </w:tabs>
        <w:suppressAutoHyphens/>
        <w:spacing w:before="120" w:after="120"/>
        <w:jc w:val="center"/>
        <w:rPr>
          <w:rFonts w:ascii="Arial" w:hAnsi="Arial"/>
          <w:b/>
          <w:sz w:val="20"/>
          <w:lang w:val="en-US" w:eastAsia="ja-JP"/>
        </w:rPr>
      </w:pPr>
      <w:bookmarkStart w:id="7" w:name="_Ref458951015"/>
      <w:r w:rsidRPr="005043F6">
        <w:rPr>
          <w:rFonts w:ascii="Arial" w:hAnsi="Arial"/>
          <w:b/>
          <w:sz w:val="20"/>
          <w:lang w:val="en-US" w:eastAsia="ja-JP"/>
        </w:rPr>
        <w:t>—Polarization Capability subfield format</w:t>
      </w:r>
      <w:bookmarkEnd w:id="7"/>
    </w:p>
    <w:p w:rsidR="005043F6" w:rsidRPr="005043F6" w:rsidRDefault="005043F6" w:rsidP="005043F6">
      <w:pPr>
        <w:spacing w:after="240"/>
        <w:jc w:val="both"/>
        <w:rPr>
          <w:sz w:val="20"/>
          <w:lang w:val="en-US" w:eastAsia="ja-JP"/>
        </w:rPr>
      </w:pPr>
      <w:r w:rsidRPr="005043F6">
        <w:rPr>
          <w:sz w:val="20"/>
          <w:lang w:val="en-US" w:eastAsia="ja-JP"/>
        </w:rPr>
        <w:t xml:space="preserve">The TX/RX subfield is set to 1 to indicate that the antenna is for both transmission and reception, is set to 2 to indicate that the antenna is for transmission only, and is set to 3 to indicate that the antenna is for reception only. Value 0 is reserved.  </w:t>
      </w:r>
    </w:p>
    <w:p w:rsidR="005043F6" w:rsidRPr="005043F6" w:rsidRDefault="005043F6" w:rsidP="005043F6">
      <w:pPr>
        <w:spacing w:after="240"/>
        <w:jc w:val="both"/>
        <w:rPr>
          <w:sz w:val="20"/>
          <w:lang w:val="en-US" w:eastAsia="ja-JP"/>
        </w:rPr>
      </w:pPr>
      <w:r w:rsidRPr="005043F6">
        <w:rPr>
          <w:sz w:val="20"/>
          <w:lang w:val="en-US" w:eastAsia="ja-JP"/>
        </w:rPr>
        <w:t>The Polarization Configuration subfield is set to 0 to indicate single polarization, is set to 1 to indicate polarization switch, is set to 2 to indicate synthesizable polarization, and is set to 3 to indicate MIMO dual polarization.</w:t>
      </w:r>
    </w:p>
    <w:p w:rsidR="005043F6" w:rsidRPr="005043F6" w:rsidRDefault="005043F6" w:rsidP="005043F6">
      <w:pPr>
        <w:spacing w:after="240"/>
        <w:jc w:val="both"/>
        <w:rPr>
          <w:sz w:val="20"/>
          <w:lang w:val="en-US" w:eastAsia="ja-JP"/>
        </w:rPr>
      </w:pPr>
      <w:r w:rsidRPr="005043F6">
        <w:rPr>
          <w:sz w:val="20"/>
          <w:lang w:val="en-US" w:eastAsia="ja-JP"/>
        </w:rPr>
        <w:t>The definition of the Polarization Description subfield depends on the setting of the Polarization Configuration subfield.</w:t>
      </w:r>
    </w:p>
    <w:p w:rsidR="005043F6" w:rsidRPr="005043F6" w:rsidRDefault="005043F6" w:rsidP="005043F6">
      <w:pPr>
        <w:spacing w:after="240"/>
        <w:jc w:val="both"/>
        <w:rPr>
          <w:sz w:val="20"/>
          <w:lang w:val="en-US" w:eastAsia="ja-JP"/>
        </w:rPr>
      </w:pPr>
      <w:r w:rsidRPr="005043F6">
        <w:rPr>
          <w:sz w:val="20"/>
          <w:lang w:val="en-US" w:eastAsia="ja-JP"/>
        </w:rPr>
        <w:t>If the value of the Polarization Configuration subfield is equal to single polarization or MIMO dual polarization, the Polarization Description subfield is set to 0 to indicate linear polarization, is set to 1 to indicate circular polarization and is set to 2 for mixed polarization. Other values are reserved.</w:t>
      </w:r>
    </w:p>
    <w:p w:rsidR="005043F6" w:rsidRPr="005043F6" w:rsidRDefault="005043F6" w:rsidP="005043F6">
      <w:pPr>
        <w:spacing w:after="240"/>
        <w:jc w:val="both"/>
        <w:rPr>
          <w:sz w:val="20"/>
          <w:lang w:val="en-US" w:eastAsia="ja-JP"/>
        </w:rPr>
      </w:pPr>
      <w:r w:rsidRPr="005043F6">
        <w:rPr>
          <w:sz w:val="20"/>
          <w:lang w:val="en-US" w:eastAsia="ja-JP"/>
        </w:rPr>
        <w:t>If the value of the Polarization Configuration subfield is equal to synthesizable polarization, the Polarization Description subfield is set to 0 to indicate linear polarization, is set to 1 to indicate circular polarization, is set to 2 for mixed polarization, and is set to 3 to indicate support for both linear and circular polarization. Other values are reserved.</w:t>
      </w:r>
    </w:p>
    <w:p w:rsidR="005043F6" w:rsidRPr="005043F6" w:rsidRDefault="005043F6" w:rsidP="005043F6">
      <w:pPr>
        <w:spacing w:after="240"/>
        <w:jc w:val="both"/>
        <w:rPr>
          <w:sz w:val="20"/>
          <w:lang w:val="en-US" w:eastAsia="ja-JP"/>
        </w:rPr>
      </w:pPr>
      <w:r w:rsidRPr="005043F6">
        <w:rPr>
          <w:sz w:val="20"/>
          <w:lang w:val="en-US" w:eastAsia="ja-JP"/>
        </w:rPr>
        <w:t xml:space="preserve">If the value of the Polarization Configuration subfield is equal to polarization switch, the Polarization Description subfield is defined as shown in </w:t>
      </w:r>
      <w:r w:rsidRPr="005043F6">
        <w:rPr>
          <w:sz w:val="20"/>
          <w:lang w:val="en-US" w:eastAsia="ja-JP"/>
        </w:rPr>
        <w:fldChar w:fldCharType="begin"/>
      </w:r>
      <w:r w:rsidRPr="005043F6">
        <w:rPr>
          <w:sz w:val="20"/>
          <w:lang w:val="en-US" w:eastAsia="ja-JP"/>
        </w:rPr>
        <w:instrText xml:space="preserve"> REF _Ref458951680 \r \h </w:instrText>
      </w:r>
      <w:r w:rsidRPr="005043F6">
        <w:rPr>
          <w:sz w:val="20"/>
          <w:lang w:val="en-US" w:eastAsia="ja-JP"/>
        </w:rPr>
      </w:r>
      <w:r w:rsidRPr="005043F6">
        <w:rPr>
          <w:sz w:val="20"/>
          <w:lang w:val="en-US" w:eastAsia="ja-JP"/>
        </w:rPr>
        <w:fldChar w:fldCharType="separate"/>
      </w:r>
      <w:r w:rsidRPr="005043F6">
        <w:rPr>
          <w:sz w:val="20"/>
          <w:lang w:val="en-US" w:eastAsia="ja-JP"/>
        </w:rPr>
        <w:t>Figure 9</w:t>
      </w:r>
      <w:r w:rsidRPr="005043F6">
        <w:rPr>
          <w:sz w:val="20"/>
          <w:lang w:val="en-US" w:eastAsia="ja-JP"/>
        </w:rPr>
        <w:fldChar w:fldCharType="end"/>
      </w:r>
      <w:r w:rsidRPr="005043F6">
        <w:rPr>
          <w:sz w:val="20"/>
          <w:lang w:val="en-US" w:eastAsia="ja-JP"/>
        </w:rPr>
        <w:t xml:space="preserve">. </w:t>
      </w:r>
    </w:p>
    <w:tbl>
      <w:tblPr>
        <w:tblW w:w="0" w:type="auto"/>
        <w:jc w:val="center"/>
        <w:tblLook w:val="04A0" w:firstRow="1" w:lastRow="0" w:firstColumn="1" w:lastColumn="0" w:noHBand="0" w:noVBand="1"/>
      </w:tblPr>
      <w:tblGrid>
        <w:gridCol w:w="557"/>
        <w:gridCol w:w="1596"/>
        <w:gridCol w:w="2001"/>
        <w:gridCol w:w="2001"/>
        <w:gridCol w:w="2001"/>
      </w:tblGrid>
      <w:tr w:rsidR="005043F6" w:rsidRPr="005043F6" w:rsidTr="004228FE">
        <w:trPr>
          <w:jc w:val="center"/>
        </w:trPr>
        <w:tc>
          <w:tcPr>
            <w:tcW w:w="0" w:type="auto"/>
            <w:shd w:val="clear" w:color="auto" w:fill="auto"/>
          </w:tcPr>
          <w:p w:rsidR="005043F6" w:rsidRPr="005043F6" w:rsidRDefault="005043F6" w:rsidP="005043F6">
            <w:pPr>
              <w:keepNext/>
              <w:keepLines/>
              <w:jc w:val="center"/>
              <w:rPr>
                <w:sz w:val="18"/>
                <w:lang w:val="en-US" w:eastAsia="ja-JP"/>
              </w:rPr>
            </w:pPr>
          </w:p>
        </w:tc>
        <w:tc>
          <w:tcPr>
            <w:tcW w:w="0" w:type="auto"/>
            <w:tcBorders>
              <w:bottom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B4</w:t>
            </w:r>
          </w:p>
        </w:tc>
        <w:tc>
          <w:tcPr>
            <w:tcW w:w="0" w:type="auto"/>
            <w:tcBorders>
              <w:bottom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B4  B6</w:t>
            </w:r>
          </w:p>
        </w:tc>
        <w:tc>
          <w:tcPr>
            <w:tcW w:w="0" w:type="auto"/>
            <w:tcBorders>
              <w:bottom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B7  B8</w:t>
            </w:r>
          </w:p>
        </w:tc>
        <w:tc>
          <w:tcPr>
            <w:tcW w:w="0" w:type="auto"/>
            <w:tcBorders>
              <w:bottom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B9  B10</w:t>
            </w:r>
          </w:p>
        </w:tc>
      </w:tr>
      <w:tr w:rsidR="005043F6" w:rsidRPr="005043F6" w:rsidTr="004228FE">
        <w:trPr>
          <w:jc w:val="center"/>
        </w:trPr>
        <w:tc>
          <w:tcPr>
            <w:tcW w:w="0" w:type="auto"/>
            <w:tcBorders>
              <w:right w:val="single" w:sz="4" w:space="0" w:color="auto"/>
            </w:tcBorders>
            <w:shd w:val="clear" w:color="auto" w:fill="auto"/>
          </w:tcPr>
          <w:p w:rsidR="005043F6" w:rsidRPr="005043F6" w:rsidRDefault="005043F6" w:rsidP="005043F6">
            <w:pPr>
              <w:keepNext/>
              <w:keepLines/>
              <w:jc w:val="center"/>
              <w:rPr>
                <w:sz w:val="18"/>
                <w:lang w:val="en-US" w:eastAsia="ja-JP"/>
              </w:rPr>
            </w:pPr>
          </w:p>
        </w:tc>
        <w:tc>
          <w:tcPr>
            <w:tcW w:w="0" w:type="auto"/>
            <w:tcBorders>
              <w:top w:val="single" w:sz="4" w:space="0" w:color="auto"/>
              <w:bottom w:val="single" w:sz="4" w:space="0" w:color="auto"/>
              <w:right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Number of Throws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Polarization for Throw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Polarization for Throw 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Polarization for Throw 3</w:t>
            </w:r>
          </w:p>
        </w:tc>
      </w:tr>
      <w:tr w:rsidR="005043F6" w:rsidRPr="005043F6" w:rsidTr="004228FE">
        <w:trPr>
          <w:jc w:val="center"/>
        </w:trPr>
        <w:tc>
          <w:tcPr>
            <w:tcW w:w="0" w:type="auto"/>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Bits:</w:t>
            </w:r>
          </w:p>
        </w:tc>
        <w:tc>
          <w:tcPr>
            <w:tcW w:w="0" w:type="auto"/>
            <w:tcBorders>
              <w:top w:val="single" w:sz="4" w:space="0" w:color="auto"/>
            </w:tcBorders>
          </w:tcPr>
          <w:p w:rsidR="005043F6" w:rsidRPr="005043F6" w:rsidRDefault="005043F6" w:rsidP="005043F6">
            <w:pPr>
              <w:keepNext/>
              <w:keepLines/>
              <w:jc w:val="center"/>
              <w:rPr>
                <w:sz w:val="18"/>
                <w:lang w:val="en-US" w:eastAsia="ja-JP"/>
              </w:rPr>
            </w:pPr>
            <w:r w:rsidRPr="005043F6">
              <w:rPr>
                <w:sz w:val="18"/>
                <w:lang w:val="en-US" w:eastAsia="ja-JP"/>
              </w:rPr>
              <w:t>1</w:t>
            </w: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2</w:t>
            </w: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2</w:t>
            </w:r>
          </w:p>
        </w:tc>
        <w:tc>
          <w:tcPr>
            <w:tcW w:w="0" w:type="auto"/>
            <w:tcBorders>
              <w:top w:val="single" w:sz="4" w:space="0" w:color="auto"/>
            </w:tcBorders>
            <w:shd w:val="clear" w:color="auto" w:fill="auto"/>
          </w:tcPr>
          <w:p w:rsidR="005043F6" w:rsidRPr="005043F6" w:rsidRDefault="005043F6" w:rsidP="005043F6">
            <w:pPr>
              <w:keepNext/>
              <w:keepLines/>
              <w:jc w:val="center"/>
              <w:rPr>
                <w:sz w:val="18"/>
                <w:lang w:val="en-US" w:eastAsia="ja-JP"/>
              </w:rPr>
            </w:pPr>
            <w:r w:rsidRPr="005043F6">
              <w:rPr>
                <w:sz w:val="18"/>
                <w:lang w:val="en-US" w:eastAsia="ja-JP"/>
              </w:rPr>
              <w:t>2</w:t>
            </w:r>
          </w:p>
        </w:tc>
      </w:tr>
    </w:tbl>
    <w:p w:rsidR="005043F6" w:rsidRPr="005043F6" w:rsidRDefault="005043F6" w:rsidP="005043F6">
      <w:pPr>
        <w:keepLines/>
        <w:tabs>
          <w:tab w:val="left" w:pos="403"/>
          <w:tab w:val="left" w:pos="475"/>
          <w:tab w:val="left" w:pos="547"/>
        </w:tabs>
        <w:suppressAutoHyphens/>
        <w:spacing w:before="120" w:after="120"/>
        <w:jc w:val="center"/>
        <w:rPr>
          <w:rFonts w:ascii="Arial" w:hAnsi="Arial"/>
          <w:b/>
          <w:sz w:val="20"/>
          <w:lang w:val="en-US" w:eastAsia="ja-JP"/>
        </w:rPr>
      </w:pPr>
      <w:bookmarkStart w:id="8" w:name="_Ref458951680"/>
      <w:r w:rsidRPr="005043F6">
        <w:rPr>
          <w:rFonts w:ascii="Arial" w:hAnsi="Arial"/>
          <w:b/>
          <w:sz w:val="20"/>
          <w:lang w:val="en-US" w:eastAsia="ja-JP"/>
        </w:rPr>
        <w:t>—Polarization Description subfield format</w:t>
      </w:r>
      <w:bookmarkEnd w:id="8"/>
    </w:p>
    <w:p w:rsidR="005043F6" w:rsidRPr="005043F6" w:rsidRDefault="005043F6" w:rsidP="005043F6">
      <w:pPr>
        <w:spacing w:after="240"/>
        <w:jc w:val="both"/>
        <w:rPr>
          <w:sz w:val="20"/>
          <w:lang w:val="en-US" w:eastAsia="ja-JP"/>
        </w:rPr>
      </w:pPr>
      <w:r w:rsidRPr="005043F6">
        <w:rPr>
          <w:sz w:val="20"/>
          <w:lang w:val="en-US" w:eastAsia="ja-JP"/>
        </w:rPr>
        <w:t>The Number of Throws subfield is set to 0 to indicate 2 throws and is set to 1 to indicate 3 throws. If the Number of Throws subfield is set to indicate 2 throws, the Polarization for Throw 3 subfield is reserved.</w:t>
      </w:r>
    </w:p>
    <w:p w:rsidR="005043F6" w:rsidRPr="005043F6" w:rsidRDefault="005043F6" w:rsidP="005043F6">
      <w:pPr>
        <w:spacing w:after="240"/>
        <w:jc w:val="both"/>
        <w:rPr>
          <w:sz w:val="20"/>
          <w:lang w:val="en-US" w:eastAsia="ja-JP"/>
        </w:rPr>
      </w:pPr>
      <w:r w:rsidRPr="005043F6">
        <w:rPr>
          <w:sz w:val="20"/>
          <w:lang w:val="en-US" w:eastAsia="ja-JP"/>
        </w:rPr>
        <w:t xml:space="preserve">Each of Polarization for Throw 1 subfield, Polarization for Throw 2 subfield and Polarization for Throw 3 subfield is set to set to 0 to indicate linear polarization, is set to 1 to indicate circular polarization and is set to 2 for mixed polarization. Value 0 is reserved. </w:t>
      </w:r>
    </w:p>
    <w:p w:rsidR="005043F6" w:rsidRPr="005043F6" w:rsidRDefault="005043F6" w:rsidP="005043F6">
      <w:pPr>
        <w:spacing w:after="240"/>
        <w:jc w:val="both"/>
        <w:rPr>
          <w:sz w:val="20"/>
          <w:lang w:val="en-US" w:eastAsia="ja-JP"/>
        </w:rPr>
      </w:pPr>
    </w:p>
    <w:p w:rsidR="00CA09B2" w:rsidRDefault="00CA09B2" w:rsidP="005043F6">
      <w:pPr>
        <w:rPr>
          <w:b/>
          <w:sz w:val="24"/>
        </w:rPr>
      </w:pPr>
    </w:p>
    <w:p w:rsidR="00CA09B2" w:rsidRDefault="00CA09B2"/>
    <w:sectPr w:rsidR="00CA09B2">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B9F" w:rsidRDefault="00AC1B9F">
      <w:r>
        <w:separator/>
      </w:r>
    </w:p>
  </w:endnote>
  <w:endnote w:type="continuationSeparator" w:id="0">
    <w:p w:rsidR="00AC1B9F" w:rsidRDefault="00AC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4A5" w:rsidRDefault="00923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AC1B9F">
    <w:pPr>
      <w:pStyle w:val="Footer"/>
      <w:tabs>
        <w:tab w:val="clear" w:pos="6480"/>
        <w:tab w:val="center" w:pos="4680"/>
        <w:tab w:val="right" w:pos="9360"/>
      </w:tabs>
    </w:pPr>
    <w:r>
      <w:fldChar w:fldCharType="begin"/>
    </w:r>
    <w:r>
      <w:instrText xml:space="preserve"> SUBJECT  \* MERGEFORMAT </w:instrText>
    </w:r>
    <w:r>
      <w:fldChar w:fldCharType="separate"/>
    </w:r>
    <w:r w:rsidR="00D76578">
      <w:t>Submission</w:t>
    </w:r>
    <w:r>
      <w:fldChar w:fldCharType="end"/>
    </w:r>
    <w:r w:rsidR="0029020B">
      <w:tab/>
      <w:t xml:space="preserve">page </w:t>
    </w:r>
    <w:r w:rsidR="0029020B">
      <w:fldChar w:fldCharType="begin"/>
    </w:r>
    <w:r w:rsidR="0029020B">
      <w:instrText xml:space="preserve">page </w:instrText>
    </w:r>
    <w:r w:rsidR="0029020B">
      <w:fldChar w:fldCharType="separate"/>
    </w:r>
    <w:r w:rsidR="009234A5">
      <w:rPr>
        <w:noProof/>
      </w:rPr>
      <w:t>1</w:t>
    </w:r>
    <w:r w:rsidR="0029020B">
      <w:fldChar w:fldCharType="end"/>
    </w:r>
    <w:r w:rsidR="0029020B">
      <w:tab/>
    </w:r>
    <w:r>
      <w:fldChar w:fldCharType="begin"/>
    </w:r>
    <w:r>
      <w:instrText xml:space="preserve"> COMMENTS  \* MERGEFORMAT </w:instrText>
    </w:r>
    <w:r>
      <w:fldChar w:fldCharType="separate"/>
    </w:r>
    <w:r w:rsidR="009234A5">
      <w:t>C. Hansen, Covariant Corporation</w:t>
    </w:r>
    <w:r>
      <w:fldChar w:fldCharType="end"/>
    </w:r>
    <w:bookmarkStart w:id="9" w:name="_GoBack"/>
    <w:bookmarkEnd w:id="9"/>
  </w:p>
  <w:p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4A5" w:rsidRDefault="00923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B9F" w:rsidRDefault="00AC1B9F">
      <w:r>
        <w:separator/>
      </w:r>
    </w:p>
  </w:footnote>
  <w:footnote w:type="continuationSeparator" w:id="0">
    <w:p w:rsidR="00AC1B9F" w:rsidRDefault="00AC1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4A5" w:rsidRDefault="009234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AC1B9F">
    <w:pPr>
      <w:pStyle w:val="Header"/>
      <w:tabs>
        <w:tab w:val="clear" w:pos="6480"/>
        <w:tab w:val="center" w:pos="4680"/>
        <w:tab w:val="right" w:pos="9360"/>
      </w:tabs>
    </w:pPr>
    <w:r>
      <w:fldChar w:fldCharType="begin"/>
    </w:r>
    <w:r>
      <w:instrText xml:space="preserve"> KEYWORDS  \* MERGEFORMAT </w:instrText>
    </w:r>
    <w:r>
      <w:fldChar w:fldCharType="separate"/>
    </w:r>
    <w:r w:rsidR="009234A5">
      <w:t>January 2017</w:t>
    </w:r>
    <w:r>
      <w:fldChar w:fldCharType="end"/>
    </w:r>
    <w:r w:rsidR="0029020B">
      <w:tab/>
    </w:r>
    <w:r w:rsidR="0029020B">
      <w:tab/>
    </w:r>
    <w:r>
      <w:fldChar w:fldCharType="begin"/>
    </w:r>
    <w:r>
      <w:instrText xml:space="preserve"> TITLE  \* MERGEFORMAT </w:instrText>
    </w:r>
    <w:r>
      <w:fldChar w:fldCharType="separate"/>
    </w:r>
    <w:r w:rsidR="009234A5">
      <w:t>doc.: IEEE 802.11-16/1626r0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4A5" w:rsidRDefault="009234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EA0ACE6"/>
    <w:lvl w:ilvl="0">
      <w:numFmt w:val="bullet"/>
      <w:lvlText w:val="*"/>
      <w:lvlJc w:val="left"/>
      <w:pPr>
        <w:ind w:left="0" w:firstLine="0"/>
      </w:pPr>
    </w:lvl>
  </w:abstractNum>
  <w:num w:numId="1">
    <w:abstractNumId w:val="0"/>
    <w:lvlOverride w:ilvl="0">
      <w:lvl w:ilvl="0">
        <w:numFmt w:val="bullet"/>
        <w:lvlText w:val="Table 9-2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6578"/>
    <w:rsid w:val="0008305A"/>
    <w:rsid w:val="00126568"/>
    <w:rsid w:val="001929B1"/>
    <w:rsid w:val="001D723B"/>
    <w:rsid w:val="00213A5C"/>
    <w:rsid w:val="0029020B"/>
    <w:rsid w:val="002D44BE"/>
    <w:rsid w:val="00442037"/>
    <w:rsid w:val="004B064B"/>
    <w:rsid w:val="005043F6"/>
    <w:rsid w:val="0062440B"/>
    <w:rsid w:val="00675AC5"/>
    <w:rsid w:val="006C0727"/>
    <w:rsid w:val="006E145F"/>
    <w:rsid w:val="00770572"/>
    <w:rsid w:val="009234A5"/>
    <w:rsid w:val="00935EEF"/>
    <w:rsid w:val="009F2FBC"/>
    <w:rsid w:val="00AA427C"/>
    <w:rsid w:val="00AC1B9F"/>
    <w:rsid w:val="00BE68C2"/>
    <w:rsid w:val="00BE69D8"/>
    <w:rsid w:val="00CA09B2"/>
    <w:rsid w:val="00D76578"/>
    <w:rsid w:val="00DC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1589768-F9D4-4204-BA2F-9D656F88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5043F6"/>
    <w:pPr>
      <w:spacing w:after="240"/>
      <w:jc w:val="both"/>
    </w:pPr>
    <w:rPr>
      <w:lang w:eastAsia="ja-JP"/>
    </w:rPr>
  </w:style>
  <w:style w:type="character" w:customStyle="1" w:styleId="IEEEStdsParagraphChar">
    <w:name w:val="IEEEStds Paragraph Char"/>
    <w:link w:val="IEEEStdsParagraph"/>
    <w:rsid w:val="005043F6"/>
    <w:rPr>
      <w:lang w:eastAsia="ja-JP"/>
    </w:rPr>
  </w:style>
  <w:style w:type="character" w:styleId="PlaceholderText">
    <w:name w:val="Placeholder Text"/>
    <w:uiPriority w:val="99"/>
    <w:semiHidden/>
    <w:rsid w:val="00213A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ropbox\Covariant\projects\Peraso\ng60\draft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25F81-269A-45C8-A772-9FD6F252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TotalTime>
  <Pages>7</Pages>
  <Words>1927</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802.11-16/1626r0</vt:lpstr>
    </vt:vector>
  </TitlesOfParts>
  <Company>Covariant Corporation</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802.11-16/1626r0</dc:title>
  <dc:subject>Submission</dc:subject>
  <dc:creator>Christopher Hansen</dc:creator>
  <cp:keywords>January 2017</cp:keywords>
  <dc:description>C. Hansen, Covariant Corporation</dc:description>
  <cp:lastModifiedBy>Christopher Hansen</cp:lastModifiedBy>
  <cp:revision>4</cp:revision>
  <cp:lastPrinted>1900-01-01T08:00:00Z</cp:lastPrinted>
  <dcterms:created xsi:type="dcterms:W3CDTF">2016-12-21T17:39:00Z</dcterms:created>
  <dcterms:modified xsi:type="dcterms:W3CDTF">2016-12-21T17:46:00Z</dcterms:modified>
</cp:coreProperties>
</file>