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80AE0" w:rsidP="00480AE0">
            <w:pPr>
              <w:pStyle w:val="T2"/>
            </w:pPr>
            <w:r>
              <w:t>6.5.6.3</w:t>
            </w:r>
            <w:r w:rsidR="006C4DAB">
              <w:t xml:space="preserve"> </w:t>
            </w:r>
            <w:r w:rsidR="00F84B0E">
              <w:t>E</w:t>
            </w:r>
            <w:r>
              <w:t>ncoding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3A7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E608C7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4F3A72">
              <w:rPr>
                <w:b w:val="0"/>
                <w:sz w:val="20"/>
              </w:rPr>
              <w:t>21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B977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Yaroslav Gagiev</w:t>
            </w:r>
          </w:p>
        </w:tc>
        <w:tc>
          <w:tcPr>
            <w:tcW w:w="1147" w:type="dxa"/>
            <w:vAlign w:val="center"/>
          </w:tcPr>
          <w:p w:rsidR="00CA09B2" w:rsidRDefault="00B977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B977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yaroslav.p.gagiev@intel.com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B977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87F7E" w:rsidRDefault="00B977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926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24598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proposes specification text for sub</w:t>
                            </w:r>
                            <w:r w:rsidR="00422629">
                              <w:t>clause</w:t>
                            </w:r>
                            <w:r w:rsidR="00DF58D1">
                              <w:t xml:space="preserve"> 6.</w:t>
                            </w:r>
                            <w:r w:rsidR="00624598">
                              <w:t>5</w:t>
                            </w:r>
                            <w:r w:rsidR="00DF58D1">
                              <w:t>.</w:t>
                            </w:r>
                            <w:r w:rsidR="00624598">
                              <w:t>6</w:t>
                            </w:r>
                            <w:r w:rsidR="00DF58D1">
                              <w:t>.</w:t>
                            </w:r>
                            <w:r w:rsidR="0096488A">
                              <w:t>3</w:t>
                            </w:r>
                            <w:r w:rsidR="00DF58D1">
                              <w:t xml:space="preserve"> of the SFD describing </w:t>
                            </w:r>
                            <w:r w:rsidR="00624598">
                              <w:t>encoding process for EDMG SC PHY</w:t>
                            </w:r>
                            <w:r w:rsidR="00C765A0">
                              <w:t xml:space="preserve"> PSDU</w:t>
                            </w:r>
                            <w:r w:rsidR="00624598">
                              <w:t>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24598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proposes specification text for sub</w:t>
                      </w:r>
                      <w:r w:rsidR="00422629">
                        <w:t>clause</w:t>
                      </w:r>
                      <w:r w:rsidR="00DF58D1">
                        <w:t xml:space="preserve"> 6.</w:t>
                      </w:r>
                      <w:r w:rsidR="00624598">
                        <w:t>5</w:t>
                      </w:r>
                      <w:r w:rsidR="00DF58D1">
                        <w:t>.</w:t>
                      </w:r>
                      <w:r w:rsidR="00624598">
                        <w:t>6</w:t>
                      </w:r>
                      <w:r w:rsidR="00DF58D1">
                        <w:t>.</w:t>
                      </w:r>
                      <w:r w:rsidR="0096488A">
                        <w:t>3</w:t>
                      </w:r>
                      <w:r w:rsidR="00DF58D1">
                        <w:t xml:space="preserve"> of the SFD describing </w:t>
                      </w:r>
                      <w:r w:rsidR="00624598">
                        <w:t>encoding process for EDMG SC PHY</w:t>
                      </w:r>
                      <w:r w:rsidR="00C765A0">
                        <w:t xml:space="preserve"> PSDU</w:t>
                      </w:r>
                      <w:r w:rsidR="00624598">
                        <w:t>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A9511C" w:rsidRPr="00A9511C" w:rsidRDefault="00A9511C">
      <w:pPr>
        <w:rPr>
          <w:b/>
          <w:lang w:val="en-US"/>
        </w:rPr>
      </w:pPr>
      <w:r w:rsidRPr="00A9511C">
        <w:rPr>
          <w:b/>
          <w:lang w:val="en-US"/>
        </w:rPr>
        <w:t>6.</w:t>
      </w:r>
      <w:r w:rsidR="000B5E15">
        <w:rPr>
          <w:b/>
          <w:lang w:val="en-US"/>
        </w:rPr>
        <w:t>5</w:t>
      </w:r>
      <w:r w:rsidRPr="00A9511C">
        <w:rPr>
          <w:b/>
          <w:lang w:val="en-US"/>
        </w:rPr>
        <w:t>.</w:t>
      </w:r>
      <w:r w:rsidR="000B5E15">
        <w:rPr>
          <w:b/>
          <w:lang w:val="en-US"/>
        </w:rPr>
        <w:t>6</w:t>
      </w:r>
      <w:r w:rsidRPr="00A9511C">
        <w:rPr>
          <w:b/>
          <w:lang w:val="en-US"/>
        </w:rPr>
        <w:t>.3 E</w:t>
      </w:r>
      <w:r w:rsidR="000B5E15">
        <w:rPr>
          <w:b/>
          <w:lang w:val="en-US"/>
        </w:rPr>
        <w:t>ncoding</w:t>
      </w:r>
    </w:p>
    <w:p w:rsidR="00A9511C" w:rsidRDefault="00A9511C">
      <w:pPr>
        <w:rPr>
          <w:b/>
        </w:rPr>
      </w:pPr>
      <w:r w:rsidRPr="00A9511C">
        <w:rPr>
          <w:b/>
        </w:rPr>
        <w:t>6.</w:t>
      </w:r>
      <w:r w:rsidR="000B5E15">
        <w:rPr>
          <w:b/>
        </w:rPr>
        <w:t>5</w:t>
      </w:r>
      <w:r w:rsidRPr="00A9511C">
        <w:rPr>
          <w:b/>
        </w:rPr>
        <w:t>.</w:t>
      </w:r>
      <w:r w:rsidR="000B5E15">
        <w:rPr>
          <w:b/>
        </w:rPr>
        <w:t>6</w:t>
      </w:r>
      <w:r w:rsidRPr="00A9511C">
        <w:rPr>
          <w:b/>
        </w:rPr>
        <w:t>.3.1 General</w:t>
      </w:r>
    </w:p>
    <w:p w:rsidR="00F779AA" w:rsidRPr="00944F5B" w:rsidRDefault="00F779AA"/>
    <w:p w:rsidR="00F779AA" w:rsidRDefault="00F779AA">
      <w:r>
        <w:t xml:space="preserve">An EDMG SC PHY PSDU is encoded by </w:t>
      </w:r>
      <w:r w:rsidR="003621E4">
        <w:t xml:space="preserve">a </w:t>
      </w:r>
      <w:r>
        <w:t xml:space="preserve">systematic LDPC </w:t>
      </w:r>
      <w:r w:rsidR="00AB0C48">
        <w:t xml:space="preserve">block </w:t>
      </w:r>
      <w:r w:rsidR="00CB2549">
        <w:t>code</w:t>
      </w:r>
      <w:r w:rsidR="0057211E">
        <w:t xml:space="preserve"> </w:t>
      </w:r>
      <w:r w:rsidR="003C50C8">
        <w:t xml:space="preserve">as </w:t>
      </w:r>
      <w:r w:rsidR="0057211E">
        <w:t>defined in 20.6.3.2.3.1</w:t>
      </w:r>
      <w:r>
        <w:t xml:space="preserve">. </w:t>
      </w:r>
      <w:r w:rsidR="00CB2549">
        <w:t xml:space="preserve">The EDMG encoding supports two types of </w:t>
      </w:r>
      <w:r w:rsidR="00F44D73">
        <w:t>block size equal to 672 bits</w:t>
      </w:r>
      <w:r w:rsidR="003C50C8">
        <w:t xml:space="preserve"> </w:t>
      </w:r>
      <w:r w:rsidR="00A57092">
        <w:t>(</w:t>
      </w:r>
      <w:r w:rsidR="00F44D73">
        <w:t>short codeword</w:t>
      </w:r>
      <w:r w:rsidR="00A57092">
        <w:t>)</w:t>
      </w:r>
      <w:r w:rsidR="00F44D73">
        <w:t xml:space="preserve"> and 1344 bits </w:t>
      </w:r>
      <w:r w:rsidR="00A57092">
        <w:t>(</w:t>
      </w:r>
      <w:r w:rsidR="00F44D73">
        <w:t>long codeword</w:t>
      </w:r>
      <w:r w:rsidR="00A57092">
        <w:t>)</w:t>
      </w:r>
      <w:r w:rsidR="00F44D73">
        <w:t xml:space="preserve">. </w:t>
      </w:r>
      <w:r w:rsidR="002E1666">
        <w:t xml:space="preserve">The set of code rates is defined in </w:t>
      </w:r>
      <w:r w:rsidR="002E1666">
        <w:fldChar w:fldCharType="begin"/>
      </w:r>
      <w:r w:rsidR="002E1666">
        <w:instrText xml:space="preserve"> REF _Ref468728305 \h </w:instrText>
      </w:r>
      <w:r w:rsidR="002E1666">
        <w:fldChar w:fldCharType="separate"/>
      </w:r>
      <w:r w:rsidR="002E1666">
        <w:t xml:space="preserve">Table </w:t>
      </w:r>
      <w:r w:rsidR="002E1666">
        <w:rPr>
          <w:noProof/>
        </w:rPr>
        <w:t>1</w:t>
      </w:r>
      <w:r w:rsidR="002E1666">
        <w:fldChar w:fldCharType="end"/>
      </w:r>
      <w:r w:rsidR="002E1666">
        <w:t xml:space="preserve">. </w:t>
      </w:r>
      <w:r w:rsidR="00711C06">
        <w:t xml:space="preserve">The parity check matrices are defined in </w:t>
      </w:r>
      <w:r w:rsidR="00EC4342" w:rsidRPr="00EC4342">
        <w:t>6.5.6.3.2</w:t>
      </w:r>
      <w:r w:rsidR="00711C06">
        <w:t xml:space="preserve">. </w:t>
      </w:r>
      <w:r w:rsidR="00EC4342">
        <w:t xml:space="preserve">The encoding process for SISO transmissions is defined in </w:t>
      </w:r>
      <w:r w:rsidR="00EC4342" w:rsidRPr="00EC4342">
        <w:t>6.5.6.3.3</w:t>
      </w:r>
      <w:r w:rsidR="00EC4342">
        <w:t xml:space="preserve">. </w:t>
      </w:r>
      <w:r w:rsidR="00A5558C">
        <w:t>The encoding process for MIMO transmissions is defined in 6.5.6.3.4.</w:t>
      </w:r>
    </w:p>
    <w:p w:rsidR="002C782F" w:rsidRDefault="002C782F"/>
    <w:p w:rsidR="003C50C8" w:rsidRDefault="003C50C8" w:rsidP="003C50C8">
      <w:pPr>
        <w:pStyle w:val="Caption"/>
        <w:keepNext/>
      </w:pPr>
      <w:bookmarkStart w:id="0" w:name="_Ref46872830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0D8F">
        <w:rPr>
          <w:noProof/>
        </w:rPr>
        <w:t>1</w:t>
      </w:r>
      <w:r>
        <w:fldChar w:fldCharType="end"/>
      </w:r>
      <w:bookmarkEnd w:id="0"/>
      <w:r>
        <w:t xml:space="preserve">: </w:t>
      </w:r>
      <w:r w:rsidRPr="003C50C8">
        <w:t>EDMG</w:t>
      </w:r>
      <w:r>
        <w:t xml:space="preserve"> LDPC code rates.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2000" w:rsidRPr="00B82000" w:rsidTr="00527108">
        <w:tc>
          <w:tcPr>
            <w:tcW w:w="1870" w:type="dxa"/>
            <w:vMerge w:val="restart"/>
          </w:tcPr>
          <w:p w:rsidR="00B82000" w:rsidRPr="00B82000" w:rsidRDefault="00B82000" w:rsidP="00B82000">
            <w:pPr>
              <w:jc w:val="center"/>
              <w:rPr>
                <w:b/>
              </w:rPr>
            </w:pPr>
            <w:r w:rsidRPr="00B82000">
              <w:rPr>
                <w:b/>
              </w:rPr>
              <w:t>Code rate</w:t>
            </w:r>
          </w:p>
        </w:tc>
        <w:tc>
          <w:tcPr>
            <w:tcW w:w="3740" w:type="dxa"/>
            <w:gridSpan w:val="2"/>
          </w:tcPr>
          <w:p w:rsidR="00B82000" w:rsidRPr="00B82000" w:rsidRDefault="00B82000" w:rsidP="00B82000">
            <w:pPr>
              <w:jc w:val="center"/>
              <w:rPr>
                <w:b/>
              </w:rPr>
            </w:pPr>
            <w:r w:rsidRPr="00B82000">
              <w:rPr>
                <w:b/>
              </w:rPr>
              <w:t>Codeword size</w:t>
            </w:r>
          </w:p>
        </w:tc>
        <w:tc>
          <w:tcPr>
            <w:tcW w:w="3740" w:type="dxa"/>
            <w:gridSpan w:val="2"/>
          </w:tcPr>
          <w:p w:rsidR="00B82000" w:rsidRPr="00B82000" w:rsidRDefault="00B82000" w:rsidP="00B82000">
            <w:pPr>
              <w:jc w:val="center"/>
              <w:rPr>
                <w:b/>
              </w:rPr>
            </w:pPr>
            <w:r w:rsidRPr="00B82000">
              <w:rPr>
                <w:b/>
              </w:rPr>
              <w:t>Number of data bits</w:t>
            </w:r>
          </w:p>
        </w:tc>
      </w:tr>
      <w:tr w:rsidR="00B82000" w:rsidTr="00B82000">
        <w:tc>
          <w:tcPr>
            <w:tcW w:w="1870" w:type="dxa"/>
            <w:vMerge/>
          </w:tcPr>
          <w:p w:rsidR="00B82000" w:rsidRDefault="00B82000" w:rsidP="00B82000">
            <w:pPr>
              <w:jc w:val="center"/>
            </w:pPr>
          </w:p>
        </w:tc>
        <w:tc>
          <w:tcPr>
            <w:tcW w:w="1870" w:type="dxa"/>
          </w:tcPr>
          <w:p w:rsidR="00B82000" w:rsidRPr="00B82000" w:rsidRDefault="00B82000" w:rsidP="00B82000">
            <w:pPr>
              <w:jc w:val="center"/>
              <w:rPr>
                <w:b/>
              </w:rPr>
            </w:pPr>
            <w:r w:rsidRPr="00B82000">
              <w:rPr>
                <w:b/>
              </w:rPr>
              <w:t>Short</w:t>
            </w:r>
          </w:p>
        </w:tc>
        <w:tc>
          <w:tcPr>
            <w:tcW w:w="1870" w:type="dxa"/>
          </w:tcPr>
          <w:p w:rsidR="00B82000" w:rsidRPr="00B82000" w:rsidRDefault="00B82000" w:rsidP="00B82000">
            <w:pPr>
              <w:jc w:val="center"/>
              <w:rPr>
                <w:b/>
              </w:rPr>
            </w:pPr>
            <w:r w:rsidRPr="00B82000">
              <w:rPr>
                <w:b/>
              </w:rPr>
              <w:t>Long</w:t>
            </w:r>
          </w:p>
        </w:tc>
        <w:tc>
          <w:tcPr>
            <w:tcW w:w="1870" w:type="dxa"/>
          </w:tcPr>
          <w:p w:rsidR="00B82000" w:rsidRPr="00B82000" w:rsidRDefault="00B82000" w:rsidP="00B82000">
            <w:pPr>
              <w:jc w:val="center"/>
              <w:rPr>
                <w:b/>
              </w:rPr>
            </w:pPr>
            <w:r w:rsidRPr="00B82000">
              <w:rPr>
                <w:b/>
              </w:rPr>
              <w:t>Short</w:t>
            </w:r>
          </w:p>
        </w:tc>
        <w:tc>
          <w:tcPr>
            <w:tcW w:w="1870" w:type="dxa"/>
          </w:tcPr>
          <w:p w:rsidR="00B82000" w:rsidRPr="00B82000" w:rsidRDefault="00B82000" w:rsidP="00B82000">
            <w:pPr>
              <w:jc w:val="center"/>
              <w:rPr>
                <w:b/>
              </w:rPr>
            </w:pPr>
            <w:r w:rsidRPr="00B82000">
              <w:rPr>
                <w:b/>
              </w:rPr>
              <w:t>Long</w:t>
            </w:r>
          </w:p>
        </w:tc>
      </w:tr>
      <w:tr w:rsidR="00B82000" w:rsidTr="00B82000"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½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672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1344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>
              <w:t>336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>
              <w:t>672</w:t>
            </w:r>
          </w:p>
        </w:tc>
      </w:tr>
      <w:tr w:rsidR="00B82000" w:rsidTr="00B82000"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5/8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672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1344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 w:rsidRPr="00E93595">
              <w:t>420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>
              <w:t>840</w:t>
            </w:r>
          </w:p>
        </w:tc>
      </w:tr>
      <w:tr w:rsidR="00B82000" w:rsidTr="00B82000"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¾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672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1344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>
              <w:t>504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>
              <w:t>1008</w:t>
            </w:r>
          </w:p>
        </w:tc>
      </w:tr>
      <w:tr w:rsidR="00B82000" w:rsidTr="00B82000"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13/16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672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1344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>
              <w:t>546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>
              <w:t>1092</w:t>
            </w:r>
          </w:p>
        </w:tc>
      </w:tr>
      <w:tr w:rsidR="00B82000" w:rsidTr="00B82000"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7/8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672</w:t>
            </w:r>
          </w:p>
        </w:tc>
        <w:tc>
          <w:tcPr>
            <w:tcW w:w="1870" w:type="dxa"/>
          </w:tcPr>
          <w:p w:rsidR="00B82000" w:rsidRDefault="00B82000" w:rsidP="00B82000">
            <w:pPr>
              <w:jc w:val="center"/>
            </w:pPr>
            <w:r>
              <w:t>1344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>
              <w:t>588</w:t>
            </w:r>
          </w:p>
        </w:tc>
        <w:tc>
          <w:tcPr>
            <w:tcW w:w="1870" w:type="dxa"/>
          </w:tcPr>
          <w:p w:rsidR="00B82000" w:rsidRDefault="00E93595" w:rsidP="00B82000">
            <w:pPr>
              <w:jc w:val="center"/>
            </w:pPr>
            <w:r>
              <w:t>1176</w:t>
            </w:r>
          </w:p>
        </w:tc>
      </w:tr>
    </w:tbl>
    <w:p w:rsidR="00F779AA" w:rsidRPr="00944F5B" w:rsidRDefault="00F779AA"/>
    <w:p w:rsidR="00A9511C" w:rsidRDefault="000B5E15">
      <w:pPr>
        <w:rPr>
          <w:b/>
        </w:rPr>
      </w:pPr>
      <w:r w:rsidRPr="00A9511C">
        <w:rPr>
          <w:b/>
        </w:rPr>
        <w:t>6.</w:t>
      </w:r>
      <w:r>
        <w:rPr>
          <w:b/>
        </w:rPr>
        <w:t>5</w:t>
      </w:r>
      <w:r w:rsidRPr="00A9511C">
        <w:rPr>
          <w:b/>
        </w:rPr>
        <w:t>.</w:t>
      </w:r>
      <w:r>
        <w:rPr>
          <w:b/>
        </w:rPr>
        <w:t>6.3.2</w:t>
      </w:r>
      <w:r w:rsidR="0017473C">
        <w:rPr>
          <w:b/>
        </w:rPr>
        <w:t xml:space="preserve"> Parity check matrices</w:t>
      </w:r>
    </w:p>
    <w:p w:rsidR="00233BAE" w:rsidRDefault="00233BAE"/>
    <w:p w:rsidR="0017473C" w:rsidRDefault="00233BAE">
      <w:pPr>
        <w:rPr>
          <w:b/>
        </w:rPr>
      </w:pPr>
      <w:r>
        <w:t xml:space="preserve">See </w:t>
      </w:r>
      <w:r w:rsidR="00EC4342">
        <w:t>6.3.6.</w:t>
      </w:r>
    </w:p>
    <w:p w:rsidR="000711E1" w:rsidRDefault="000711E1">
      <w:pPr>
        <w:rPr>
          <w:b/>
        </w:rPr>
      </w:pPr>
    </w:p>
    <w:p w:rsidR="00E65C50" w:rsidRPr="003160BB" w:rsidRDefault="003160BB">
      <w:pPr>
        <w:rPr>
          <w:b/>
        </w:rPr>
      </w:pPr>
      <w:r w:rsidRPr="003160BB">
        <w:rPr>
          <w:b/>
        </w:rPr>
        <w:t>6.5.6.3.3 LDPC encoding for SISO transmissions</w:t>
      </w:r>
    </w:p>
    <w:p w:rsidR="003160BB" w:rsidRDefault="003160BB"/>
    <w:p w:rsidR="00F42A70" w:rsidRDefault="00767BFA">
      <w:r>
        <w:t xml:space="preserve">This subcaluse defines </w:t>
      </w:r>
      <w:r w:rsidR="00A66D3D">
        <w:t xml:space="preserve">a SC PHY PSDU encoding process for SISO transmissions. </w:t>
      </w:r>
      <w:r w:rsidR="003E1320">
        <w:t xml:space="preserve">The </w:t>
      </w:r>
      <w:r w:rsidR="00F42A70">
        <w:t xml:space="preserve">EDMG </w:t>
      </w:r>
      <w:r w:rsidR="003E1320">
        <w:t xml:space="preserve">encoding process </w:t>
      </w:r>
      <w:r w:rsidR="00F42A70">
        <w:t>includes the following steps:</w:t>
      </w:r>
    </w:p>
    <w:p w:rsidR="00B95DEE" w:rsidRDefault="00B95DEE"/>
    <w:p w:rsidR="007D0659" w:rsidRDefault="006E6349" w:rsidP="006E6349">
      <w:pPr>
        <w:pStyle w:val="ListParagraph"/>
        <w:numPr>
          <w:ilvl w:val="0"/>
          <w:numId w:val="5"/>
        </w:numPr>
      </w:pPr>
      <w:r>
        <w:t xml:space="preserve">Steps a) – c) as defined in subclause </w:t>
      </w:r>
      <w:r w:rsidRPr="006E6349">
        <w:t>20.6.3.2.3.3</w:t>
      </w:r>
      <w:r w:rsidR="005719EB">
        <w:t xml:space="preserve"> for DMG encoding</w:t>
      </w:r>
      <w:r>
        <w:t xml:space="preserve">, assuming that </w:t>
      </w:r>
      <w:r w:rsidR="00AA62A2" w:rsidRPr="00AA62A2">
        <w:rPr>
          <w:i/>
        </w:rPr>
        <w:t>L</w:t>
      </w:r>
      <w:r w:rsidR="00AA62A2" w:rsidRPr="00AA62A2">
        <w:rPr>
          <w:i/>
          <w:vertAlign w:val="subscript"/>
        </w:rPr>
        <w:t>CW</w:t>
      </w:r>
      <w:r w:rsidR="00AA62A2">
        <w:t xml:space="preserve"> can be equal to 672 </w:t>
      </w:r>
      <w:r w:rsidR="00624FE1">
        <w:t>or</w:t>
      </w:r>
      <w:r w:rsidR="00AA62A2">
        <w:t xml:space="preserve"> 1344 bits and </w:t>
      </w:r>
      <w:r w:rsidR="009633DA" w:rsidRPr="009633DA">
        <w:rPr>
          <w:i/>
        </w:rPr>
        <w:t>L</w:t>
      </w:r>
      <w:r w:rsidR="009633DA" w:rsidRPr="009633DA">
        <w:rPr>
          <w:i/>
          <w:vertAlign w:val="subscript"/>
        </w:rPr>
        <w:t>CW</w:t>
      </w:r>
      <w:r w:rsidR="009633DA">
        <w:t xml:space="preserve"> = 672, </w:t>
      </w:r>
      <w:r w:rsidR="009633DA" w:rsidRPr="00D52B8A">
        <w:rPr>
          <w:i/>
        </w:rPr>
        <w:t>R</w:t>
      </w:r>
      <w:r w:rsidR="009633DA">
        <w:t xml:space="preserve"> = 7/8 code shall use b.1) encoding procedure.</w:t>
      </w:r>
    </w:p>
    <w:p w:rsidR="009633DA" w:rsidRDefault="00784FC2" w:rsidP="006E6349">
      <w:pPr>
        <w:pStyle w:val="ListParagraph"/>
        <w:numPr>
          <w:ilvl w:val="0"/>
          <w:numId w:val="5"/>
        </w:numPr>
      </w:pPr>
      <w:r>
        <w:t xml:space="preserve">The number of SC symbol </w:t>
      </w:r>
      <w:r w:rsidR="00C5188A">
        <w:t xml:space="preserve">blocks, </w:t>
      </w:r>
      <w:r w:rsidR="00C5188A" w:rsidRPr="00C5188A">
        <w:rPr>
          <w:i/>
        </w:rPr>
        <w:t>N</w:t>
      </w:r>
      <w:r w:rsidR="00C5188A" w:rsidRPr="00C5188A">
        <w:rPr>
          <w:i/>
          <w:vertAlign w:val="subscript"/>
        </w:rPr>
        <w:t>BLKS</w:t>
      </w:r>
      <w:r w:rsidR="00C5188A">
        <w:t xml:space="preserve">, and the number of symbol block padding bits, </w:t>
      </w:r>
      <w:r w:rsidR="00C5188A" w:rsidRPr="00C5188A">
        <w:rPr>
          <w:i/>
        </w:rPr>
        <w:t>N</w:t>
      </w:r>
      <w:r w:rsidR="00C5188A" w:rsidRPr="00C5188A">
        <w:rPr>
          <w:i/>
          <w:vertAlign w:val="subscript"/>
        </w:rPr>
        <w:t>BLK_PAD</w:t>
      </w:r>
      <w:r w:rsidR="00C5188A">
        <w:t>, are calculated as follows:</w:t>
      </w:r>
    </w:p>
    <w:p w:rsidR="00233BAE" w:rsidRDefault="00D12604">
      <w:r w:rsidRPr="00D12604">
        <w:rPr>
          <w:position w:val="-32"/>
        </w:rPr>
        <w:object w:dxaOrig="2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37.8pt" o:ole="">
            <v:imagedata r:id="rId8" o:title=""/>
          </v:shape>
          <o:OLEObject Type="Embed" ProgID="Equation.3" ShapeID="_x0000_i1025" DrawAspect="Content" ObjectID="_1543823077" r:id="rId9"/>
        </w:object>
      </w:r>
    </w:p>
    <w:p w:rsidR="00E64499" w:rsidRDefault="00E64499"/>
    <w:p w:rsidR="00E64499" w:rsidRDefault="00891F22">
      <w:r w:rsidRPr="00D12604">
        <w:rPr>
          <w:position w:val="-14"/>
        </w:rPr>
        <w:object w:dxaOrig="3680" w:dyaOrig="380">
          <v:shape id="_x0000_i1026" type="#_x0000_t75" style="width:184.2pt;height:19.2pt" o:ole="">
            <v:imagedata r:id="rId10" o:title=""/>
          </v:shape>
          <o:OLEObject Type="Embed" ProgID="Equation.3" ShapeID="_x0000_i1026" DrawAspect="Content" ObjectID="_1543823078" r:id="rId11"/>
        </w:object>
      </w:r>
    </w:p>
    <w:p w:rsidR="00E64499" w:rsidRDefault="00E64499"/>
    <w:p w:rsidR="00C43365" w:rsidRDefault="00D12604">
      <w:r>
        <w:t xml:space="preserve">where </w:t>
      </w:r>
      <w:r w:rsidR="00891F22" w:rsidRPr="00D9032E">
        <w:rPr>
          <w:i/>
        </w:rPr>
        <w:t>N</w:t>
      </w:r>
      <w:r w:rsidR="00891F22" w:rsidRPr="00D9032E">
        <w:rPr>
          <w:i/>
          <w:vertAlign w:val="subscript"/>
        </w:rPr>
        <w:t>CBPB</w:t>
      </w:r>
      <w:r w:rsidR="00891F22">
        <w:t xml:space="preserve"> is the number of coded bits per block </w:t>
      </w:r>
      <w:r w:rsidR="000C4B84">
        <w:t xml:space="preserve">transmitted over the 2.16 GHz channel </w:t>
      </w:r>
      <w:r w:rsidR="00891F22">
        <w:t xml:space="preserve">and </w:t>
      </w:r>
      <w:r w:rsidR="00891F22" w:rsidRPr="0002171A">
        <w:rPr>
          <w:i/>
        </w:rPr>
        <w:t>N</w:t>
      </w:r>
      <w:r w:rsidR="00891F22" w:rsidRPr="0002171A">
        <w:rPr>
          <w:i/>
          <w:vertAlign w:val="subscript"/>
        </w:rPr>
        <w:t>CB</w:t>
      </w:r>
      <w:r w:rsidR="00891F22">
        <w:t xml:space="preserve"> defines </w:t>
      </w:r>
      <w:r w:rsidR="002D2E2E">
        <w:t xml:space="preserve">the number </w:t>
      </w:r>
      <w:r w:rsidR="00F03116" w:rsidRPr="00F03116">
        <w:t>of 2.16 GHz channels, NCB (1 ≤ NCB ≤ 4), that make up the signal bandwidth of an EDMG PPDU.</w:t>
      </w:r>
      <w:r w:rsidR="005922B4">
        <w:t xml:space="preserve"> </w:t>
      </w:r>
      <w:r w:rsidR="00404C89">
        <w:t>The values of NCBPB for different types of GI</w:t>
      </w:r>
      <w:r w:rsidR="00131881">
        <w:t xml:space="preserve"> </w:t>
      </w:r>
      <w:r w:rsidR="00404C89">
        <w:t xml:space="preserve">are provided in </w:t>
      </w:r>
      <w:r w:rsidR="00404C89">
        <w:fldChar w:fldCharType="begin"/>
      </w:r>
      <w:r w:rsidR="00404C89">
        <w:instrText xml:space="preserve"> REF _Ref468732538 \h </w:instrText>
      </w:r>
      <w:r w:rsidR="00404C89">
        <w:fldChar w:fldCharType="separate"/>
      </w:r>
      <w:r w:rsidR="00404C89">
        <w:t xml:space="preserve">Table </w:t>
      </w:r>
      <w:r w:rsidR="00404C89">
        <w:rPr>
          <w:noProof/>
        </w:rPr>
        <w:t>2</w:t>
      </w:r>
      <w:r w:rsidR="00404C89">
        <w:fldChar w:fldCharType="end"/>
      </w:r>
      <w:r w:rsidR="00404C89">
        <w:t>.</w:t>
      </w:r>
    </w:p>
    <w:p w:rsidR="00E64499" w:rsidRDefault="00C43365">
      <w:r w:rsidRPr="00C43365">
        <w:rPr>
          <w:lang w:val="en-US"/>
        </w:rPr>
        <w:t xml:space="preserve">The coded bit stream is concatenated with </w:t>
      </w:r>
      <w:r w:rsidRPr="00C43365">
        <w:rPr>
          <w:i/>
          <w:lang w:val="en-US"/>
        </w:rPr>
        <w:t>N</w:t>
      </w:r>
      <w:r w:rsidRPr="00C43365">
        <w:rPr>
          <w:i/>
          <w:vertAlign w:val="subscript"/>
          <w:lang w:val="en-US"/>
        </w:rPr>
        <w:t>BLK_PAD</w:t>
      </w:r>
      <w:r w:rsidRPr="00C43365">
        <w:rPr>
          <w:lang w:val="en-US"/>
        </w:rPr>
        <w:t xml:space="preserve"> zeros. They are scrambled using the continuation of the scrambler sequence that scrambled the PSDU input bits.</w:t>
      </w:r>
    </w:p>
    <w:p w:rsidR="003160BB" w:rsidRDefault="003160BB"/>
    <w:p w:rsidR="002D0D8F" w:rsidRDefault="002D0D8F" w:rsidP="002D0D8F">
      <w:pPr>
        <w:pStyle w:val="Caption"/>
        <w:keepNext/>
      </w:pPr>
      <w:bookmarkStart w:id="1" w:name="_Ref46873253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"/>
      <w:r>
        <w:t xml:space="preserve">: Values </w:t>
      </w:r>
      <w:r w:rsidR="00EA188F">
        <w:t>of</w:t>
      </w:r>
      <w:r>
        <w:t xml:space="preserve"> NCBPB</w:t>
      </w:r>
      <w:r w:rsidR="005F36F0">
        <w:t xml:space="preserve"> for different types of GI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B3471" w:rsidTr="003B3471">
        <w:tc>
          <w:tcPr>
            <w:tcW w:w="2337" w:type="dxa"/>
          </w:tcPr>
          <w:p w:rsidR="003B3471" w:rsidRPr="00F0329D" w:rsidRDefault="003B3471" w:rsidP="003B3471">
            <w:pPr>
              <w:jc w:val="center"/>
              <w:rPr>
                <w:b/>
              </w:rPr>
            </w:pPr>
            <w:r w:rsidRPr="00F0329D">
              <w:rPr>
                <w:b/>
              </w:rPr>
              <w:t>Symbol mapping</w:t>
            </w:r>
          </w:p>
        </w:tc>
        <w:tc>
          <w:tcPr>
            <w:tcW w:w="2337" w:type="dxa"/>
          </w:tcPr>
          <w:p w:rsidR="003B3471" w:rsidRPr="00F0329D" w:rsidRDefault="003B3471" w:rsidP="003B3471">
            <w:pPr>
              <w:jc w:val="center"/>
              <w:rPr>
                <w:b/>
              </w:rPr>
            </w:pPr>
            <w:r>
              <w:rPr>
                <w:b/>
              </w:rPr>
              <w:t>Short GI</w:t>
            </w:r>
          </w:p>
        </w:tc>
        <w:tc>
          <w:tcPr>
            <w:tcW w:w="2338" w:type="dxa"/>
          </w:tcPr>
          <w:p w:rsidR="003B3471" w:rsidRPr="00F0329D" w:rsidRDefault="003B3471" w:rsidP="003B3471">
            <w:pPr>
              <w:jc w:val="center"/>
              <w:rPr>
                <w:b/>
              </w:rPr>
            </w:pPr>
            <w:r>
              <w:rPr>
                <w:b/>
              </w:rPr>
              <w:t>Normal GI</w:t>
            </w:r>
          </w:p>
        </w:tc>
        <w:tc>
          <w:tcPr>
            <w:tcW w:w="2338" w:type="dxa"/>
          </w:tcPr>
          <w:p w:rsidR="003B3471" w:rsidRPr="00F0329D" w:rsidRDefault="003B3471" w:rsidP="003B3471">
            <w:pPr>
              <w:jc w:val="center"/>
              <w:rPr>
                <w:b/>
              </w:rPr>
            </w:pPr>
            <w:r>
              <w:rPr>
                <w:b/>
              </w:rPr>
              <w:t>Long GI</w:t>
            </w:r>
          </w:p>
        </w:tc>
      </w:tr>
      <w:tr w:rsidR="00237E9A" w:rsidTr="003B3471">
        <w:tc>
          <w:tcPr>
            <w:tcW w:w="2337" w:type="dxa"/>
          </w:tcPr>
          <w:p w:rsidR="00237E9A" w:rsidRDefault="00237E9A" w:rsidP="00237E9A">
            <w:pPr>
              <w:jc w:val="center"/>
            </w:pPr>
            <w:r>
              <w:t>π/2-BPSK</w:t>
            </w:r>
          </w:p>
        </w:tc>
        <w:tc>
          <w:tcPr>
            <w:tcW w:w="2337" w:type="dxa"/>
          </w:tcPr>
          <w:p w:rsidR="00237E9A" w:rsidRDefault="005D1D9A" w:rsidP="00237E9A">
            <w:pPr>
              <w:jc w:val="center"/>
            </w:pPr>
            <w:r>
              <w:t>480</w:t>
            </w:r>
          </w:p>
        </w:tc>
        <w:tc>
          <w:tcPr>
            <w:tcW w:w="2338" w:type="dxa"/>
          </w:tcPr>
          <w:p w:rsidR="00237E9A" w:rsidRDefault="00237E9A" w:rsidP="00237E9A">
            <w:pPr>
              <w:jc w:val="center"/>
            </w:pPr>
            <w:r>
              <w:t>448</w:t>
            </w:r>
          </w:p>
        </w:tc>
        <w:tc>
          <w:tcPr>
            <w:tcW w:w="2338" w:type="dxa"/>
          </w:tcPr>
          <w:p w:rsidR="00237E9A" w:rsidRDefault="009B775C" w:rsidP="00237E9A">
            <w:pPr>
              <w:jc w:val="center"/>
            </w:pPr>
            <w:r>
              <w:t>384</w:t>
            </w:r>
          </w:p>
        </w:tc>
      </w:tr>
      <w:tr w:rsidR="00237E9A" w:rsidTr="003B3471">
        <w:tc>
          <w:tcPr>
            <w:tcW w:w="2337" w:type="dxa"/>
          </w:tcPr>
          <w:p w:rsidR="00237E9A" w:rsidRDefault="00237E9A" w:rsidP="00237E9A">
            <w:pPr>
              <w:jc w:val="center"/>
            </w:pPr>
            <w:r>
              <w:t>π/2-QPSK</w:t>
            </w:r>
          </w:p>
        </w:tc>
        <w:tc>
          <w:tcPr>
            <w:tcW w:w="2337" w:type="dxa"/>
          </w:tcPr>
          <w:p w:rsidR="00237E9A" w:rsidRDefault="005D1D9A" w:rsidP="00237E9A">
            <w:pPr>
              <w:jc w:val="center"/>
            </w:pPr>
            <w:r>
              <w:t>960</w:t>
            </w:r>
          </w:p>
        </w:tc>
        <w:tc>
          <w:tcPr>
            <w:tcW w:w="2338" w:type="dxa"/>
          </w:tcPr>
          <w:p w:rsidR="00237E9A" w:rsidRDefault="00237E9A" w:rsidP="00237E9A">
            <w:pPr>
              <w:jc w:val="center"/>
            </w:pPr>
            <w:r>
              <w:t>896</w:t>
            </w:r>
          </w:p>
        </w:tc>
        <w:tc>
          <w:tcPr>
            <w:tcW w:w="2338" w:type="dxa"/>
          </w:tcPr>
          <w:p w:rsidR="00237E9A" w:rsidRDefault="009B775C" w:rsidP="00237E9A">
            <w:pPr>
              <w:jc w:val="center"/>
            </w:pPr>
            <w:r>
              <w:t>768</w:t>
            </w:r>
          </w:p>
        </w:tc>
      </w:tr>
      <w:tr w:rsidR="00237E9A" w:rsidTr="003B3471">
        <w:tc>
          <w:tcPr>
            <w:tcW w:w="2337" w:type="dxa"/>
          </w:tcPr>
          <w:p w:rsidR="00237E9A" w:rsidRDefault="00237E9A" w:rsidP="00237E9A">
            <w:pPr>
              <w:jc w:val="center"/>
            </w:pPr>
            <w:r>
              <w:t>π/2-16QAM</w:t>
            </w:r>
          </w:p>
        </w:tc>
        <w:tc>
          <w:tcPr>
            <w:tcW w:w="2337" w:type="dxa"/>
          </w:tcPr>
          <w:p w:rsidR="00237E9A" w:rsidRDefault="005D1D9A" w:rsidP="00237E9A">
            <w:pPr>
              <w:jc w:val="center"/>
            </w:pPr>
            <w:r>
              <w:t>1920</w:t>
            </w:r>
          </w:p>
        </w:tc>
        <w:tc>
          <w:tcPr>
            <w:tcW w:w="2338" w:type="dxa"/>
          </w:tcPr>
          <w:p w:rsidR="00237E9A" w:rsidRDefault="00237E9A" w:rsidP="00237E9A">
            <w:pPr>
              <w:jc w:val="center"/>
            </w:pPr>
            <w:r>
              <w:t>1792</w:t>
            </w:r>
          </w:p>
        </w:tc>
        <w:tc>
          <w:tcPr>
            <w:tcW w:w="2338" w:type="dxa"/>
          </w:tcPr>
          <w:p w:rsidR="00237E9A" w:rsidRDefault="009B775C" w:rsidP="00237E9A">
            <w:pPr>
              <w:jc w:val="center"/>
            </w:pPr>
            <w:r>
              <w:t>1536</w:t>
            </w:r>
          </w:p>
        </w:tc>
      </w:tr>
      <w:tr w:rsidR="00237E9A" w:rsidTr="003B3471">
        <w:tc>
          <w:tcPr>
            <w:tcW w:w="2337" w:type="dxa"/>
          </w:tcPr>
          <w:p w:rsidR="00237E9A" w:rsidRDefault="00237E9A" w:rsidP="00237E9A">
            <w:pPr>
              <w:jc w:val="center"/>
            </w:pPr>
            <w:r>
              <w:t>π/2-64QAM</w:t>
            </w:r>
          </w:p>
        </w:tc>
        <w:tc>
          <w:tcPr>
            <w:tcW w:w="2337" w:type="dxa"/>
          </w:tcPr>
          <w:p w:rsidR="00237E9A" w:rsidRDefault="005D1D9A" w:rsidP="00237E9A">
            <w:pPr>
              <w:jc w:val="center"/>
            </w:pPr>
            <w:r>
              <w:t>2880</w:t>
            </w:r>
          </w:p>
        </w:tc>
        <w:tc>
          <w:tcPr>
            <w:tcW w:w="2338" w:type="dxa"/>
          </w:tcPr>
          <w:p w:rsidR="00237E9A" w:rsidRDefault="00237E9A" w:rsidP="00237E9A">
            <w:pPr>
              <w:jc w:val="center"/>
            </w:pPr>
            <w:r>
              <w:t>2688</w:t>
            </w:r>
          </w:p>
        </w:tc>
        <w:tc>
          <w:tcPr>
            <w:tcW w:w="2338" w:type="dxa"/>
          </w:tcPr>
          <w:p w:rsidR="00237E9A" w:rsidRDefault="009B775C" w:rsidP="00237E9A">
            <w:pPr>
              <w:jc w:val="center"/>
            </w:pPr>
            <w:r>
              <w:t>2304</w:t>
            </w:r>
          </w:p>
        </w:tc>
      </w:tr>
    </w:tbl>
    <w:p w:rsidR="003160BB" w:rsidRDefault="003160BB"/>
    <w:p w:rsidR="006176E0" w:rsidRDefault="006176E0">
      <w:r>
        <w:lastRenderedPageBreak/>
        <w:t xml:space="preserve">In case of 2.16 + 2.16 GHz channel aggregation, </w:t>
      </w:r>
      <w:r w:rsidR="00536F30">
        <w:t>the first N</w:t>
      </w:r>
      <w:r w:rsidR="00536F30" w:rsidRPr="00DA47EE">
        <w:rPr>
          <w:vertAlign w:val="subscript"/>
        </w:rPr>
        <w:t>CBPB</w:t>
      </w:r>
      <w:r w:rsidR="00536F30">
        <w:t xml:space="preserve"> bits are assigned to the primary channel transmission and the second N</w:t>
      </w:r>
      <w:r w:rsidR="00536F30" w:rsidRPr="00DA47EE">
        <w:rPr>
          <w:vertAlign w:val="subscript"/>
        </w:rPr>
        <w:t>CBPB</w:t>
      </w:r>
      <w:r w:rsidR="00536F30">
        <w:t xml:space="preserve"> bits are </w:t>
      </w:r>
      <w:r w:rsidR="007652CA">
        <w:t>assigned to the secondary channel transmission. The procedure is repeated for the following 2*N</w:t>
      </w:r>
      <w:r w:rsidR="007652CA" w:rsidRPr="00DA47EE">
        <w:rPr>
          <w:vertAlign w:val="subscript"/>
        </w:rPr>
        <w:t>CBPB</w:t>
      </w:r>
      <w:r w:rsidR="007652CA">
        <w:t xml:space="preserve"> bits.</w:t>
      </w:r>
    </w:p>
    <w:p w:rsidR="006176E0" w:rsidRDefault="00491CE0">
      <w:r>
        <w:t xml:space="preserve">In case of 4.32 + 4.32 GHz channel aggregation, the first </w:t>
      </w:r>
      <w:r w:rsidR="00BF15A1">
        <w:t>2*</w:t>
      </w:r>
      <w:r>
        <w:t>N</w:t>
      </w:r>
      <w:r w:rsidRPr="00DA47EE">
        <w:rPr>
          <w:vertAlign w:val="subscript"/>
        </w:rPr>
        <w:t>CBPB</w:t>
      </w:r>
      <w:r>
        <w:t xml:space="preserve"> bits are assigned to the primary channel transmission and the second </w:t>
      </w:r>
      <w:r w:rsidR="00BF15A1">
        <w:t>2*</w:t>
      </w:r>
      <w:r>
        <w:t>N</w:t>
      </w:r>
      <w:r w:rsidRPr="00DA47EE">
        <w:rPr>
          <w:vertAlign w:val="subscript"/>
        </w:rPr>
        <w:t>CBPB</w:t>
      </w:r>
      <w:r>
        <w:t xml:space="preserve"> bits are assigned to the secondary channel transmission. The procedure is repeated for the following </w:t>
      </w:r>
      <w:r w:rsidR="00BF15A1">
        <w:t>4</w:t>
      </w:r>
      <w:r>
        <w:t>*N</w:t>
      </w:r>
      <w:r w:rsidRPr="00DA47EE">
        <w:rPr>
          <w:vertAlign w:val="subscript"/>
        </w:rPr>
        <w:t>CBPB</w:t>
      </w:r>
      <w:r>
        <w:t xml:space="preserve"> bits.</w:t>
      </w:r>
    </w:p>
    <w:p w:rsidR="006176E0" w:rsidRDefault="006176E0"/>
    <w:p w:rsidR="00635A86" w:rsidRDefault="00CE3B67">
      <w:r>
        <w:rPr>
          <w:b/>
        </w:rPr>
        <w:t>6.5.6.3.4</w:t>
      </w:r>
      <w:r w:rsidRPr="003160BB">
        <w:rPr>
          <w:b/>
        </w:rPr>
        <w:t xml:space="preserve"> </w:t>
      </w:r>
      <w:r>
        <w:rPr>
          <w:b/>
        </w:rPr>
        <w:t>LDPC encoding for MIM</w:t>
      </w:r>
      <w:r w:rsidRPr="003160BB">
        <w:rPr>
          <w:b/>
        </w:rPr>
        <w:t>O transmissions</w:t>
      </w:r>
    </w:p>
    <w:p w:rsidR="00635A86" w:rsidRDefault="00635A86"/>
    <w:p w:rsidR="00635A86" w:rsidRDefault="00635A86"/>
    <w:p w:rsidR="00635A86" w:rsidRDefault="00635A86"/>
    <w:p w:rsidR="009C7DEC" w:rsidRPr="00730187" w:rsidRDefault="009C7DEC" w:rsidP="00730187">
      <w:pPr>
        <w:rPr>
          <w:lang w:val="en-US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D2A1D" w:rsidP="002D2A1D">
      <w:pPr>
        <w:pStyle w:val="ListParagraph"/>
        <w:numPr>
          <w:ilvl w:val="0"/>
          <w:numId w:val="1"/>
        </w:numPr>
      </w:pPr>
      <w:r w:rsidRPr="002D2A1D">
        <w:t>11-15-135</w:t>
      </w:r>
      <w:r>
        <w:t>8-</w:t>
      </w:r>
      <w:r w:rsidR="00CB1C2C">
        <w:t>09</w:t>
      </w:r>
      <w:bookmarkStart w:id="2" w:name="_GoBack"/>
      <w:bookmarkEnd w:id="2"/>
      <w:r>
        <w:t>-00ay-11ay Spec Framework</w:t>
      </w:r>
    </w:p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A2" w:rsidRDefault="00BB45A2">
      <w:r>
        <w:separator/>
      </w:r>
    </w:p>
  </w:endnote>
  <w:endnote w:type="continuationSeparator" w:id="0">
    <w:p w:rsidR="00BB45A2" w:rsidRDefault="00BB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412F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B1C2C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A2" w:rsidRDefault="00BB45A2">
      <w:r>
        <w:separator/>
      </w:r>
    </w:p>
  </w:footnote>
  <w:footnote w:type="continuationSeparator" w:id="0">
    <w:p w:rsidR="00BB45A2" w:rsidRDefault="00BB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412F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B152B">
        <w:t>Dece</w:t>
      </w:r>
      <w:r w:rsidR="00906DEB">
        <w:t>mber 2016</w:t>
      </w:r>
    </w:fldSimple>
    <w:r w:rsidR="0029020B">
      <w:tab/>
    </w:r>
    <w:r w:rsidR="0029020B">
      <w:tab/>
    </w:r>
    <w:fldSimple w:instr=" TITLE  \* MERGEFORMAT ">
      <w:r w:rsidR="00157EA4">
        <w:t>doc.: IEEE 802.11-</w:t>
      </w:r>
      <w:r w:rsidR="00292403">
        <w:t>16</w:t>
      </w:r>
      <w:r w:rsidR="00157EA4">
        <w:t>/</w:t>
      </w:r>
      <w:r w:rsidR="00292403">
        <w:t>1617</w:t>
      </w:r>
      <w:r w:rsidR="00157EA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7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1AE7"/>
    <w:multiLevelType w:val="hybridMultilevel"/>
    <w:tmpl w:val="7C3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03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93658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11893"/>
    <w:rsid w:val="0002171A"/>
    <w:rsid w:val="00054F44"/>
    <w:rsid w:val="00065256"/>
    <w:rsid w:val="000711E1"/>
    <w:rsid w:val="000A0D6B"/>
    <w:rsid w:val="000B5E15"/>
    <w:rsid w:val="000C4B84"/>
    <w:rsid w:val="000D2FE6"/>
    <w:rsid w:val="00104B4E"/>
    <w:rsid w:val="00124F53"/>
    <w:rsid w:val="00131881"/>
    <w:rsid w:val="00157EA4"/>
    <w:rsid w:val="0017376A"/>
    <w:rsid w:val="0017473C"/>
    <w:rsid w:val="001A29E9"/>
    <w:rsid w:val="001C3376"/>
    <w:rsid w:val="001D0B3D"/>
    <w:rsid w:val="001D6E81"/>
    <w:rsid w:val="001D723B"/>
    <w:rsid w:val="002244DA"/>
    <w:rsid w:val="00233BAE"/>
    <w:rsid w:val="002340CD"/>
    <w:rsid w:val="00237E9A"/>
    <w:rsid w:val="0026322D"/>
    <w:rsid w:val="00265AB4"/>
    <w:rsid w:val="00266495"/>
    <w:rsid w:val="0027441C"/>
    <w:rsid w:val="00287F7E"/>
    <w:rsid w:val="0029020B"/>
    <w:rsid w:val="00292403"/>
    <w:rsid w:val="002A1AFC"/>
    <w:rsid w:val="002B152B"/>
    <w:rsid w:val="002C782F"/>
    <w:rsid w:val="002D0D8F"/>
    <w:rsid w:val="002D2A1D"/>
    <w:rsid w:val="002D2E2E"/>
    <w:rsid w:val="002D44BE"/>
    <w:rsid w:val="002D50D7"/>
    <w:rsid w:val="002E1666"/>
    <w:rsid w:val="002E586A"/>
    <w:rsid w:val="0031594A"/>
    <w:rsid w:val="003160BB"/>
    <w:rsid w:val="003344C0"/>
    <w:rsid w:val="003621E4"/>
    <w:rsid w:val="00367D68"/>
    <w:rsid w:val="00384E00"/>
    <w:rsid w:val="00393E48"/>
    <w:rsid w:val="003B3471"/>
    <w:rsid w:val="003B4EF9"/>
    <w:rsid w:val="003C50C8"/>
    <w:rsid w:val="003E1320"/>
    <w:rsid w:val="003F0B1B"/>
    <w:rsid w:val="003F484B"/>
    <w:rsid w:val="003F4C8D"/>
    <w:rsid w:val="00404C89"/>
    <w:rsid w:val="00422629"/>
    <w:rsid w:val="00442037"/>
    <w:rsid w:val="00456D6D"/>
    <w:rsid w:val="00461356"/>
    <w:rsid w:val="00480AE0"/>
    <w:rsid w:val="004835F5"/>
    <w:rsid w:val="00491CE0"/>
    <w:rsid w:val="004B064B"/>
    <w:rsid w:val="004B09C6"/>
    <w:rsid w:val="004B553A"/>
    <w:rsid w:val="004C3D66"/>
    <w:rsid w:val="004D33B8"/>
    <w:rsid w:val="004D3F07"/>
    <w:rsid w:val="004F3A72"/>
    <w:rsid w:val="00507777"/>
    <w:rsid w:val="00536F30"/>
    <w:rsid w:val="005412FB"/>
    <w:rsid w:val="005719EB"/>
    <w:rsid w:val="0057211E"/>
    <w:rsid w:val="005922B4"/>
    <w:rsid w:val="005A7759"/>
    <w:rsid w:val="005C0E3B"/>
    <w:rsid w:val="005D1D9A"/>
    <w:rsid w:val="005E1080"/>
    <w:rsid w:val="005E3CDB"/>
    <w:rsid w:val="005F36F0"/>
    <w:rsid w:val="005F742C"/>
    <w:rsid w:val="006176E0"/>
    <w:rsid w:val="0062440B"/>
    <w:rsid w:val="00624598"/>
    <w:rsid w:val="00624FE1"/>
    <w:rsid w:val="00635A86"/>
    <w:rsid w:val="006370E5"/>
    <w:rsid w:val="00644636"/>
    <w:rsid w:val="006450E2"/>
    <w:rsid w:val="00646382"/>
    <w:rsid w:val="00655159"/>
    <w:rsid w:val="006A68E1"/>
    <w:rsid w:val="006A6BE1"/>
    <w:rsid w:val="006C0727"/>
    <w:rsid w:val="006C4DAB"/>
    <w:rsid w:val="006D1031"/>
    <w:rsid w:val="006E145F"/>
    <w:rsid w:val="006E6349"/>
    <w:rsid w:val="00711C06"/>
    <w:rsid w:val="00713B74"/>
    <w:rsid w:val="00730187"/>
    <w:rsid w:val="00730850"/>
    <w:rsid w:val="00730A5D"/>
    <w:rsid w:val="00733C4C"/>
    <w:rsid w:val="007652CA"/>
    <w:rsid w:val="00767921"/>
    <w:rsid w:val="00767BFA"/>
    <w:rsid w:val="00770572"/>
    <w:rsid w:val="00784FC2"/>
    <w:rsid w:val="007A5268"/>
    <w:rsid w:val="007D0659"/>
    <w:rsid w:val="007D6440"/>
    <w:rsid w:val="008335D9"/>
    <w:rsid w:val="00836EFB"/>
    <w:rsid w:val="008763E0"/>
    <w:rsid w:val="00891F22"/>
    <w:rsid w:val="00897557"/>
    <w:rsid w:val="008C03D9"/>
    <w:rsid w:val="008C6EEA"/>
    <w:rsid w:val="008D1BD8"/>
    <w:rsid w:val="00906DEB"/>
    <w:rsid w:val="009264AB"/>
    <w:rsid w:val="00944F5B"/>
    <w:rsid w:val="00953DAB"/>
    <w:rsid w:val="00957779"/>
    <w:rsid w:val="009633DA"/>
    <w:rsid w:val="0096488A"/>
    <w:rsid w:val="00964CB8"/>
    <w:rsid w:val="009859C9"/>
    <w:rsid w:val="009A0E18"/>
    <w:rsid w:val="009A22F4"/>
    <w:rsid w:val="009B775C"/>
    <w:rsid w:val="009C6B96"/>
    <w:rsid w:val="009C6F21"/>
    <w:rsid w:val="009C7DEC"/>
    <w:rsid w:val="009D2E18"/>
    <w:rsid w:val="009D39C2"/>
    <w:rsid w:val="009F2FBC"/>
    <w:rsid w:val="00A050D8"/>
    <w:rsid w:val="00A2211B"/>
    <w:rsid w:val="00A5242B"/>
    <w:rsid w:val="00A5558C"/>
    <w:rsid w:val="00A57092"/>
    <w:rsid w:val="00A6154E"/>
    <w:rsid w:val="00A66D3D"/>
    <w:rsid w:val="00A72C9E"/>
    <w:rsid w:val="00A75A0E"/>
    <w:rsid w:val="00A9511C"/>
    <w:rsid w:val="00AA427C"/>
    <w:rsid w:val="00AA527C"/>
    <w:rsid w:val="00AA62A2"/>
    <w:rsid w:val="00AB0C48"/>
    <w:rsid w:val="00AB350F"/>
    <w:rsid w:val="00AB3D6C"/>
    <w:rsid w:val="00B05186"/>
    <w:rsid w:val="00B075AC"/>
    <w:rsid w:val="00B112F3"/>
    <w:rsid w:val="00B269B6"/>
    <w:rsid w:val="00B66989"/>
    <w:rsid w:val="00B7504C"/>
    <w:rsid w:val="00B8148A"/>
    <w:rsid w:val="00B82000"/>
    <w:rsid w:val="00B95DEE"/>
    <w:rsid w:val="00B977BB"/>
    <w:rsid w:val="00BA7510"/>
    <w:rsid w:val="00BA767D"/>
    <w:rsid w:val="00BB45A2"/>
    <w:rsid w:val="00BC10A3"/>
    <w:rsid w:val="00BE68C2"/>
    <w:rsid w:val="00BF15A1"/>
    <w:rsid w:val="00C07B4E"/>
    <w:rsid w:val="00C1411E"/>
    <w:rsid w:val="00C312AF"/>
    <w:rsid w:val="00C36CE2"/>
    <w:rsid w:val="00C41B43"/>
    <w:rsid w:val="00C43365"/>
    <w:rsid w:val="00C5188A"/>
    <w:rsid w:val="00C6532E"/>
    <w:rsid w:val="00C72823"/>
    <w:rsid w:val="00C765A0"/>
    <w:rsid w:val="00CA09B2"/>
    <w:rsid w:val="00CB1C2C"/>
    <w:rsid w:val="00CB2549"/>
    <w:rsid w:val="00CE0998"/>
    <w:rsid w:val="00CE3B67"/>
    <w:rsid w:val="00CE4ABE"/>
    <w:rsid w:val="00D12604"/>
    <w:rsid w:val="00D52B8A"/>
    <w:rsid w:val="00D55733"/>
    <w:rsid w:val="00D73A2F"/>
    <w:rsid w:val="00D74FB7"/>
    <w:rsid w:val="00D9032E"/>
    <w:rsid w:val="00D967BC"/>
    <w:rsid w:val="00DA000D"/>
    <w:rsid w:val="00DA47EE"/>
    <w:rsid w:val="00DC5A7B"/>
    <w:rsid w:val="00DE6729"/>
    <w:rsid w:val="00DF58D1"/>
    <w:rsid w:val="00E15E72"/>
    <w:rsid w:val="00E34929"/>
    <w:rsid w:val="00E50B5B"/>
    <w:rsid w:val="00E608C7"/>
    <w:rsid w:val="00E64499"/>
    <w:rsid w:val="00E65C50"/>
    <w:rsid w:val="00E93595"/>
    <w:rsid w:val="00EA188F"/>
    <w:rsid w:val="00EA4763"/>
    <w:rsid w:val="00EC4342"/>
    <w:rsid w:val="00EF0860"/>
    <w:rsid w:val="00F03116"/>
    <w:rsid w:val="00F0329D"/>
    <w:rsid w:val="00F348A3"/>
    <w:rsid w:val="00F36F61"/>
    <w:rsid w:val="00F37E35"/>
    <w:rsid w:val="00F42A70"/>
    <w:rsid w:val="00F44D73"/>
    <w:rsid w:val="00F463A9"/>
    <w:rsid w:val="00F464DF"/>
    <w:rsid w:val="00F470B3"/>
    <w:rsid w:val="00F476B3"/>
    <w:rsid w:val="00F767F1"/>
    <w:rsid w:val="00F779AA"/>
    <w:rsid w:val="00F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table" w:styleId="TableGrid">
    <w:name w:val="Table Grid"/>
    <w:basedOn w:val="TableNormal"/>
    <w:rsid w:val="00EA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3C50C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6465-DF30-48BE-915D-4F93ABAE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198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177</cp:revision>
  <cp:lastPrinted>1900-01-01T08:00:00Z</cp:lastPrinted>
  <dcterms:created xsi:type="dcterms:W3CDTF">2016-12-01T07:50:00Z</dcterms:created>
  <dcterms:modified xsi:type="dcterms:W3CDTF">2016-12-21T07:58:00Z</dcterms:modified>
</cp:coreProperties>
</file>