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0AF6" w14:textId="77777777" w:rsidR="00C526AE" w:rsidRDefault="00C526AE" w:rsidP="00C526A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26AE" w14:paraId="053C15EB" w14:textId="77777777" w:rsidTr="00655D9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816CE9" w14:textId="77777777" w:rsidR="00C526AE" w:rsidRDefault="00C526AE" w:rsidP="00655D9A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2.3.4 EDMG Extended Schedule element</w:t>
            </w:r>
          </w:p>
        </w:tc>
      </w:tr>
      <w:tr w:rsidR="00C526AE" w14:paraId="397AC6F7" w14:textId="77777777" w:rsidTr="00655D9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2181BB" w14:textId="77777777" w:rsidR="00C526AE" w:rsidRDefault="00C526AE" w:rsidP="00655D9A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2016-1</w:t>
            </w:r>
            <w:r>
              <w:rPr>
                <w:rFonts w:hint="eastAsia"/>
                <w:b w:val="0"/>
                <w:sz w:val="20"/>
                <w:lang w:eastAsia="ko-KR"/>
              </w:rPr>
              <w:t>2-09</w:t>
            </w:r>
          </w:p>
        </w:tc>
      </w:tr>
      <w:tr w:rsidR="00C526AE" w14:paraId="5FB61356" w14:textId="77777777" w:rsidTr="00655D9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2FB817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6AE" w14:paraId="7AC24E5F" w14:textId="77777777" w:rsidTr="00655D9A">
        <w:trPr>
          <w:jc w:val="center"/>
        </w:trPr>
        <w:tc>
          <w:tcPr>
            <w:tcW w:w="2178" w:type="dxa"/>
            <w:vAlign w:val="center"/>
          </w:tcPr>
          <w:p w14:paraId="6710A0EF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3FAD0BD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82682F4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87AAF7F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5AB6158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6AE" w14:paraId="53CF599A" w14:textId="77777777" w:rsidTr="00655D9A">
        <w:trPr>
          <w:jc w:val="center"/>
        </w:trPr>
        <w:tc>
          <w:tcPr>
            <w:tcW w:w="2178" w:type="dxa"/>
            <w:vAlign w:val="center"/>
          </w:tcPr>
          <w:p w14:paraId="0B4597D0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07DDBF70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105D9FE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11gil,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Seocho-gu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Suoul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</w:p>
          <w:p w14:paraId="3888C8DB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137-893, Korea</w:t>
            </w:r>
          </w:p>
        </w:tc>
        <w:tc>
          <w:tcPr>
            <w:tcW w:w="1710" w:type="dxa"/>
            <w:vAlign w:val="center"/>
          </w:tcPr>
          <w:p w14:paraId="728E3C64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+</w:t>
            </w:r>
            <w:r>
              <w:rPr>
                <w:rFonts w:hint="eastAsia"/>
                <w:b w:val="0"/>
                <w:sz w:val="20"/>
                <w:lang w:eastAsia="ko-KR"/>
              </w:rPr>
              <w:t>1040081025</w:t>
            </w:r>
          </w:p>
        </w:tc>
        <w:tc>
          <w:tcPr>
            <w:tcW w:w="2201" w:type="dxa"/>
            <w:vAlign w:val="center"/>
          </w:tcPr>
          <w:p w14:paraId="55AFC96E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A</w:t>
            </w:r>
            <w:r>
              <w:rPr>
                <w:rFonts w:hint="eastAsia"/>
                <w:b w:val="0"/>
                <w:sz w:val="16"/>
                <w:lang w:eastAsia="ko-KR"/>
              </w:rPr>
              <w:t>llean.park@lge.com</w:t>
            </w:r>
          </w:p>
        </w:tc>
      </w:tr>
      <w:tr w:rsidR="00C526AE" w14:paraId="2C0E73CC" w14:textId="77777777" w:rsidTr="00655D9A">
        <w:trPr>
          <w:jc w:val="center"/>
        </w:trPr>
        <w:tc>
          <w:tcPr>
            <w:tcW w:w="2178" w:type="dxa"/>
            <w:vAlign w:val="center"/>
          </w:tcPr>
          <w:p w14:paraId="54AD3E36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Lei Huang</w:t>
            </w:r>
          </w:p>
        </w:tc>
        <w:tc>
          <w:tcPr>
            <w:tcW w:w="1147" w:type="dxa"/>
            <w:vAlign w:val="center"/>
          </w:tcPr>
          <w:p w14:paraId="15389295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Pannasonic</w:t>
            </w:r>
            <w:proofErr w:type="spellEnd"/>
          </w:p>
        </w:tc>
        <w:tc>
          <w:tcPr>
            <w:tcW w:w="2340" w:type="dxa"/>
            <w:vAlign w:val="center"/>
          </w:tcPr>
          <w:p w14:paraId="365C265C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387529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8F36249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84194">
              <w:rPr>
                <w:b w:val="0"/>
                <w:sz w:val="16"/>
                <w:lang w:eastAsia="ko-KR"/>
              </w:rPr>
              <w:t>lei.huang@sg.panasonic.com</w:t>
            </w:r>
          </w:p>
        </w:tc>
      </w:tr>
      <w:tr w:rsidR="00C526AE" w14:paraId="5FF0E1D8" w14:textId="77777777" w:rsidTr="00655D9A">
        <w:trPr>
          <w:jc w:val="center"/>
        </w:trPr>
        <w:tc>
          <w:tcPr>
            <w:tcW w:w="2178" w:type="dxa"/>
            <w:vAlign w:val="center"/>
          </w:tcPr>
          <w:p w14:paraId="417D1487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Lei Huang</w:t>
            </w:r>
          </w:p>
        </w:tc>
        <w:tc>
          <w:tcPr>
            <w:tcW w:w="1147" w:type="dxa"/>
            <w:vAlign w:val="center"/>
          </w:tcPr>
          <w:p w14:paraId="76895A74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Huawi</w:t>
            </w:r>
            <w:proofErr w:type="spellEnd"/>
          </w:p>
        </w:tc>
        <w:tc>
          <w:tcPr>
            <w:tcW w:w="2340" w:type="dxa"/>
            <w:vAlign w:val="center"/>
          </w:tcPr>
          <w:p w14:paraId="0E600510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4AEE01A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3D7FC25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684194">
              <w:rPr>
                <w:b w:val="0"/>
                <w:sz w:val="16"/>
                <w:lang w:eastAsia="ko-KR"/>
              </w:rPr>
              <w:t>lei.huang@huawei.com</w:t>
            </w:r>
          </w:p>
        </w:tc>
      </w:tr>
    </w:tbl>
    <w:p w14:paraId="37150378" w14:textId="77777777" w:rsidR="00C526AE" w:rsidRDefault="00C526AE" w:rsidP="00C526AE">
      <w:pPr>
        <w:pStyle w:val="T1"/>
        <w:spacing w:after="120"/>
        <w:rPr>
          <w:sz w:val="22"/>
        </w:rPr>
      </w:pPr>
      <w:bookmarkStart w:id="0" w:name="_GoBack"/>
      <w:bookmarkEnd w:id="0"/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5CDF4" wp14:editId="63BAFC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DB74" w14:textId="77777777" w:rsidR="00C526AE" w:rsidRDefault="00C526AE" w:rsidP="00C526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0EF" w14:textId="77777777" w:rsidR="00C526AE" w:rsidRDefault="00C526AE" w:rsidP="00C526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subcaluse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2.3.4</w:t>
                            </w:r>
                            <w:r>
                              <w:t xml:space="preserve"> of the SFD describing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EDMG Extended Schedule element.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423DB74" w14:textId="77777777" w:rsidR="00C526AE" w:rsidRDefault="00C526AE" w:rsidP="00C526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0EF" w14:textId="77777777" w:rsidR="00C526AE" w:rsidRDefault="00C526AE" w:rsidP="00C526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subcaluse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2.3.4</w:t>
                      </w:r>
                      <w:r>
                        <w:t xml:space="preserve"> of the SFD describing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EDMG Extended Schedule element.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3C32F0EE" w14:textId="77777777" w:rsidR="00C526AE" w:rsidRDefault="00C526AE" w:rsidP="00C526AE"/>
    <w:p w14:paraId="0951A83D" w14:textId="77777777" w:rsidR="00C526AE" w:rsidRPr="00C07B4E" w:rsidRDefault="00C526AE" w:rsidP="00C526AE"/>
    <w:p w14:paraId="1CAFF478" w14:textId="77777777" w:rsidR="00C526AE" w:rsidRPr="00C07B4E" w:rsidRDefault="00C526AE" w:rsidP="00C526AE"/>
    <w:p w14:paraId="25425DF0" w14:textId="77777777" w:rsidR="00C526AE" w:rsidRPr="00C07B4E" w:rsidRDefault="00C526AE" w:rsidP="00C526AE"/>
    <w:p w14:paraId="7E1A7875" w14:textId="77777777" w:rsidR="00C526AE" w:rsidRPr="00C07B4E" w:rsidRDefault="00C526AE" w:rsidP="00C526AE"/>
    <w:p w14:paraId="588C0A27" w14:textId="77777777" w:rsidR="00C526AE" w:rsidRPr="00C07B4E" w:rsidRDefault="00C526AE" w:rsidP="00C526AE"/>
    <w:p w14:paraId="0F6E585B" w14:textId="77777777" w:rsidR="00C526AE" w:rsidRPr="00C07B4E" w:rsidRDefault="00C526AE" w:rsidP="00C526AE"/>
    <w:p w14:paraId="17405AE6" w14:textId="77777777" w:rsidR="00C526AE" w:rsidRPr="00C07B4E" w:rsidRDefault="00C526AE" w:rsidP="00C526AE"/>
    <w:p w14:paraId="1AEBFA1B" w14:textId="77777777" w:rsidR="00C526AE" w:rsidRPr="00C07B4E" w:rsidRDefault="00C526AE" w:rsidP="00C526AE"/>
    <w:p w14:paraId="69E69B66" w14:textId="77777777" w:rsidR="00C526AE" w:rsidRPr="00C07B4E" w:rsidRDefault="00C526AE" w:rsidP="00C526AE"/>
    <w:p w14:paraId="4EE47DBB" w14:textId="77777777" w:rsidR="00C526AE" w:rsidRDefault="00C526AE" w:rsidP="00C526AE">
      <w:pPr>
        <w:rPr>
          <w:lang w:eastAsia="ko-KR"/>
        </w:rPr>
      </w:pPr>
    </w:p>
    <w:p w14:paraId="2EB85B6E" w14:textId="77777777" w:rsidR="00C526AE" w:rsidRDefault="00C526AE" w:rsidP="00C526AE">
      <w:pPr>
        <w:rPr>
          <w:lang w:eastAsia="ko-KR"/>
        </w:rPr>
      </w:pPr>
    </w:p>
    <w:p w14:paraId="71986566" w14:textId="77777777" w:rsidR="00C526AE" w:rsidRDefault="00C526AE" w:rsidP="00C526AE">
      <w:pPr>
        <w:rPr>
          <w:lang w:eastAsia="ko-KR"/>
        </w:rPr>
      </w:pPr>
    </w:p>
    <w:p w14:paraId="7E76DD1B" w14:textId="77777777" w:rsidR="00C526AE" w:rsidRDefault="00C526AE" w:rsidP="00C526AE">
      <w:pPr>
        <w:rPr>
          <w:lang w:eastAsia="ko-KR"/>
        </w:rPr>
      </w:pPr>
    </w:p>
    <w:p w14:paraId="310D59F5" w14:textId="77777777" w:rsidR="00C526AE" w:rsidRDefault="00C526AE" w:rsidP="00C526AE">
      <w:pPr>
        <w:rPr>
          <w:lang w:eastAsia="ko-KR"/>
        </w:rPr>
      </w:pPr>
    </w:p>
    <w:p w14:paraId="6840DD4D" w14:textId="77777777" w:rsidR="00C526AE" w:rsidRDefault="00C526AE" w:rsidP="00C526AE">
      <w:pPr>
        <w:rPr>
          <w:lang w:eastAsia="ko-KR"/>
        </w:rPr>
      </w:pPr>
    </w:p>
    <w:p w14:paraId="1B76AFE3" w14:textId="77777777" w:rsidR="00C526AE" w:rsidRDefault="00C526AE" w:rsidP="00C526AE">
      <w:pPr>
        <w:pStyle w:val="IEEEStdsParagraph"/>
        <w:rPr>
          <w:lang w:eastAsia="ko-KR"/>
        </w:rPr>
      </w:pPr>
    </w:p>
    <w:p w14:paraId="334653EF" w14:textId="77777777" w:rsidR="00C526AE" w:rsidRDefault="00C526AE" w:rsidP="00C526AE">
      <w:pPr>
        <w:pStyle w:val="IEEEStdsParagraph"/>
        <w:rPr>
          <w:lang w:eastAsia="ko-KR"/>
        </w:rPr>
      </w:pPr>
    </w:p>
    <w:p w14:paraId="2C0EC1B4" w14:textId="77777777" w:rsidR="00C526AE" w:rsidRDefault="00C526AE" w:rsidP="00C526AE">
      <w:pPr>
        <w:pStyle w:val="IEEEStdsParagraph"/>
        <w:rPr>
          <w:lang w:eastAsia="ko-KR"/>
        </w:rPr>
      </w:pPr>
    </w:p>
    <w:p w14:paraId="4D29F3FA" w14:textId="77777777" w:rsidR="00C526AE" w:rsidRDefault="00C526AE" w:rsidP="00C526AE">
      <w:pPr>
        <w:pStyle w:val="IEEEStdsParagraph"/>
        <w:rPr>
          <w:lang w:eastAsia="ko-KR"/>
        </w:rPr>
      </w:pPr>
    </w:p>
    <w:p w14:paraId="5D8192A3" w14:textId="77777777" w:rsidR="00C526AE" w:rsidRDefault="00C526AE" w:rsidP="00C526AE">
      <w:pPr>
        <w:pStyle w:val="IEEEStdsParagraph"/>
        <w:rPr>
          <w:lang w:eastAsia="ko-KR"/>
        </w:rPr>
      </w:pPr>
    </w:p>
    <w:p w14:paraId="4EE368BB" w14:textId="77777777" w:rsidR="00C526AE" w:rsidRDefault="00C526AE" w:rsidP="00C526AE">
      <w:pPr>
        <w:pStyle w:val="IEEEStdsParagraph"/>
        <w:rPr>
          <w:lang w:eastAsia="ko-KR"/>
        </w:rPr>
      </w:pPr>
    </w:p>
    <w:p w14:paraId="0535AEE5" w14:textId="77777777" w:rsidR="00C526AE" w:rsidRDefault="00C526AE" w:rsidP="00C526AE">
      <w:pPr>
        <w:pStyle w:val="IEEEStdsParagraph"/>
        <w:rPr>
          <w:lang w:eastAsia="ko-KR"/>
        </w:rPr>
      </w:pPr>
    </w:p>
    <w:p w14:paraId="77833C50" w14:textId="77777777" w:rsidR="00C526AE" w:rsidRDefault="00C526AE" w:rsidP="00C526AE">
      <w:pPr>
        <w:pStyle w:val="IEEEStdsParagraph"/>
        <w:rPr>
          <w:lang w:eastAsia="ko-KR"/>
        </w:rPr>
      </w:pPr>
    </w:p>
    <w:p w14:paraId="00ADC0F4" w14:textId="77777777" w:rsidR="00C526AE" w:rsidRDefault="00C526AE" w:rsidP="00C526AE">
      <w:pPr>
        <w:pStyle w:val="IEEEStdsParagraph"/>
        <w:rPr>
          <w:lang w:eastAsia="ko-KR"/>
        </w:rPr>
      </w:pPr>
    </w:p>
    <w:p w14:paraId="24CFF5BB" w14:textId="77777777" w:rsidR="00C526AE" w:rsidRDefault="00C526AE" w:rsidP="00C526AE">
      <w:pPr>
        <w:pStyle w:val="IEEEStdsParagraph"/>
        <w:rPr>
          <w:lang w:eastAsia="ko-KR"/>
        </w:rPr>
      </w:pPr>
    </w:p>
    <w:p w14:paraId="5912DD67" w14:textId="77777777" w:rsidR="00C526AE" w:rsidRPr="00EC65A6" w:rsidRDefault="00C526AE" w:rsidP="00C526AE">
      <w:pPr>
        <w:pStyle w:val="IEEEStdsParagraph"/>
        <w:rPr>
          <w:lang w:eastAsia="ko-KR"/>
        </w:rPr>
      </w:pPr>
    </w:p>
    <w:p w14:paraId="43C48EEC" w14:textId="77777777" w:rsidR="00C526AE" w:rsidRDefault="00C526AE" w:rsidP="00C526AE">
      <w:pPr>
        <w:pStyle w:val="IEEEStdsLevel3Header"/>
        <w:numPr>
          <w:ilvl w:val="2"/>
          <w:numId w:val="3"/>
        </w:numPr>
      </w:pPr>
      <w:r>
        <w:lastRenderedPageBreak/>
        <w:t>EDMG Extended Schedule element</w:t>
      </w:r>
    </w:p>
    <w:p w14:paraId="66ABD570" w14:textId="5541E72C" w:rsidR="00C526AE" w:rsidRDefault="00C526AE" w:rsidP="00C526AE">
      <w:pPr>
        <w:pStyle w:val="IEEEStdsParagraph"/>
      </w:pPr>
      <w:r>
        <w:t>The</w:t>
      </w:r>
      <w:r w:rsidRPr="00580722">
        <w:t xml:space="preserve"> EDMG Extended Schedule element </w:t>
      </w:r>
      <w:r>
        <w:t>defines</w:t>
      </w:r>
      <w:r w:rsidRPr="00580722">
        <w:t xml:space="preserve"> </w:t>
      </w:r>
      <w:r>
        <w:t>the channel scheduling for an EDMG BSS</w:t>
      </w:r>
      <w:r w:rsidRPr="00580722">
        <w:t xml:space="preserve">, including channel allocation indications </w:t>
      </w:r>
      <w:r w:rsidRPr="00F16F16">
        <w:t>if allocations are scheduled over</w:t>
      </w:r>
      <w:r>
        <w:rPr>
          <w:rFonts w:hint="eastAsia"/>
          <w:lang w:eastAsia="ko-KR"/>
        </w:rPr>
        <w:t xml:space="preserve"> only one secondary 2.16GHz channel or over</w:t>
      </w:r>
      <w:r w:rsidRPr="00F16F16">
        <w:t xml:space="preserve"> more than one </w:t>
      </w:r>
      <w:r>
        <w:rPr>
          <w:rFonts w:hint="eastAsia"/>
          <w:lang w:eastAsia="ko-KR"/>
        </w:rPr>
        <w:t xml:space="preserve">2.16GHz </w:t>
      </w:r>
      <w:r w:rsidRPr="00F16F16">
        <w:t>channel</w:t>
      </w:r>
      <w:r>
        <w:rPr>
          <w:rFonts w:hint="eastAsia"/>
          <w:lang w:eastAsia="ko-KR"/>
        </w:rPr>
        <w:t xml:space="preserve"> regardless of whether the primary channel is included or not</w:t>
      </w:r>
      <w:r w:rsidRPr="00F16F16">
        <w:t xml:space="preserve">. </w:t>
      </w:r>
    </w:p>
    <w:p w14:paraId="6928247E" w14:textId="5C4E5BEC" w:rsidR="00C526AE" w:rsidRDefault="00C526AE" w:rsidP="00C526AE">
      <w:pPr>
        <w:pStyle w:val="IEEEStdsParagraph"/>
      </w:pPr>
      <w:r>
        <w:t xml:space="preserve">The format of the EDMG Extended Schedule element is shown in </w:t>
      </w:r>
      <w:r>
        <w:fldChar w:fldCharType="begin"/>
      </w:r>
      <w:r w:rsidRPr="00E26BCC">
        <w:instrText xml:space="preserve"> REF _Ref461740759 \r \h </w:instrText>
      </w:r>
      <w:r>
        <w:fldChar w:fldCharType="separate"/>
      </w:r>
      <w:r w:rsidRPr="00E26BCC">
        <w:t>Figure</w:t>
      </w:r>
      <w:r>
        <w:t xml:space="preserve"> 1</w:t>
      </w:r>
      <w:r>
        <w:rPr>
          <w:rFonts w:hint="eastAsia"/>
          <w:lang w:eastAsia="ko-KR"/>
        </w:rPr>
        <w:t>3</w:t>
      </w:r>
      <w:r>
        <w:fldChar w:fldCharType="end"/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991"/>
        <w:gridCol w:w="726"/>
        <w:gridCol w:w="1592"/>
        <w:gridCol w:w="1665"/>
        <w:gridCol w:w="1558"/>
        <w:gridCol w:w="396"/>
        <w:gridCol w:w="1588"/>
      </w:tblGrid>
      <w:tr w:rsidR="00C526AE" w14:paraId="4594A6C6" w14:textId="77777777" w:rsidTr="00655D9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40CEAD0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FCC3" w14:textId="77777777" w:rsidR="00C526AE" w:rsidRDefault="00C526AE" w:rsidP="00655D9A">
            <w:pPr>
              <w:pStyle w:val="IEEEStdsTableData-Center"/>
            </w:pPr>
            <w:r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E75" w14:textId="77777777" w:rsidR="00C526AE" w:rsidRDefault="00C526AE" w:rsidP="00655D9A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AB45" w14:textId="77777777" w:rsidR="00C526AE" w:rsidRDefault="00C526AE" w:rsidP="00655D9A">
            <w:pPr>
              <w:pStyle w:val="IEEEStdsTableData-Center"/>
            </w:pPr>
            <w:r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5BD2" w14:textId="77777777" w:rsidR="00C526AE" w:rsidRDefault="00C526AE" w:rsidP="00655D9A">
            <w:pPr>
              <w:pStyle w:val="IEEEStdsTableData-Center"/>
            </w:pPr>
            <w:r>
              <w:t>Number of Allocations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463" w14:textId="77777777" w:rsidR="00C526AE" w:rsidRDefault="00C526AE" w:rsidP="00655D9A">
            <w:pPr>
              <w:pStyle w:val="IEEEStdsTableData-Center"/>
            </w:pPr>
            <w:r>
              <w:t>Channel Allocation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56A5" w14:textId="77777777" w:rsidR="00C526AE" w:rsidRDefault="00C526AE" w:rsidP="00655D9A">
            <w:pPr>
              <w:pStyle w:val="IEEEStdsTableData-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B5F" w14:textId="77777777" w:rsidR="00C526AE" w:rsidRDefault="00C526AE" w:rsidP="00655D9A">
            <w:pPr>
              <w:pStyle w:val="IEEEStdsTableData-Center"/>
            </w:pPr>
            <w:r>
              <w:t>Channel Allocation N</w:t>
            </w:r>
          </w:p>
        </w:tc>
      </w:tr>
      <w:tr w:rsidR="00C526AE" w14:paraId="3B918E86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72CEDCE8" w14:textId="77777777" w:rsidR="00C526AE" w:rsidRDefault="00C526AE" w:rsidP="00655D9A">
            <w:pPr>
              <w:pStyle w:val="IEEEStdsTableData-Center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4FDAE77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31ABA37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3667F30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2A188D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FC90F7" w14:textId="5F033EDA" w:rsidR="00C526AE" w:rsidRDefault="00C526AE" w:rsidP="00655D9A">
            <w:pPr>
              <w:pStyle w:val="IEEEStdsTableData-Center"/>
            </w:pPr>
            <w:r>
              <w:t>6 or 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525955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39C042" w14:textId="7FFCE387" w:rsidR="00C526AE" w:rsidRDefault="00C526AE" w:rsidP="00655D9A">
            <w:pPr>
              <w:pStyle w:val="IEEEStdsTableData-Center"/>
            </w:pPr>
            <w:r>
              <w:t>6 or 18</w:t>
            </w:r>
          </w:p>
        </w:tc>
      </w:tr>
    </w:tbl>
    <w:p w14:paraId="5A158FC2" w14:textId="77777777" w:rsidR="00C526AE" w:rsidRDefault="00C526AE" w:rsidP="00C526AE">
      <w:pPr>
        <w:pStyle w:val="IEEEStdsRegularFigureCaption"/>
      </w:pPr>
      <w:bookmarkStart w:id="1" w:name="_Ref461740759"/>
      <w:r>
        <w:t>—EDMG Extended Schedule element format</w:t>
      </w:r>
      <w:bookmarkEnd w:id="1"/>
    </w:p>
    <w:p w14:paraId="0838E098" w14:textId="77777777" w:rsidR="00C526AE" w:rsidRDefault="00C526AE" w:rsidP="00C526AE">
      <w:pPr>
        <w:pStyle w:val="IEEEStdsParagraph"/>
        <w:rPr>
          <w:lang w:eastAsia="ko-KR"/>
        </w:rPr>
      </w:pPr>
    </w:p>
    <w:p w14:paraId="090CD5E7" w14:textId="77777777" w:rsidR="00C526AE" w:rsidRPr="00F16F16" w:rsidRDefault="00C526AE" w:rsidP="00C526AE">
      <w:pPr>
        <w:pStyle w:val="IEEEStdsParagraph"/>
        <w:rPr>
          <w:lang w:eastAsia="ko-KR"/>
        </w:rPr>
      </w:pPr>
      <w:r w:rsidRPr="00F16F16">
        <w:rPr>
          <w:rFonts w:hint="eastAsia"/>
          <w:lang w:eastAsia="ko-KR"/>
        </w:rPr>
        <w:t>The Element ID field is equal to the value for the Element ID Ext</w:t>
      </w:r>
      <w:r>
        <w:rPr>
          <w:rFonts w:hint="eastAsia"/>
          <w:lang w:eastAsia="ko-KR"/>
        </w:rPr>
        <w:t>ension, specified in Table 9-77</w:t>
      </w:r>
      <w:r w:rsidRPr="00F16F16">
        <w:rPr>
          <w:rFonts w:hint="eastAsia"/>
          <w:lang w:eastAsia="ko-KR"/>
        </w:rPr>
        <w:t>.</w:t>
      </w:r>
    </w:p>
    <w:p w14:paraId="4C76B89D" w14:textId="77777777" w:rsidR="00C526AE" w:rsidRPr="00F16F16" w:rsidRDefault="00C526AE" w:rsidP="00C526AE">
      <w:pPr>
        <w:pStyle w:val="IEEEStdsParagraph"/>
        <w:rPr>
          <w:lang w:eastAsia="ko-KR"/>
        </w:rPr>
      </w:pPr>
      <w:r w:rsidRPr="00F16F16">
        <w:rPr>
          <w:rFonts w:hint="eastAsia"/>
          <w:lang w:eastAsia="ko-KR"/>
        </w:rPr>
        <w:t>The Length field for this element indicates the length of the Information field.</w:t>
      </w:r>
    </w:p>
    <w:p w14:paraId="019533A2" w14:textId="77777777" w:rsidR="00C526AE" w:rsidRPr="00F16F16" w:rsidRDefault="00C526AE" w:rsidP="00C526AE">
      <w:pPr>
        <w:pStyle w:val="IEEEStdsParagraph"/>
        <w:rPr>
          <w:lang w:eastAsia="ko-KR"/>
        </w:rPr>
      </w:pPr>
      <w:r w:rsidRPr="00F16F16">
        <w:rPr>
          <w:rFonts w:hint="eastAsia"/>
          <w:lang w:eastAsia="ko-KR"/>
        </w:rPr>
        <w:t>The Element ID Extension field is equal to the value for the EDMG Extended Schedule, specified in Table T.B.D.</w:t>
      </w:r>
    </w:p>
    <w:p w14:paraId="53EA8419" w14:textId="77777777" w:rsidR="00C526AE" w:rsidRDefault="00C526AE" w:rsidP="00C526AE">
      <w:pPr>
        <w:pStyle w:val="IEEEStdsParagraph"/>
      </w:pPr>
      <w:r>
        <w:t xml:space="preserve">The Number of Allocations field indicates the number, </w:t>
      </w:r>
      <w:r w:rsidRPr="007B3BE0">
        <w:rPr>
          <w:i/>
        </w:rPr>
        <w:t>N</w:t>
      </w:r>
      <w:r>
        <w:t xml:space="preserve">, of Channel Allocation fields following it. </w:t>
      </w:r>
    </w:p>
    <w:p w14:paraId="66DAA067" w14:textId="77777777" w:rsidR="00C526AE" w:rsidRDefault="00C526AE" w:rsidP="00C526AE">
      <w:pPr>
        <w:pStyle w:val="IEEEStdsParagraph"/>
      </w:pPr>
      <w:r>
        <w:t xml:space="preserve">Each Channel Allocation field starts with a Scheduling Type subfield, which defines the format of the remaining of the Channel Allocation field. </w:t>
      </w:r>
    </w:p>
    <w:p w14:paraId="6C48753E" w14:textId="738B86FF" w:rsidR="00C526AE" w:rsidRDefault="00C526AE" w:rsidP="00C526AE">
      <w:pPr>
        <w:pStyle w:val="IEEEStdsParagraph"/>
      </w:pPr>
      <w:r>
        <w:t xml:space="preserve">If the Scheduling Type subfield is 0, the Channel Allocation field contains </w:t>
      </w:r>
      <w:r w:rsidRPr="00580722">
        <w:t>incremental signaling to the Extended Schedule element</w:t>
      </w:r>
      <w:r>
        <w:t xml:space="preserve">. In this case, the Channel Allocation field is defined in </w:t>
      </w:r>
      <w:r w:rsidRPr="00F16F16">
        <w:fldChar w:fldCharType="begin"/>
      </w:r>
      <w:r>
        <w:instrText xml:space="preserve"> REF _Ref461740763 \r \h </w:instrText>
      </w:r>
      <w:r w:rsidRPr="00F16F16">
        <w:fldChar w:fldCharType="separate"/>
      </w:r>
      <w:r>
        <w:t xml:space="preserve">Figure </w:t>
      </w:r>
      <w:r w:rsidRPr="00F16F16">
        <w:t>1</w:t>
      </w:r>
      <w:r>
        <w:rPr>
          <w:rFonts w:hint="eastAsia"/>
          <w:lang w:eastAsia="ko-KR"/>
        </w:rPr>
        <w:t>4</w:t>
      </w:r>
      <w:r w:rsidRPr="00F16F16">
        <w:fldChar w:fldCharType="end"/>
      </w:r>
      <w:r>
        <w:t xml:space="preserve"> and specifies the allocation and the bandwidth that the allocation occupies.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236"/>
        <w:gridCol w:w="1151"/>
        <w:gridCol w:w="1443"/>
        <w:gridCol w:w="729"/>
        <w:gridCol w:w="2027"/>
        <w:gridCol w:w="1213"/>
        <w:gridCol w:w="886"/>
      </w:tblGrid>
      <w:tr w:rsidR="00C526AE" w:rsidRPr="000D69D7" w14:paraId="254F8D57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32C6C5F5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A51A34" w14:textId="77777777" w:rsidR="00C526AE" w:rsidRDefault="00C526AE" w:rsidP="00655D9A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EAFA54" w14:textId="77777777" w:rsidR="00C526AE" w:rsidRDefault="00C526AE" w:rsidP="00655D9A">
            <w:pPr>
              <w:pStyle w:val="IEEEStdsTableData-Center"/>
            </w:pPr>
            <w:r>
              <w:t>B1-B24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92669F" w14:textId="77777777" w:rsidR="00C526AE" w:rsidRDefault="00C526AE" w:rsidP="00655D9A">
            <w:pPr>
              <w:pStyle w:val="IEEEStdsTableData-Center"/>
            </w:pPr>
            <w:r>
              <w:t>B25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77B036" w14:textId="77777777" w:rsidR="00C526AE" w:rsidRDefault="00C526AE" w:rsidP="00655D9A">
            <w:pPr>
              <w:pStyle w:val="IEEEStdsTableData-Center"/>
            </w:pPr>
            <w:r>
              <w:t>B26-B33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AFE846" w14:textId="77777777" w:rsidR="00C526AE" w:rsidRDefault="00C526AE" w:rsidP="00655D9A">
            <w:pPr>
              <w:pStyle w:val="IEEEStdsTableData-Center"/>
            </w:pPr>
            <w:r>
              <w:t>B34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6EAB69" w14:textId="77777777" w:rsidR="00C526AE" w:rsidRDefault="00C526AE" w:rsidP="00655D9A">
            <w:pPr>
              <w:pStyle w:val="IEEEStdsTableData-Center"/>
            </w:pPr>
            <w:r>
              <w:t>B35-B43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B296C9" w14:textId="47A5678D" w:rsidR="00C526AE" w:rsidRDefault="00C526AE" w:rsidP="00655D9A">
            <w:pPr>
              <w:pStyle w:val="IEEEStdsTableData-Center"/>
            </w:pPr>
            <w:r>
              <w:t>B44-B47</w:t>
            </w:r>
          </w:p>
        </w:tc>
      </w:tr>
      <w:tr w:rsidR="00C526AE" w:rsidRPr="000D69D7" w14:paraId="65033A0C" w14:textId="77777777" w:rsidTr="00655D9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7EE00DE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2AF" w14:textId="77777777" w:rsidR="00C526AE" w:rsidRDefault="00C526AE" w:rsidP="00655D9A">
            <w:pPr>
              <w:pStyle w:val="IEEEStdsTableData-Center"/>
            </w:pPr>
            <w:r>
              <w:t>Scheduling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49E" w14:textId="77777777" w:rsidR="00C526AE" w:rsidRDefault="00C526AE" w:rsidP="00655D9A">
            <w:pPr>
              <w:pStyle w:val="IEEEStdsTableData-Center"/>
            </w:pPr>
            <w:r>
              <w:t>Allocation Key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8F36" w14:textId="77777777" w:rsidR="00C526AE" w:rsidRDefault="00C526AE" w:rsidP="00655D9A">
            <w:pPr>
              <w:pStyle w:val="IEEEStdsTableData-Center"/>
            </w:pPr>
            <w:r>
              <w:t>Channel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D971" w14:textId="77777777" w:rsidR="00C526AE" w:rsidRDefault="00C526AE" w:rsidP="00655D9A">
            <w:pPr>
              <w:pStyle w:val="IEEEStdsTableData-Center"/>
            </w:pPr>
            <w:r>
              <w:t>BW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12F" w14:textId="77777777" w:rsidR="00C526AE" w:rsidRDefault="00C526AE" w:rsidP="00655D9A">
            <w:pPr>
              <w:pStyle w:val="IEEEStdsTableData-Center"/>
            </w:pPr>
            <w:r>
              <w:t>Asymmetric Beamforming Training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FCF" w14:textId="77777777" w:rsidR="00C526AE" w:rsidRDefault="00C526AE" w:rsidP="00655D9A">
            <w:pPr>
              <w:pStyle w:val="IEEEStdsTableData-Center"/>
            </w:pPr>
            <w:r>
              <w:t>Receive Direction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0C14" w14:textId="77777777" w:rsidR="00C526AE" w:rsidRDefault="00C526AE" w:rsidP="00655D9A">
            <w:pPr>
              <w:pStyle w:val="IEEEStdsTableData-Center"/>
            </w:pPr>
            <w:r>
              <w:t>Reserved</w:t>
            </w:r>
          </w:p>
        </w:tc>
      </w:tr>
      <w:tr w:rsidR="00C526AE" w:rsidRPr="000D69D7" w14:paraId="464B023D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47D6D5F2" w14:textId="77777777" w:rsidR="00C526AE" w:rsidRDefault="00C526AE" w:rsidP="00655D9A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DA7ADC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A80A83" w14:textId="77777777" w:rsidR="00C526AE" w:rsidRDefault="00C526AE" w:rsidP="00655D9A">
            <w:pPr>
              <w:pStyle w:val="IEEEStdsTableData-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0A80D18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A0B32D3" w14:textId="77777777" w:rsidR="00C526AE" w:rsidRDefault="00C526AE" w:rsidP="00655D9A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A9B213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21728B" w14:textId="77777777" w:rsidR="00C526AE" w:rsidRDefault="00C526AE" w:rsidP="00655D9A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D343110" w14:textId="2F825A00" w:rsidR="00C526AE" w:rsidRDefault="00C526AE" w:rsidP="00655D9A">
            <w:pPr>
              <w:pStyle w:val="IEEEStdsTableData-Center"/>
            </w:pPr>
            <w:r>
              <w:t>4</w:t>
            </w:r>
          </w:p>
        </w:tc>
      </w:tr>
    </w:tbl>
    <w:p w14:paraId="46A1A651" w14:textId="77777777" w:rsidR="00C526AE" w:rsidRDefault="00C526AE" w:rsidP="00C526AE">
      <w:pPr>
        <w:pStyle w:val="IEEEStdsRegularFigureCaption"/>
      </w:pPr>
      <w:bookmarkStart w:id="2" w:name="_Ref461740763"/>
      <w:r>
        <w:t>—Channel Allocation field format</w:t>
      </w:r>
      <w:bookmarkEnd w:id="2"/>
    </w:p>
    <w:p w14:paraId="42764831" w14:textId="0437E70B" w:rsidR="00C526AE" w:rsidRDefault="00C526AE" w:rsidP="00C526AE">
      <w:pPr>
        <w:pStyle w:val="IEEEStdsParagraph"/>
      </w:pPr>
      <w:r w:rsidRPr="00580722">
        <w:t xml:space="preserve">The </w:t>
      </w:r>
      <w:r>
        <w:t xml:space="preserve">contents of the </w:t>
      </w:r>
      <w:r w:rsidRPr="00580722">
        <w:t xml:space="preserve">Allocation </w:t>
      </w:r>
      <w:r>
        <w:t>Key</w:t>
      </w:r>
      <w:r w:rsidRPr="00580722">
        <w:t xml:space="preserve"> </w:t>
      </w:r>
      <w:r>
        <w:t>sub</w:t>
      </w:r>
      <w:r w:rsidRPr="00580722">
        <w:t xml:space="preserve">field </w:t>
      </w:r>
      <w:r>
        <w:t>are used to identify the allocation. This is done by matching the contents of this subfield with</w:t>
      </w:r>
      <w:r w:rsidRPr="00580722">
        <w:t xml:space="preserve"> the information </w:t>
      </w:r>
      <w:r>
        <w:t>obtained from</w:t>
      </w:r>
      <w:r w:rsidRPr="00580722">
        <w:t xml:space="preserve"> the Extended Schedule element</w:t>
      </w:r>
      <w:r>
        <w:t xml:space="preserve"> transmitted in the same </w:t>
      </w:r>
      <w:r>
        <w:rPr>
          <w:rFonts w:hint="eastAsia"/>
          <w:lang w:eastAsia="ko-KR"/>
        </w:rPr>
        <w:t xml:space="preserve">DMG Beacon </w:t>
      </w:r>
      <w:r>
        <w:rPr>
          <w:lang w:eastAsia="ko-KR"/>
        </w:rPr>
        <w:t>or</w:t>
      </w:r>
      <w:r>
        <w:rPr>
          <w:rFonts w:hint="eastAsia"/>
          <w:lang w:eastAsia="ko-KR"/>
        </w:rPr>
        <w:t xml:space="preserve"> Announce </w:t>
      </w:r>
      <w:r>
        <w:t>frame</w:t>
      </w:r>
      <w:r w:rsidRPr="00580722">
        <w:t>.</w:t>
      </w:r>
      <w:r>
        <w:t xml:space="preserve"> The Allocation Key subfield is formatted as shown in </w:t>
      </w:r>
      <w:r>
        <w:fldChar w:fldCharType="begin"/>
      </w:r>
      <w:r>
        <w:instrText xml:space="preserve"> REF _Ref461740761 \r \h </w:instrText>
      </w:r>
      <w:r>
        <w:fldChar w:fldCharType="separate"/>
      </w:r>
      <w:r>
        <w:t>Figure 1</w:t>
      </w:r>
      <w:r>
        <w:rPr>
          <w:rFonts w:hint="eastAsia"/>
          <w:lang w:eastAsia="ko-KR"/>
        </w:rPr>
        <w:t>5</w:t>
      </w:r>
      <w:r>
        <w:fldChar w:fldCharType="end"/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211"/>
        <w:gridCol w:w="1081"/>
        <w:gridCol w:w="1411"/>
        <w:gridCol w:w="886"/>
      </w:tblGrid>
      <w:tr w:rsidR="00C526AE" w:rsidRPr="000D69D7" w14:paraId="5A88DB8D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4EBC66AD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BBE3C0" w14:textId="77777777" w:rsidR="00C526AE" w:rsidRDefault="00C526AE" w:rsidP="00655D9A">
            <w:pPr>
              <w:pStyle w:val="IEEEStdsTableData-Center"/>
            </w:pPr>
            <w:r>
              <w:t>B0-B3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1CFB9D" w14:textId="77777777" w:rsidR="00C526AE" w:rsidRDefault="00C526AE" w:rsidP="00655D9A">
            <w:pPr>
              <w:pStyle w:val="IEEEStdsTableData-Center"/>
            </w:pPr>
            <w:r>
              <w:t>B4-B11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ED9F15" w14:textId="77777777" w:rsidR="00C526AE" w:rsidRDefault="00C526AE" w:rsidP="00655D9A">
            <w:pPr>
              <w:pStyle w:val="IEEEStdsTableData-Center"/>
            </w:pPr>
            <w:r>
              <w:t>B12-19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FCDBCC" w14:textId="77777777" w:rsidR="00C526AE" w:rsidRDefault="00C526AE" w:rsidP="00655D9A">
            <w:pPr>
              <w:pStyle w:val="IEEEStdsTableData-Center"/>
            </w:pPr>
            <w:r>
              <w:t>B20-23</w:t>
            </w:r>
          </w:p>
        </w:tc>
      </w:tr>
      <w:tr w:rsidR="00C526AE" w:rsidRPr="000D69D7" w14:paraId="60617955" w14:textId="77777777" w:rsidTr="00655D9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F5BA423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AC7C" w14:textId="77777777" w:rsidR="00C526AE" w:rsidRDefault="00C526AE" w:rsidP="00655D9A">
            <w:pPr>
              <w:pStyle w:val="IEEEStdsTableData-Center"/>
            </w:pPr>
            <w:r>
              <w:t>Allocation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B562" w14:textId="77777777" w:rsidR="00C526AE" w:rsidRDefault="00C526AE" w:rsidP="00655D9A">
            <w:pPr>
              <w:pStyle w:val="IEEEStdsTableData-Center"/>
            </w:pPr>
            <w:r>
              <w:t>Source 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7479" w14:textId="77777777" w:rsidR="00C526AE" w:rsidRDefault="00C526AE" w:rsidP="00655D9A">
            <w:pPr>
              <w:pStyle w:val="IEEEStdsTableData-Center"/>
            </w:pPr>
            <w:r>
              <w:t>Destination 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A2D" w14:textId="77777777" w:rsidR="00C526AE" w:rsidRDefault="00C526AE" w:rsidP="00655D9A">
            <w:pPr>
              <w:pStyle w:val="IEEEStdsTableData-Center"/>
            </w:pPr>
            <w:r>
              <w:t>Reserved</w:t>
            </w:r>
          </w:p>
        </w:tc>
      </w:tr>
      <w:tr w:rsidR="00C526AE" w:rsidRPr="000D69D7" w14:paraId="21BA423B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1678996F" w14:textId="77777777" w:rsidR="00C526AE" w:rsidRDefault="00C526AE" w:rsidP="00655D9A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A2EBDA" w14:textId="77777777" w:rsidR="00C526AE" w:rsidRDefault="00C526AE" w:rsidP="00655D9A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43ECA56" w14:textId="77777777" w:rsidR="00C526AE" w:rsidRDefault="00C526AE" w:rsidP="00655D9A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7E50B4E" w14:textId="77777777" w:rsidR="00C526AE" w:rsidRDefault="00C526AE" w:rsidP="00655D9A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EF5C71" w14:textId="77777777" w:rsidR="00C526AE" w:rsidRDefault="00C526AE" w:rsidP="00655D9A">
            <w:pPr>
              <w:pStyle w:val="IEEEStdsTableData-Center"/>
            </w:pPr>
            <w:r>
              <w:t>4</w:t>
            </w:r>
          </w:p>
        </w:tc>
      </w:tr>
    </w:tbl>
    <w:p w14:paraId="018B897C" w14:textId="77777777" w:rsidR="00C526AE" w:rsidRDefault="00C526AE" w:rsidP="00C526AE">
      <w:pPr>
        <w:pStyle w:val="IEEEStdsRegularFigureCaption"/>
      </w:pPr>
      <w:bookmarkStart w:id="3" w:name="_Ref461740761"/>
      <w:r>
        <w:t>—Allocation Key field format</w:t>
      </w:r>
      <w:bookmarkEnd w:id="3"/>
    </w:p>
    <w:p w14:paraId="6126086D" w14:textId="77777777" w:rsidR="00C526AE" w:rsidRDefault="00C526AE" w:rsidP="00C526AE">
      <w:pPr>
        <w:pStyle w:val="IEEEStdsParagraph"/>
      </w:pPr>
    </w:p>
    <w:p w14:paraId="0B1E2827" w14:textId="77777777" w:rsidR="00C526AE" w:rsidRDefault="00C526AE" w:rsidP="00C526AE">
      <w:pPr>
        <w:pStyle w:val="IEEEStdsParagraph"/>
      </w:pPr>
      <w:r>
        <w:t>The Allocation ID, Source AID and Destination AID subfields are collectively used to identify the allocation included as part of the Extended Schedule element.</w:t>
      </w:r>
    </w:p>
    <w:p w14:paraId="1EF703FC" w14:textId="77777777" w:rsidR="00C526AE" w:rsidRDefault="00C526AE" w:rsidP="00C526AE">
      <w:pPr>
        <w:pStyle w:val="IEEEStdsParagraph"/>
      </w:pPr>
      <w:r>
        <w:t xml:space="preserve">The Channel Aggregation and BW subfields are defined in </w:t>
      </w:r>
      <w:r>
        <w:fldChar w:fldCharType="begin"/>
      </w:r>
      <w:r>
        <w:instrText xml:space="preserve"> REF _Ref452660393 \r \h </w:instrText>
      </w:r>
      <w:r>
        <w:fldChar w:fldCharType="separate"/>
      </w:r>
      <w:r>
        <w:t>Table 9</w:t>
      </w:r>
      <w:r>
        <w:fldChar w:fldCharType="end"/>
      </w:r>
      <w:r>
        <w:t>. These fields specify the properties of the allocation identified by the Allocation Key subfield.</w:t>
      </w:r>
    </w:p>
    <w:p w14:paraId="0560ADA5" w14:textId="77777777" w:rsidR="00C526AE" w:rsidRDefault="00C526AE" w:rsidP="00C526AE">
      <w:pPr>
        <w:pStyle w:val="IEEEStdsParagraph"/>
      </w:pPr>
      <w:r>
        <w:t xml:space="preserve">The Asymmetric Beamforming Training subfield is set to 1 to indicate that this allocation is dedicated to performing the procedure specified in </w:t>
      </w:r>
      <w:r>
        <w:fldChar w:fldCharType="begin"/>
      </w:r>
      <w:r>
        <w:instrText xml:space="preserve"> REF _Ref469007515 \r \h </w:instrText>
      </w:r>
      <w:r>
        <w:fldChar w:fldCharType="separate"/>
      </w:r>
      <w:r>
        <w:t>3.2.4</w:t>
      </w:r>
      <w:r>
        <w:fldChar w:fldCharType="end"/>
      </w:r>
      <w:r>
        <w:t>. Otherwise, this field is set to 0.</w:t>
      </w:r>
    </w:p>
    <w:p w14:paraId="68F25746" w14:textId="77777777" w:rsidR="00C526AE" w:rsidRDefault="00C526AE" w:rsidP="00C526AE">
      <w:pPr>
        <w:pStyle w:val="IEEEStdsParagraph"/>
      </w:pPr>
      <w:r>
        <w:lastRenderedPageBreak/>
        <w:t xml:space="preserve">The Receive Direction subfield indicates the receive antenna configuration that the PCP or AP uses during the allocation and is formatted as shown in </w:t>
      </w:r>
      <w:r>
        <w:fldChar w:fldCharType="begin"/>
      </w:r>
      <w:r>
        <w:instrText xml:space="preserve"> REF _Ref469005705 \r \h </w:instrText>
      </w:r>
      <w:r>
        <w:fldChar w:fldCharType="separate"/>
      </w:r>
      <w:r>
        <w:t>Figure 16</w:t>
      </w:r>
      <w:r>
        <w:fldChar w:fldCharType="end"/>
      </w:r>
      <w:r>
        <w:t>. The Receive Direction subfield is reserved if the Asymmetric Beamforming Training is one.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156"/>
        <w:gridCol w:w="911"/>
        <w:gridCol w:w="1526"/>
      </w:tblGrid>
      <w:tr w:rsidR="00C526AE" w:rsidRPr="000D69D7" w14:paraId="1AF88804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340B0B72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C2E749" w14:textId="77777777" w:rsidR="00C526AE" w:rsidRDefault="00C526AE" w:rsidP="00655D9A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E2FB151" w14:textId="77777777" w:rsidR="00C526AE" w:rsidRDefault="00C526AE" w:rsidP="00655D9A">
            <w:pPr>
              <w:pStyle w:val="IEEEStdsTableData-Center"/>
            </w:pPr>
            <w:r>
              <w:t>B1-B6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B22314" w14:textId="77777777" w:rsidR="00C526AE" w:rsidRDefault="00C526AE" w:rsidP="00655D9A">
            <w:pPr>
              <w:pStyle w:val="IEEEStdsTableData-Center"/>
            </w:pPr>
            <w:r>
              <w:t>B7-B8</w:t>
            </w:r>
          </w:p>
        </w:tc>
      </w:tr>
      <w:tr w:rsidR="00C526AE" w:rsidRPr="000D69D7" w14:paraId="2182F81B" w14:textId="77777777" w:rsidTr="00655D9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B86BB72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F4E3" w14:textId="77777777" w:rsidR="00C526AE" w:rsidRDefault="00C526AE" w:rsidP="00655D9A">
            <w:pPr>
              <w:pStyle w:val="IEEEStdsTableData-Center"/>
            </w:pPr>
            <w:proofErr w:type="spellStart"/>
            <w:r>
              <w:t>IsDirectional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4E3B" w14:textId="77777777" w:rsidR="00C526AE" w:rsidRDefault="00C526AE" w:rsidP="00655D9A">
            <w:pPr>
              <w:pStyle w:val="IEEEStdsTableData-Center"/>
            </w:pPr>
            <w:r>
              <w:t>Sector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F5E3" w14:textId="77777777" w:rsidR="00C526AE" w:rsidRDefault="00C526AE" w:rsidP="00655D9A">
            <w:pPr>
              <w:pStyle w:val="IEEEStdsTableData-Center"/>
            </w:pPr>
            <w:r>
              <w:t>DMG Antenna ID</w:t>
            </w:r>
          </w:p>
        </w:tc>
      </w:tr>
      <w:tr w:rsidR="00C526AE" w:rsidRPr="000D69D7" w14:paraId="30C15A1F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3874FA34" w14:textId="77777777" w:rsidR="00C526AE" w:rsidRDefault="00C526AE" w:rsidP="00655D9A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AAF60EC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263B3E" w14:textId="77777777" w:rsidR="00C526AE" w:rsidRDefault="00C526AE" w:rsidP="00655D9A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6BB7698" w14:textId="77777777" w:rsidR="00C526AE" w:rsidRDefault="00C526AE" w:rsidP="00655D9A">
            <w:pPr>
              <w:pStyle w:val="IEEEStdsTableData-Center"/>
            </w:pPr>
            <w:r>
              <w:t>2</w:t>
            </w:r>
          </w:p>
        </w:tc>
      </w:tr>
    </w:tbl>
    <w:p w14:paraId="04AB13E2" w14:textId="77777777" w:rsidR="00C526AE" w:rsidRDefault="00C526AE" w:rsidP="00C526AE">
      <w:pPr>
        <w:pStyle w:val="IEEEStdsRegularFigureCaption"/>
        <w:tabs>
          <w:tab w:val="clear" w:pos="1008"/>
        </w:tabs>
        <w:ind w:firstLine="0"/>
      </w:pPr>
      <w:bookmarkStart w:id="4" w:name="_Ref469005705"/>
      <w:r>
        <w:t>—Receive Direction subfield format</w:t>
      </w:r>
      <w:bookmarkEnd w:id="4"/>
    </w:p>
    <w:p w14:paraId="3226768E" w14:textId="77777777" w:rsidR="00C526AE" w:rsidRDefault="00C526AE" w:rsidP="00C526AE">
      <w:pPr>
        <w:pStyle w:val="IEEEStdsParagraph"/>
      </w:pPr>
      <w:r>
        <w:t xml:space="preserve">The </w:t>
      </w:r>
      <w:proofErr w:type="spellStart"/>
      <w:r>
        <w:t>IsDirectional</w:t>
      </w:r>
      <w:proofErr w:type="spellEnd"/>
      <w:r>
        <w:t xml:space="preserve"> subfield is set to 1 to indicate that the PCP or AP uses a directional, </w:t>
      </w:r>
      <w:proofErr w:type="spellStart"/>
      <w:r>
        <w:t>non quasi-</w:t>
      </w:r>
      <w:proofErr w:type="spellEnd"/>
      <w:r>
        <w:t xml:space="preserve">omni antenna pattern to receive frames during the allocation, and is set to 0 otherwise. </w:t>
      </w:r>
    </w:p>
    <w:p w14:paraId="089EFAEF" w14:textId="77777777" w:rsidR="00C526AE" w:rsidRDefault="00C526AE" w:rsidP="00C526AE">
      <w:pPr>
        <w:pStyle w:val="IEEEStdsParagraph"/>
      </w:pPr>
      <w:r>
        <w:t xml:space="preserve">The Sector ID subfield is reserved if the </w:t>
      </w:r>
      <w:proofErr w:type="spellStart"/>
      <w:r>
        <w:t>IsDirectional</w:t>
      </w:r>
      <w:proofErr w:type="spellEnd"/>
      <w:r>
        <w:t xml:space="preserve"> subfield is 0. Otherwise, the Sector ID subfield indicates the sector that the AP or PCP uses to receive frames during this allocation.</w:t>
      </w:r>
    </w:p>
    <w:p w14:paraId="560D5207" w14:textId="77777777" w:rsidR="00C526AE" w:rsidRDefault="00C526AE" w:rsidP="00C526AE">
      <w:pPr>
        <w:pStyle w:val="IEEEStdsParagraph"/>
      </w:pPr>
      <w:r>
        <w:t xml:space="preserve">The DMG Antenna ID subfield is reserved if the </w:t>
      </w:r>
      <w:proofErr w:type="spellStart"/>
      <w:r>
        <w:t>IsDirectional</w:t>
      </w:r>
      <w:proofErr w:type="spellEnd"/>
      <w:r>
        <w:t xml:space="preserve"> subfield is 0. Otherwise, the DMG Antenna ID subfield indicates the DMG antenna that the AP or PCP uses to receive frames during this allocation.</w:t>
      </w:r>
    </w:p>
    <w:p w14:paraId="5810C104" w14:textId="7FB29F59" w:rsidR="00C526AE" w:rsidRDefault="00C526AE" w:rsidP="00C526AE">
      <w:pPr>
        <w:pStyle w:val="IEEEStdsParagraph"/>
      </w:pPr>
      <w:r>
        <w:t>If the Scheduling Type subfield is 1, the Channel Allocation field contains</w:t>
      </w:r>
      <w:r w:rsidRPr="00580722">
        <w:t xml:space="preserve"> </w:t>
      </w:r>
      <w:r>
        <w:t xml:space="preserve">the complete allocation scheduling information. In this case, the Channel Allocation field is defined in </w:t>
      </w:r>
      <w:r>
        <w:fldChar w:fldCharType="begin"/>
      </w:r>
      <w:r>
        <w:instrText xml:space="preserve"> REF _Ref469387681 \r \h </w:instrText>
      </w:r>
      <w:r>
        <w:fldChar w:fldCharType="separate"/>
      </w:r>
      <w:r>
        <w:t>Figure 17</w:t>
      </w:r>
      <w:r>
        <w:fldChar w:fldCharType="end"/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272"/>
        <w:gridCol w:w="1499"/>
        <w:gridCol w:w="619"/>
        <w:gridCol w:w="2166"/>
        <w:gridCol w:w="1267"/>
        <w:gridCol w:w="886"/>
        <w:gridCol w:w="976"/>
      </w:tblGrid>
      <w:tr w:rsidR="00C526AE" w:rsidRPr="000D69D7" w14:paraId="65F0CD6F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15C99491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55378B" w14:textId="77777777" w:rsidR="00C526AE" w:rsidRDefault="00C526AE" w:rsidP="00655D9A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40CA87" w14:textId="77777777" w:rsidR="00C526AE" w:rsidRDefault="00C526AE" w:rsidP="00655D9A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A6809F" w14:textId="77777777" w:rsidR="00C526AE" w:rsidRDefault="00C526AE" w:rsidP="00655D9A">
            <w:pPr>
              <w:pStyle w:val="IEEEStdsTableData-Center"/>
            </w:pPr>
            <w:r>
              <w:t>B2-B9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A13D09" w14:textId="77777777" w:rsidR="00C526AE" w:rsidRDefault="00C526AE" w:rsidP="00655D9A">
            <w:pPr>
              <w:pStyle w:val="IEEEStdsTableData-Center"/>
            </w:pPr>
            <w:r>
              <w:t>B10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AF63FA" w14:textId="77777777" w:rsidR="00C526AE" w:rsidRDefault="00C526AE" w:rsidP="00655D9A">
            <w:pPr>
              <w:pStyle w:val="IEEEStdsTableData-Center"/>
            </w:pPr>
            <w:r>
              <w:t>B11-B19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9B4244" w14:textId="20BF2705" w:rsidR="00C526AE" w:rsidRDefault="00C526AE" w:rsidP="00655D9A">
            <w:pPr>
              <w:pStyle w:val="IEEEStdsTableData-Center"/>
            </w:pPr>
            <w:r>
              <w:t>B20-B23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49F961" w14:textId="5C946FEE" w:rsidR="00C526AE" w:rsidRDefault="00C526AE" w:rsidP="00655D9A">
            <w:pPr>
              <w:pStyle w:val="IEEEStdsTableData-Center"/>
            </w:pPr>
            <w:r>
              <w:t>B24-B143</w:t>
            </w:r>
          </w:p>
        </w:tc>
      </w:tr>
      <w:tr w:rsidR="00C526AE" w:rsidRPr="000D69D7" w14:paraId="11C3B5F2" w14:textId="77777777" w:rsidTr="00655D9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2061B4D" w14:textId="77777777" w:rsidR="00C526AE" w:rsidRDefault="00C526AE" w:rsidP="00655D9A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C1B" w14:textId="77777777" w:rsidR="00C526AE" w:rsidRDefault="00C526AE" w:rsidP="00655D9A">
            <w:pPr>
              <w:pStyle w:val="IEEEStdsTableData-Center"/>
            </w:pPr>
            <w:r>
              <w:t>Scheduling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733" w14:textId="77777777" w:rsidR="00C526AE" w:rsidRDefault="00C526AE" w:rsidP="00655D9A">
            <w:pPr>
              <w:pStyle w:val="IEEEStdsTableData-Center"/>
            </w:pPr>
            <w:r>
              <w:t>Channel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CA2" w14:textId="77777777" w:rsidR="00C526AE" w:rsidRDefault="00C526AE" w:rsidP="00655D9A">
            <w:pPr>
              <w:pStyle w:val="IEEEStdsTableData-Center"/>
            </w:pPr>
            <w:r>
              <w:t>BW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2CE" w14:textId="77777777" w:rsidR="00C526AE" w:rsidRDefault="00C526AE" w:rsidP="00655D9A">
            <w:pPr>
              <w:pStyle w:val="IEEEStdsTableData-Center"/>
            </w:pPr>
            <w:r>
              <w:t>Asymmetric Beamforming Training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C45" w14:textId="77777777" w:rsidR="00C526AE" w:rsidRDefault="00C526AE" w:rsidP="00655D9A">
            <w:pPr>
              <w:pStyle w:val="IEEEStdsTableData-Center"/>
            </w:pPr>
            <w:r>
              <w:t>Receive Direction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365B" w14:textId="77777777" w:rsidR="00C526AE" w:rsidRDefault="00C526AE" w:rsidP="00655D9A">
            <w:pPr>
              <w:pStyle w:val="IEEEStdsTableData-Center"/>
            </w:pPr>
            <w:r>
              <w:t>Reserved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F8E1" w14:textId="77777777" w:rsidR="00C526AE" w:rsidRDefault="00C526AE" w:rsidP="00655D9A">
            <w:pPr>
              <w:pStyle w:val="IEEEStdsTableData-Center"/>
            </w:pPr>
            <w:r>
              <w:t>Allocation</w:t>
            </w:r>
          </w:p>
        </w:tc>
      </w:tr>
      <w:tr w:rsidR="00C526AE" w:rsidRPr="000D69D7" w14:paraId="1562E8CE" w14:textId="77777777" w:rsidTr="00655D9A">
        <w:trPr>
          <w:jc w:val="center"/>
        </w:trPr>
        <w:tc>
          <w:tcPr>
            <w:tcW w:w="0" w:type="auto"/>
            <w:shd w:val="clear" w:color="auto" w:fill="auto"/>
          </w:tcPr>
          <w:p w14:paraId="1C27AF1A" w14:textId="77777777" w:rsidR="00C526AE" w:rsidRDefault="00C526AE" w:rsidP="00655D9A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753609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A6DCF2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C771C68" w14:textId="77777777" w:rsidR="00C526AE" w:rsidRDefault="00C526AE" w:rsidP="00655D9A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89C296" w14:textId="77777777" w:rsidR="00C526AE" w:rsidRDefault="00C526AE" w:rsidP="00655D9A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FAB142" w14:textId="77777777" w:rsidR="00C526AE" w:rsidRDefault="00C526AE" w:rsidP="00655D9A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6F16BC" w14:textId="4596DA72" w:rsidR="00C526AE" w:rsidRDefault="00C526AE" w:rsidP="00655D9A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3C7DC80" w14:textId="77777777" w:rsidR="00C526AE" w:rsidRDefault="00C526AE" w:rsidP="00655D9A">
            <w:pPr>
              <w:pStyle w:val="IEEEStdsTableData-Center"/>
            </w:pPr>
            <w:r>
              <w:t>8×15</w:t>
            </w:r>
          </w:p>
        </w:tc>
      </w:tr>
    </w:tbl>
    <w:p w14:paraId="0E89D332" w14:textId="77777777" w:rsidR="00C526AE" w:rsidRDefault="00C526AE" w:rsidP="00C526AE">
      <w:pPr>
        <w:pStyle w:val="IEEEStdsRegularFigureCaption"/>
      </w:pPr>
      <w:bookmarkStart w:id="5" w:name="_Ref469387681"/>
      <w:r>
        <w:t>—Channel Allocation field format</w:t>
      </w:r>
      <w:bookmarkEnd w:id="5"/>
    </w:p>
    <w:p w14:paraId="5877ED05" w14:textId="77777777" w:rsidR="00C526AE" w:rsidRDefault="00C526AE" w:rsidP="00C526AE">
      <w:pPr>
        <w:pStyle w:val="IEEEStdsParagraph"/>
      </w:pPr>
      <w:r>
        <w:t xml:space="preserve">The Channel Aggregation and BW subfields are defined in </w:t>
      </w:r>
      <w:r>
        <w:fldChar w:fldCharType="begin"/>
      </w:r>
      <w:r>
        <w:instrText xml:space="preserve"> REF _Ref452660393 \r \h </w:instrText>
      </w:r>
      <w:r>
        <w:fldChar w:fldCharType="separate"/>
      </w:r>
      <w:r>
        <w:t>Table 9</w:t>
      </w:r>
      <w:r>
        <w:fldChar w:fldCharType="end"/>
      </w:r>
      <w:r>
        <w:t>. These fields specify the properties of the allocation identified by the Allocation subfield.</w:t>
      </w:r>
    </w:p>
    <w:p w14:paraId="0BCCBA14" w14:textId="77777777" w:rsidR="00C526AE" w:rsidRDefault="00C526AE" w:rsidP="00C526AE">
      <w:pPr>
        <w:pStyle w:val="IEEEStdsParagraph"/>
      </w:pPr>
      <w:r>
        <w:t>The Allocation subfield is defined in Figure 9-517.</w:t>
      </w:r>
    </w:p>
    <w:p w14:paraId="480B3BE6" w14:textId="77777777" w:rsidR="00C526AE" w:rsidRDefault="00C526AE" w:rsidP="00C526AE"/>
    <w:p w14:paraId="444907FE" w14:textId="77777777" w:rsidR="001D7D44" w:rsidRPr="00C526AE" w:rsidRDefault="005F12FB" w:rsidP="00C526AE"/>
    <w:sectPr w:rsidR="001D7D44" w:rsidRPr="00C526AE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FF3DE4" w15:done="0"/>
  <w15:commentEx w15:paraId="444E8A8B" w15:done="0"/>
  <w15:commentEx w15:paraId="5835FB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0196E" w14:textId="77777777" w:rsidR="005F12FB" w:rsidRDefault="005F12FB" w:rsidP="00EC65A6">
      <w:r>
        <w:separator/>
      </w:r>
    </w:p>
  </w:endnote>
  <w:endnote w:type="continuationSeparator" w:id="0">
    <w:p w14:paraId="6B473CD3" w14:textId="77777777" w:rsidR="005F12FB" w:rsidRDefault="005F12FB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0161B" w14:textId="5DEE9658" w:rsidR="00C526AE" w:rsidRDefault="00C526AE">
    <w:pPr>
      <w:pStyle w:val="a4"/>
      <w:rPr>
        <w:lang w:eastAsia="ko-KR"/>
      </w:rPr>
    </w:pPr>
    <w:proofErr w:type="spellStart"/>
    <w:r>
      <w:rPr>
        <w:rFonts w:hint="eastAsia"/>
        <w:lang w:eastAsia="ko-KR"/>
      </w:rPr>
      <w:t>TGay</w:t>
    </w:r>
    <w:proofErr w:type="spellEnd"/>
    <w:r>
      <w:rPr>
        <w:rFonts w:hint="eastAsia"/>
        <w:lang w:eastAsia="ko-KR"/>
      </w:rPr>
      <w:t xml:space="preserve"> Spec Framework</w:t>
    </w:r>
    <w:r>
      <w:ptab w:relativeTo="margin" w:alignment="center" w:leader="none"/>
    </w:r>
    <w:r>
      <w:ptab w:relativeTo="margin" w:alignment="right" w:leader="none"/>
    </w:r>
    <w:proofErr w:type="spellStart"/>
    <w:r>
      <w:rPr>
        <w:rFonts w:hint="eastAsia"/>
        <w:lang w:eastAsia="ko-KR"/>
      </w:rPr>
      <w:t>SungJin</w:t>
    </w:r>
    <w:proofErr w:type="spellEnd"/>
    <w:r>
      <w:rPr>
        <w:rFonts w:hint="eastAsia"/>
        <w:lang w:eastAsia="ko-KR"/>
      </w:rPr>
      <w:t xml:space="preserve"> Park, 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2A753" w14:textId="77777777" w:rsidR="005F12FB" w:rsidRDefault="005F12FB" w:rsidP="00EC65A6">
      <w:r>
        <w:separator/>
      </w:r>
    </w:p>
  </w:footnote>
  <w:footnote w:type="continuationSeparator" w:id="0">
    <w:p w14:paraId="6B46C430" w14:textId="77777777" w:rsidR="005F12FB" w:rsidRDefault="005F12FB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0B6E" w14:textId="093725AB" w:rsidR="00C526AE" w:rsidRDefault="00C526AE">
    <w:pPr>
      <w:pStyle w:val="a3"/>
      <w:rPr>
        <w:lang w:eastAsia="ko-KR"/>
      </w:rPr>
    </w:pPr>
    <w:r>
      <w:rPr>
        <w:rFonts w:hint="eastAsia"/>
        <w:lang w:eastAsia="ko-KR"/>
      </w:rPr>
      <w:t>December 2016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eastAsia="ko-KR"/>
      </w:rPr>
      <w:t>doc.: IEEE 802.11-16/1608r0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9D"/>
    <w:multiLevelType w:val="multilevel"/>
    <w:tmpl w:val="BC42AE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7538F2"/>
    <w:multiLevelType w:val="multilevel"/>
    <w:tmpl w:val="37E491DA"/>
    <w:lvl w:ilvl="0">
      <w:start w:val="5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Huang">
    <w15:presenceInfo w15:providerId="AD" w15:userId="S-1-5-21-1503372560-2942974121-2057179243-1615"/>
  </w15:person>
  <w15:person w15:author="Huanglei (Leon)">
    <w15:presenceInfo w15:providerId="AD" w15:userId="S-1-5-21-147214757-305610072-1517763936-1954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6"/>
    <w:rsid w:val="000671DD"/>
    <w:rsid w:val="000F574E"/>
    <w:rsid w:val="00167F47"/>
    <w:rsid w:val="00245D80"/>
    <w:rsid w:val="002646D9"/>
    <w:rsid w:val="002B7FC5"/>
    <w:rsid w:val="003F5220"/>
    <w:rsid w:val="004563B5"/>
    <w:rsid w:val="00532F98"/>
    <w:rsid w:val="0055388B"/>
    <w:rsid w:val="005F12FB"/>
    <w:rsid w:val="00655929"/>
    <w:rsid w:val="00684194"/>
    <w:rsid w:val="00684807"/>
    <w:rsid w:val="006C57D1"/>
    <w:rsid w:val="006F03C6"/>
    <w:rsid w:val="00765028"/>
    <w:rsid w:val="007A1810"/>
    <w:rsid w:val="007C1472"/>
    <w:rsid w:val="00843B58"/>
    <w:rsid w:val="008D3E02"/>
    <w:rsid w:val="00A02387"/>
    <w:rsid w:val="00A028B3"/>
    <w:rsid w:val="00B82E95"/>
    <w:rsid w:val="00B85A83"/>
    <w:rsid w:val="00C32E03"/>
    <w:rsid w:val="00C526AE"/>
    <w:rsid w:val="00CD4F9A"/>
    <w:rsid w:val="00D04619"/>
    <w:rsid w:val="00D36DC5"/>
    <w:rsid w:val="00D67FE0"/>
    <w:rsid w:val="00DB0260"/>
    <w:rsid w:val="00E03F54"/>
    <w:rsid w:val="00E06FDA"/>
    <w:rsid w:val="00E11668"/>
    <w:rsid w:val="00E26BCC"/>
    <w:rsid w:val="00E851DC"/>
    <w:rsid w:val="00E9263E"/>
    <w:rsid w:val="00EA3C35"/>
    <w:rsid w:val="00EC1784"/>
    <w:rsid w:val="00EC65A6"/>
    <w:rsid w:val="00F16F16"/>
    <w:rsid w:val="00F278B9"/>
    <w:rsid w:val="00F34F32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F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IEEEStdsParagraph"/>
    <w:link w:val="1Char"/>
    <w:uiPriority w:val="9"/>
    <w:qFormat/>
    <w:rsid w:val="00E06FDA"/>
    <w:pPr>
      <w:keepNext/>
      <w:keepLines/>
      <w:pageBreakBefore/>
      <w:numPr>
        <w:numId w:val="5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2">
    <w:name w:val="heading 2"/>
    <w:basedOn w:val="1"/>
    <w:next w:val="IEEEStdsParagraph"/>
    <w:link w:val="2Char"/>
    <w:qFormat/>
    <w:rsid w:val="00E06FDA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E06FDA"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Char"/>
    <w:qFormat/>
    <w:rsid w:val="00E06FDA"/>
    <w:pPr>
      <w:numPr>
        <w:ilvl w:val="3"/>
      </w:numPr>
      <w:outlineLvl w:val="3"/>
    </w:pPr>
  </w:style>
  <w:style w:type="paragraph" w:styleId="5">
    <w:name w:val="heading 5"/>
    <w:basedOn w:val="4"/>
    <w:next w:val="IEEEStdsParagraph"/>
    <w:link w:val="5Char"/>
    <w:qFormat/>
    <w:rsid w:val="00E06FDA"/>
    <w:pPr>
      <w:numPr>
        <w:ilvl w:val="4"/>
      </w:numPr>
      <w:outlineLvl w:val="4"/>
    </w:pPr>
  </w:style>
  <w:style w:type="paragraph" w:styleId="6">
    <w:name w:val="heading 6"/>
    <w:basedOn w:val="5"/>
    <w:next w:val="IEEEStdsParagraph"/>
    <w:link w:val="6Char"/>
    <w:qFormat/>
    <w:rsid w:val="00E06FDA"/>
    <w:pPr>
      <w:numPr>
        <w:ilvl w:val="5"/>
      </w:numPr>
      <w:outlineLvl w:val="5"/>
    </w:pPr>
  </w:style>
  <w:style w:type="paragraph" w:styleId="7">
    <w:name w:val="heading 7"/>
    <w:basedOn w:val="6"/>
    <w:next w:val="IEEEStdsParagraph"/>
    <w:link w:val="7Char"/>
    <w:qFormat/>
    <w:rsid w:val="00E06FDA"/>
    <w:pPr>
      <w:numPr>
        <w:ilvl w:val="6"/>
      </w:numPr>
      <w:outlineLvl w:val="6"/>
    </w:pPr>
  </w:style>
  <w:style w:type="paragraph" w:styleId="8">
    <w:name w:val="heading 8"/>
    <w:basedOn w:val="7"/>
    <w:next w:val="IEEEStdsParagraph"/>
    <w:link w:val="8Char"/>
    <w:qFormat/>
    <w:rsid w:val="00E06FDA"/>
    <w:pPr>
      <w:numPr>
        <w:ilvl w:val="7"/>
      </w:numPr>
      <w:outlineLvl w:val="7"/>
    </w:pPr>
  </w:style>
  <w:style w:type="paragraph" w:styleId="9">
    <w:name w:val="heading 9"/>
    <w:basedOn w:val="8"/>
    <w:next w:val="IEEEStdsParagraph"/>
    <w:link w:val="9Char"/>
    <w:qFormat/>
    <w:rsid w:val="00E06FD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461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619"/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D04619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61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0461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0"/>
    <w:link w:val="1"/>
    <w:uiPriority w:val="9"/>
    <w:rsid w:val="00E06FDA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2Char">
    <w:name w:val="제목 2 Char"/>
    <w:basedOn w:val="a0"/>
    <w:link w:val="2"/>
    <w:rsid w:val="00E06FDA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3Char">
    <w:name w:val="제목 3 Char"/>
    <w:basedOn w:val="a0"/>
    <w:link w:val="3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4Char">
    <w:name w:val="제목 4 Char"/>
    <w:basedOn w:val="a0"/>
    <w:link w:val="4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5Char">
    <w:name w:val="제목 5 Char"/>
    <w:basedOn w:val="a0"/>
    <w:link w:val="5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6Char">
    <w:name w:val="제목 6 Char"/>
    <w:basedOn w:val="a0"/>
    <w:link w:val="6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7Char">
    <w:name w:val="제목 7 Char"/>
    <w:basedOn w:val="a0"/>
    <w:link w:val="7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8Char">
    <w:name w:val="제목 8 Char"/>
    <w:basedOn w:val="a0"/>
    <w:link w:val="8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9Char">
    <w:name w:val="제목 9 Char"/>
    <w:basedOn w:val="a0"/>
    <w:link w:val="9"/>
    <w:rsid w:val="00E06FDA"/>
    <w:rPr>
      <w:rFonts w:ascii="Arial" w:eastAsia="Times New Roman" w:hAnsi="Arial" w:cs="Times New Roman"/>
      <w:b/>
      <w:kern w:val="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IEEEStdsParagraph"/>
    <w:link w:val="1Char"/>
    <w:uiPriority w:val="9"/>
    <w:qFormat/>
    <w:rsid w:val="00E06FDA"/>
    <w:pPr>
      <w:keepNext/>
      <w:keepLines/>
      <w:pageBreakBefore/>
      <w:numPr>
        <w:numId w:val="5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2">
    <w:name w:val="heading 2"/>
    <w:basedOn w:val="1"/>
    <w:next w:val="IEEEStdsParagraph"/>
    <w:link w:val="2Char"/>
    <w:qFormat/>
    <w:rsid w:val="00E06FDA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E06FDA"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Char"/>
    <w:qFormat/>
    <w:rsid w:val="00E06FDA"/>
    <w:pPr>
      <w:numPr>
        <w:ilvl w:val="3"/>
      </w:numPr>
      <w:outlineLvl w:val="3"/>
    </w:pPr>
  </w:style>
  <w:style w:type="paragraph" w:styleId="5">
    <w:name w:val="heading 5"/>
    <w:basedOn w:val="4"/>
    <w:next w:val="IEEEStdsParagraph"/>
    <w:link w:val="5Char"/>
    <w:qFormat/>
    <w:rsid w:val="00E06FDA"/>
    <w:pPr>
      <w:numPr>
        <w:ilvl w:val="4"/>
      </w:numPr>
      <w:outlineLvl w:val="4"/>
    </w:pPr>
  </w:style>
  <w:style w:type="paragraph" w:styleId="6">
    <w:name w:val="heading 6"/>
    <w:basedOn w:val="5"/>
    <w:next w:val="IEEEStdsParagraph"/>
    <w:link w:val="6Char"/>
    <w:qFormat/>
    <w:rsid w:val="00E06FDA"/>
    <w:pPr>
      <w:numPr>
        <w:ilvl w:val="5"/>
      </w:numPr>
      <w:outlineLvl w:val="5"/>
    </w:pPr>
  </w:style>
  <w:style w:type="paragraph" w:styleId="7">
    <w:name w:val="heading 7"/>
    <w:basedOn w:val="6"/>
    <w:next w:val="IEEEStdsParagraph"/>
    <w:link w:val="7Char"/>
    <w:qFormat/>
    <w:rsid w:val="00E06FDA"/>
    <w:pPr>
      <w:numPr>
        <w:ilvl w:val="6"/>
      </w:numPr>
      <w:outlineLvl w:val="6"/>
    </w:pPr>
  </w:style>
  <w:style w:type="paragraph" w:styleId="8">
    <w:name w:val="heading 8"/>
    <w:basedOn w:val="7"/>
    <w:next w:val="IEEEStdsParagraph"/>
    <w:link w:val="8Char"/>
    <w:qFormat/>
    <w:rsid w:val="00E06FDA"/>
    <w:pPr>
      <w:numPr>
        <w:ilvl w:val="7"/>
      </w:numPr>
      <w:outlineLvl w:val="7"/>
    </w:pPr>
  </w:style>
  <w:style w:type="paragraph" w:styleId="9">
    <w:name w:val="heading 9"/>
    <w:basedOn w:val="8"/>
    <w:next w:val="IEEEStdsParagraph"/>
    <w:link w:val="9Char"/>
    <w:qFormat/>
    <w:rsid w:val="00E06FD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461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619"/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D04619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61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0461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0"/>
    <w:link w:val="1"/>
    <w:uiPriority w:val="9"/>
    <w:rsid w:val="00E06FDA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2Char">
    <w:name w:val="제목 2 Char"/>
    <w:basedOn w:val="a0"/>
    <w:link w:val="2"/>
    <w:rsid w:val="00E06FDA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3Char">
    <w:name w:val="제목 3 Char"/>
    <w:basedOn w:val="a0"/>
    <w:link w:val="3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4Char">
    <w:name w:val="제목 4 Char"/>
    <w:basedOn w:val="a0"/>
    <w:link w:val="4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5Char">
    <w:name w:val="제목 5 Char"/>
    <w:basedOn w:val="a0"/>
    <w:link w:val="5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6Char">
    <w:name w:val="제목 6 Char"/>
    <w:basedOn w:val="a0"/>
    <w:link w:val="6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7Char">
    <w:name w:val="제목 7 Char"/>
    <w:basedOn w:val="a0"/>
    <w:link w:val="7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8Char">
    <w:name w:val="제목 8 Char"/>
    <w:basedOn w:val="a0"/>
    <w:link w:val="8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9Char">
    <w:name w:val="제목 9 Char"/>
    <w:basedOn w:val="a0"/>
    <w:link w:val="9"/>
    <w:rsid w:val="00E06FDA"/>
    <w:rPr>
      <w:rFonts w:ascii="Arial" w:eastAsia="Times New Roman" w:hAnsi="Arial" w:cs="Times New Roman"/>
      <w:b/>
      <w:kern w:val="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AB7B-8B5F-4CD5-A29F-DDFEA2A6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2016-12-21T04:39:00Z</dcterms:created>
  <dcterms:modified xsi:type="dcterms:W3CDTF">2016-12-21T04:48:00Z</dcterms:modified>
</cp:coreProperties>
</file>