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25.9.</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566240" w:rsidP="00150C38">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566240" w:rsidP="00150C38">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566240" w:rsidP="00150C38">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 xml:space="preserve">Ron </w:t>
                  </w:r>
                  <w:proofErr w:type="spellStart"/>
                  <w:r>
                    <w:rPr>
                      <w:b w:val="0"/>
                      <w:sz w:val="18"/>
                      <w:szCs w:val="18"/>
                      <w:lang w:eastAsia="ko-KR"/>
                    </w:rPr>
                    <w:t>Porat</w:t>
                  </w:r>
                  <w:proofErr w:type="spellEnd"/>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566240"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
              </w:tc>
              <w:tc>
                <w:tcPr>
                  <w:tcW w:w="1297" w:type="dxa"/>
                  <w:vAlign w:val="center"/>
                </w:tcPr>
                <w:p w:rsidR="006910E4" w:rsidRPr="00CD4C78" w:rsidRDefault="006910E4" w:rsidP="00150C38">
                  <w:pPr>
                    <w:pStyle w:val="T2"/>
                    <w:spacing w:after="0"/>
                    <w:ind w:left="0" w:right="0"/>
                    <w:jc w:val="left"/>
                    <w:rPr>
                      <w:b w:val="0"/>
                      <w:sz w:val="18"/>
                      <w:szCs w:val="18"/>
                      <w:lang w:eastAsia="ko-KR"/>
                    </w:rPr>
                  </w:pP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6910E4" w:rsidP="00150C38">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w:t>
      </w:r>
      <w:proofErr w:type="spellStart"/>
      <w:r w:rsidRPr="00DE157B">
        <w:rPr>
          <w:b w:val="0"/>
          <w:sz w:val="20"/>
        </w:rPr>
        <w:t>TGax</w:t>
      </w:r>
      <w:proofErr w:type="spellEnd"/>
      <w:r w:rsidRPr="00DE157B">
        <w:rPr>
          <w:b w:val="0"/>
          <w:sz w:val="20"/>
        </w:rPr>
        <w:t xml:space="preserve">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511226" w:rsidP="00CE4BAA">
      <w:r>
        <w:t>25.9.3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495A5A" w:rsidP="00495A5A">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r w:rsidR="00524F6B">
        <w:rPr>
          <w:b/>
          <w:sz w:val="24"/>
        </w:rPr>
        <w:tab/>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776FCA" w:rsidP="001B5C3D">
      <w:pPr>
        <w:rPr>
          <w:sz w:val="20"/>
          <w:lang w:val="en-US"/>
        </w:rPr>
      </w:pPr>
      <w:r>
        <w:rPr>
          <w:sz w:val="20"/>
          <w:lang w:val="en-US"/>
        </w:rPr>
        <w:t>25.9.3.1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776FCA" w:rsidP="001B5C3D">
      <w:pPr>
        <w:rPr>
          <w:sz w:val="20"/>
          <w:lang w:val="en-US"/>
        </w:rPr>
      </w:pPr>
      <w:r>
        <w:rPr>
          <w:sz w:val="20"/>
          <w:lang w:val="en-US"/>
        </w:rPr>
        <w:t>25.9.3.2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r>
        <w:rPr>
          <w:b/>
          <w:sz w:val="24"/>
        </w:rPr>
        <w:tab/>
      </w:r>
    </w:p>
    <w:p w:rsidR="00524F6B" w:rsidRDefault="00524F6B" w:rsidP="00524F6B">
      <w:pPr>
        <w:ind w:firstLine="720"/>
        <w:rPr>
          <w:sz w:val="20"/>
          <w:lang w:val="en-US"/>
        </w:rPr>
      </w:pPr>
    </w:p>
    <w:p w:rsidR="00524F6B" w:rsidRPr="00647908" w:rsidRDefault="00524F6B" w:rsidP="00524F6B">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r>
        <w:rPr>
          <w:b/>
          <w:sz w:val="24"/>
        </w:rPr>
        <w:tab/>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r>
        <w:rPr>
          <w:b/>
          <w:sz w:val="24"/>
        </w:rPr>
        <w:tab/>
      </w:r>
    </w:p>
    <w:p w:rsidR="00E7243A" w:rsidRDefault="00E7243A" w:rsidP="001B5C3D">
      <w:pPr>
        <w:rPr>
          <w:sz w:val="20"/>
          <w:lang w:val="en-US"/>
        </w:rPr>
      </w:pPr>
    </w:p>
    <w:p w:rsidR="00070283" w:rsidRPr="00647908" w:rsidRDefault="00070283" w:rsidP="00070283">
      <w:pPr>
        <w:rPr>
          <w:b/>
          <w:sz w:val="20"/>
          <w:lang w:val="en-US"/>
        </w:rPr>
      </w:pPr>
      <w:r w:rsidRPr="00F702E2">
        <w:rPr>
          <w:b/>
          <w:sz w:val="20"/>
          <w:lang w:val="en-US"/>
        </w:rPr>
        <w:t>25.9.3</w:t>
      </w:r>
      <w:r>
        <w:rPr>
          <w:b/>
          <w:sz w:val="20"/>
          <w:lang w:val="en-US"/>
        </w:rPr>
        <w:t>.3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t>Modified condition for non-trigger PPDU TXVEC SR parameter value setting</w:t>
      </w:r>
    </w:p>
    <w:p w:rsidR="00490E35" w:rsidRDefault="00490E35" w:rsidP="001B5C3D">
      <w:pPr>
        <w:rPr>
          <w:sz w:val="20"/>
          <w:lang w:val="en-US"/>
        </w:rPr>
      </w:pPr>
    </w:p>
    <w:p w:rsidR="00E7010C" w:rsidRDefault="00E7010C" w:rsidP="001B5C3D">
      <w:pPr>
        <w:rPr>
          <w:sz w:val="20"/>
          <w:lang w:val="en-US"/>
        </w:rPr>
      </w:pPr>
    </w:p>
    <w:p w:rsidR="00490E35" w:rsidRPr="001B5C3D" w:rsidRDefault="00490E35"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3F5562" w:rsidRPr="00CD4C78" w:rsidTr="000609BC">
        <w:trPr>
          <w:trHeight w:val="220"/>
        </w:trPr>
        <w:tc>
          <w:tcPr>
            <w:tcW w:w="656" w:type="dxa"/>
            <w:shd w:val="clear" w:color="auto" w:fill="auto"/>
            <w:noWrap/>
          </w:tcPr>
          <w:p w:rsidR="003F5562" w:rsidRPr="00CD4C78" w:rsidRDefault="003F5562" w:rsidP="000609BC">
            <w:pPr>
              <w:jc w:val="both"/>
              <w:rPr>
                <w:bCs/>
                <w:sz w:val="16"/>
                <w:szCs w:val="18"/>
                <w:lang w:eastAsia="ko-KR"/>
              </w:rPr>
            </w:pPr>
            <w:r>
              <w:rPr>
                <w:bCs/>
                <w:sz w:val="16"/>
                <w:szCs w:val="18"/>
                <w:lang w:eastAsia="ko-KR"/>
              </w:rPr>
              <w:t>944</w:t>
            </w:r>
          </w:p>
        </w:tc>
        <w:tc>
          <w:tcPr>
            <w:tcW w:w="1061" w:type="dxa"/>
            <w:shd w:val="clear" w:color="auto" w:fill="auto"/>
            <w:noWrap/>
          </w:tcPr>
          <w:p w:rsidR="003F5562" w:rsidRPr="00CD4C78" w:rsidRDefault="003F5562" w:rsidP="000609BC">
            <w:pPr>
              <w:jc w:val="both"/>
              <w:rPr>
                <w:bCs/>
                <w:sz w:val="16"/>
                <w:szCs w:val="18"/>
                <w:lang w:eastAsia="ko-KR"/>
              </w:rPr>
            </w:pPr>
            <w:proofErr w:type="spellStart"/>
            <w:r w:rsidRPr="00BC2F30">
              <w:rPr>
                <w:bCs/>
                <w:sz w:val="16"/>
                <w:szCs w:val="18"/>
                <w:lang w:eastAsia="ko-KR"/>
              </w:rPr>
              <w:t>kaiying</w:t>
            </w:r>
            <w:proofErr w:type="spellEnd"/>
            <w:r w:rsidRPr="00BC2F30">
              <w:rPr>
                <w:bCs/>
                <w:sz w:val="16"/>
                <w:szCs w:val="18"/>
                <w:lang w:eastAsia="ko-KR"/>
              </w:rPr>
              <w:t xml:space="preserve"> </w:t>
            </w:r>
            <w:proofErr w:type="spellStart"/>
            <w:r w:rsidRPr="00BC2F30">
              <w:rPr>
                <w:bCs/>
                <w:sz w:val="16"/>
                <w:szCs w:val="18"/>
                <w:lang w:eastAsia="ko-KR"/>
              </w:rPr>
              <w:t>Lv</w:t>
            </w:r>
            <w:proofErr w:type="spellEnd"/>
          </w:p>
        </w:tc>
        <w:tc>
          <w:tcPr>
            <w:tcW w:w="540" w:type="dxa"/>
            <w:shd w:val="clear" w:color="auto" w:fill="auto"/>
            <w:noWrap/>
          </w:tcPr>
          <w:p w:rsidR="003F5562" w:rsidRPr="00CD4C78" w:rsidRDefault="003F5562" w:rsidP="00BC2F30">
            <w:pPr>
              <w:jc w:val="both"/>
              <w:rPr>
                <w:bCs/>
                <w:sz w:val="16"/>
                <w:szCs w:val="18"/>
                <w:lang w:eastAsia="ko-KR"/>
              </w:rPr>
            </w:pPr>
            <w:r>
              <w:rPr>
                <w:bCs/>
                <w:sz w:val="16"/>
                <w:szCs w:val="18"/>
                <w:lang w:eastAsia="ko-KR"/>
              </w:rPr>
              <w:t>63</w:t>
            </w:r>
          </w:p>
        </w:tc>
        <w:tc>
          <w:tcPr>
            <w:tcW w:w="2970" w:type="dxa"/>
            <w:shd w:val="clear" w:color="auto" w:fill="auto"/>
            <w:noWrap/>
          </w:tcPr>
          <w:p w:rsidR="003F5562" w:rsidRPr="00CD4C78" w:rsidRDefault="003F5562" w:rsidP="000609BC">
            <w:pPr>
              <w:jc w:val="both"/>
              <w:rPr>
                <w:bCs/>
                <w:sz w:val="16"/>
                <w:szCs w:val="18"/>
                <w:lang w:eastAsia="ko-KR"/>
              </w:rPr>
            </w:pPr>
            <w:r w:rsidRPr="00BC2F30">
              <w:rPr>
                <w:bCs/>
                <w:sz w:val="16"/>
                <w:szCs w:val="18"/>
                <w:lang w:eastAsia="ko-KR"/>
              </w:rPr>
              <w:t>spatial reuse operation should be further defined</w:t>
            </w:r>
          </w:p>
        </w:tc>
        <w:tc>
          <w:tcPr>
            <w:tcW w:w="2520" w:type="dxa"/>
            <w:shd w:val="clear" w:color="auto" w:fill="auto"/>
            <w:noWrap/>
          </w:tcPr>
          <w:p w:rsidR="003F5562" w:rsidRPr="00CD4C78" w:rsidRDefault="003F5562" w:rsidP="000609BC">
            <w:pPr>
              <w:jc w:val="both"/>
              <w:rPr>
                <w:bCs/>
                <w:sz w:val="16"/>
                <w:szCs w:val="18"/>
                <w:lang w:eastAsia="ko-KR"/>
              </w:rPr>
            </w:pPr>
            <w:r w:rsidRPr="00BC2F30">
              <w:rPr>
                <w:bCs/>
                <w:sz w:val="16"/>
                <w:szCs w:val="18"/>
                <w:lang w:eastAsia="ko-KR"/>
              </w:rPr>
              <w:t>Comment resolution and supporting PPT will be provided</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150C38">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1476r4</w:t>
            </w:r>
            <w:r w:rsidRPr="005876D7">
              <w:rPr>
                <w:bCs/>
                <w:sz w:val="16"/>
                <w:szCs w:val="18"/>
                <w:lang w:eastAsia="ko-KR"/>
              </w:rPr>
              <w:t>.</w:t>
            </w: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r>
              <w:rPr>
                <w:bCs/>
                <w:sz w:val="16"/>
                <w:szCs w:val="18"/>
                <w:lang w:eastAsia="ko-KR"/>
              </w:rPr>
              <w:t>64</w:t>
            </w: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r>
              <w:rPr>
                <w:rFonts w:ascii="Arial" w:hAnsi="Arial" w:cs="Arial"/>
                <w:sz w:val="20"/>
              </w:rPr>
              <w:t>"A STA should revise the NAV depending on TBD conditions at the recipient of the ongoing OBSS frame." Specify how a HE STA can obtain the knowledge of the condition of an ongoing OBSS frame at the OBSS recipient STA.</w:t>
            </w:r>
          </w:p>
        </w:tc>
        <w:tc>
          <w:tcPr>
            <w:tcW w:w="2520" w:type="dxa"/>
            <w:shd w:val="clear" w:color="auto" w:fill="auto"/>
            <w:noWrap/>
          </w:tcPr>
          <w:p w:rsidR="003F5562" w:rsidRDefault="003F5562">
            <w:pPr>
              <w:rPr>
                <w:rFonts w:ascii="Arial" w:hAnsi="Arial" w:cs="Arial"/>
                <w:sz w:val="20"/>
              </w:rPr>
            </w:pPr>
            <w:r>
              <w:rPr>
                <w:rFonts w:ascii="Arial" w:hAnsi="Arial" w:cs="Arial"/>
                <w:sz w:val="20"/>
              </w:rPr>
              <w:t>As in the comment.</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3F5562">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1476r4</w:t>
            </w:r>
            <w:r w:rsidRPr="005876D7">
              <w:rPr>
                <w:bCs/>
                <w:sz w:val="16"/>
                <w:szCs w:val="18"/>
                <w:lang w:eastAsia="ko-KR"/>
              </w:rPr>
              <w:t>.</w:t>
            </w: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r>
              <w:rPr>
                <w:bCs/>
                <w:sz w:val="16"/>
                <w:szCs w:val="18"/>
                <w:lang w:eastAsia="ko-KR"/>
              </w:rPr>
              <w:t>2911</w:t>
            </w: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r>
              <w:rPr>
                <w:rFonts w:ascii="Arial" w:hAnsi="Arial" w:cs="Arial"/>
                <w:sz w:val="20"/>
              </w:rPr>
              <w:t>If the detected inter-BSS frame is a Trigger Frame from an AP, the STA shall wait until the solicited UL transmission has started, otherwise the STAs solicited for transmission may sense the channel as busy and do not transmit.</w:t>
            </w:r>
          </w:p>
        </w:tc>
        <w:tc>
          <w:tcPr>
            <w:tcW w:w="2520" w:type="dxa"/>
            <w:shd w:val="clear" w:color="auto" w:fill="auto"/>
            <w:noWrap/>
          </w:tcPr>
          <w:p w:rsidR="003F5562" w:rsidRDefault="003F5562">
            <w:pPr>
              <w:rPr>
                <w:rFonts w:ascii="Arial" w:hAnsi="Arial" w:cs="Arial"/>
                <w:sz w:val="20"/>
              </w:rPr>
            </w:pPr>
            <w:r>
              <w:rPr>
                <w:rFonts w:ascii="Arial" w:hAnsi="Arial" w:cs="Arial"/>
                <w:sz w:val="20"/>
              </w:rPr>
              <w:t xml:space="preserve">If the detected inter-BSS frame is a Trigger Frame and the CS Required </w:t>
            </w:r>
            <w:proofErr w:type="spellStart"/>
            <w:r>
              <w:rPr>
                <w:rFonts w:ascii="Arial" w:hAnsi="Arial" w:cs="Arial"/>
                <w:sz w:val="20"/>
              </w:rPr>
              <w:t>subfiled</w:t>
            </w:r>
            <w:proofErr w:type="spellEnd"/>
            <w:r>
              <w:rPr>
                <w:rFonts w:ascii="Arial" w:hAnsi="Arial" w:cs="Arial"/>
                <w:sz w:val="20"/>
              </w:rPr>
              <w:t xml:space="preserve"> in the TF is set to 1, a STA should revise the NAV to the end of the TF plus SIFS duration.</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150C38">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1476r4</w:t>
            </w:r>
            <w:r w:rsidRPr="005876D7">
              <w:rPr>
                <w:bCs/>
                <w:sz w:val="16"/>
                <w:szCs w:val="18"/>
                <w:lang w:eastAsia="ko-KR"/>
              </w:rPr>
              <w:t>.</w:t>
            </w: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D12CD5" w:rsidP="00D12CD5">
      <w:pPr>
        <w:rPr>
          <w:b/>
          <w:i/>
          <w:sz w:val="22"/>
        </w:rPr>
      </w:pPr>
      <w:r w:rsidRPr="00D12CD5">
        <w:rPr>
          <w:b/>
          <w:i/>
          <w:sz w:val="22"/>
          <w:highlight w:val="yellow"/>
        </w:rPr>
        <w:t>Instruct the editor to include</w:t>
      </w:r>
      <w:r w:rsidR="00EE71EF">
        <w:rPr>
          <w:b/>
          <w:i/>
          <w:sz w:val="22"/>
          <w:highlight w:val="yellow"/>
        </w:rPr>
        <w:t xml:space="preserve"> </w:t>
      </w:r>
      <w:r w:rsidRPr="00D12CD5">
        <w:rPr>
          <w:b/>
          <w:i/>
          <w:sz w:val="22"/>
          <w:highlight w:val="yellow"/>
        </w:rPr>
        <w:t>25.9.3 SRP-based spatial reuse operation and the associated text as follows:</w:t>
      </w:r>
    </w:p>
    <w:p w:rsidR="00D12CD5" w:rsidRPr="009506EF" w:rsidRDefault="00D12CD5" w:rsidP="00D12CD5">
      <w:pPr>
        <w:rPr>
          <w:rFonts w:eastAsia="Times New Roman"/>
          <w:color w:val="000000"/>
        </w:rPr>
      </w:pPr>
      <w:r w:rsidRPr="009506EF">
        <w:rPr>
          <w:rFonts w:eastAsia="Times New Roman"/>
          <w:color w:val="000000"/>
        </w:rPr>
        <w:t> </w:t>
      </w:r>
    </w:p>
    <w:p w:rsidR="00AC4B40" w:rsidRPr="00EE71EF" w:rsidRDefault="00AC4B40" w:rsidP="00AC4B40">
      <w:pPr>
        <w:rPr>
          <w:sz w:val="20"/>
        </w:rPr>
      </w:pPr>
    </w:p>
    <w:p w:rsidR="00AC4B40" w:rsidRPr="00647908" w:rsidRDefault="00F702E2" w:rsidP="00AC4B40">
      <w:pPr>
        <w:rPr>
          <w:b/>
          <w:sz w:val="20"/>
          <w:lang w:val="en-US"/>
        </w:rPr>
      </w:pPr>
      <w:r w:rsidRPr="00F702E2">
        <w:rPr>
          <w:b/>
          <w:sz w:val="20"/>
          <w:lang w:val="en-US"/>
        </w:rPr>
        <w:t>25.9.3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lastRenderedPageBreak/>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EE71EF" w:rsidRPr="00EE71EF">
        <w:rPr>
          <w:sz w:val="20"/>
          <w:lang w:val="en-US"/>
        </w:rPr>
        <w:t>An</w:t>
      </w:r>
      <w:proofErr w:type="spellEnd"/>
      <w:r w:rsidR="00EE71EF" w:rsidRPr="00EE71EF">
        <w:rPr>
          <w:sz w:val="20"/>
          <w:lang w:val="en-US"/>
        </w:rPr>
        <w:t xml:space="preserve"> HE-STA is allowed to initiate a</w:t>
      </w:r>
      <w:r w:rsidR="000E3C8F">
        <w:rPr>
          <w:sz w:val="20"/>
          <w:lang w:val="en-US"/>
        </w:rPr>
        <w:t>n</w:t>
      </w:r>
      <w:r w:rsidR="00EE71EF" w:rsidRPr="00EE71EF">
        <w:rPr>
          <w:sz w:val="20"/>
          <w:lang w:val="en-US"/>
        </w:rPr>
        <w:t xml:space="preserve"> SR 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of the 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ISALLOWED</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the received </w:t>
      </w:r>
      <w:r w:rsidR="00EE71EF" w:rsidRPr="00EE71EF">
        <w:rPr>
          <w:sz w:val="20"/>
          <w:lang w:val="en-US"/>
        </w:rPr>
        <w:t>PPDU.</w:t>
      </w:r>
    </w:p>
    <w:p w:rsidR="00B947D1" w:rsidRDefault="00B947D1" w:rsidP="004B4C24">
      <w:pPr>
        <w:rPr>
          <w:sz w:val="20"/>
          <w:lang w:val="en-US"/>
        </w:rPr>
      </w:pPr>
    </w:p>
    <w:p w:rsidR="006E195A" w:rsidRDefault="004B4C24" w:rsidP="004B4C24">
      <w:pPr>
        <w:rPr>
          <w:sz w:val="20"/>
          <w:lang w:val="en-US"/>
        </w:rPr>
      </w:pPr>
      <w:proofErr w:type="spellStart"/>
      <w:r>
        <w:rPr>
          <w:sz w:val="20"/>
          <w:lang w:val="en-US"/>
        </w:rPr>
        <w:t>An</w:t>
      </w:r>
      <w:proofErr w:type="spellEnd"/>
      <w:r>
        <w:rPr>
          <w:sz w:val="20"/>
          <w:lang w:val="en-US"/>
        </w:rPr>
        <w:t xml:space="preserve"> HE-STA supporting </w:t>
      </w:r>
      <w:r w:rsidRPr="004B4C24">
        <w:rPr>
          <w:sz w:val="20"/>
          <w:lang w:val="en-US"/>
        </w:rPr>
        <w:t>SRP-based SR</w:t>
      </w:r>
      <w:r>
        <w:rPr>
          <w:sz w:val="20"/>
          <w:lang w:val="en-US"/>
        </w:rPr>
        <w:t xml:space="preserve"> operation </w:t>
      </w:r>
      <w:r w:rsidRPr="004B4C24">
        <w:rPr>
          <w:sz w:val="20"/>
          <w:lang w:val="en-US"/>
        </w:rPr>
        <w:t>indicates i</w:t>
      </w:r>
      <w:r>
        <w:rPr>
          <w:sz w:val="20"/>
          <w:lang w:val="en-US"/>
        </w:rPr>
        <w:t>t</w:t>
      </w:r>
      <w:r w:rsidRPr="004B4C24">
        <w:rPr>
          <w:sz w:val="20"/>
          <w:lang w:val="en-US"/>
        </w:rPr>
        <w:t xml:space="preserve"> supports SRP-based SR</w:t>
      </w:r>
      <w:r>
        <w:rPr>
          <w:sz w:val="20"/>
          <w:lang w:val="en-US"/>
        </w:rPr>
        <w:t xml:space="preserve"> </w:t>
      </w:r>
      <w:r w:rsidRPr="004B4C24">
        <w:rPr>
          <w:sz w:val="20"/>
          <w:lang w:val="en-US"/>
        </w:rPr>
        <w:t>operation</w:t>
      </w:r>
      <w:r>
        <w:rPr>
          <w:sz w:val="20"/>
          <w:lang w:val="en-US"/>
        </w:rPr>
        <w:t xml:space="preserve"> by setting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roofErr w:type="spellStart"/>
      <w:proofErr w:type="gramStart"/>
      <w:r w:rsidR="00181A0E">
        <w:rPr>
          <w:sz w:val="20"/>
          <w:lang w:val="en-US"/>
        </w:rPr>
        <w:t>An</w:t>
      </w:r>
      <w:proofErr w:type="spellEnd"/>
      <w:r w:rsidR="00181A0E">
        <w:rPr>
          <w:sz w:val="20"/>
          <w:lang w:val="en-US"/>
        </w:rPr>
        <w:t xml:space="preserve"> HE</w:t>
      </w:r>
      <w:proofErr w:type="gramEnd"/>
      <w:r w:rsidR="00181A0E">
        <w:rPr>
          <w:sz w:val="20"/>
          <w:lang w:val="en-US"/>
        </w:rPr>
        <w:t>-STA not supporting SRP-based SR operation ignore</w:t>
      </w:r>
      <w:r w:rsidR="00F9679F">
        <w:rPr>
          <w:sz w:val="20"/>
          <w:lang w:val="en-US"/>
        </w:rPr>
        <w:t>s</w:t>
      </w:r>
      <w:r w:rsidR="00181A0E">
        <w:rPr>
          <w:sz w:val="20"/>
          <w:lang w:val="en-US"/>
        </w:rPr>
        <w:t xml:space="preserve"> the </w:t>
      </w:r>
      <w:r w:rsidR="00F9679F" w:rsidRPr="00150C38">
        <w:rPr>
          <w:sz w:val="20"/>
          <w:lang w:val="en-US"/>
        </w:rPr>
        <w:t xml:space="preserve">RXVECTOR </w:t>
      </w:r>
      <w:r w:rsidR="00F9679F">
        <w:rPr>
          <w:sz w:val="20"/>
          <w:lang w:val="en-US"/>
        </w:rPr>
        <w:t>parameter SPATIAL_</w:t>
      </w:r>
      <w:r w:rsidR="00F9679F" w:rsidRPr="002241A7">
        <w:rPr>
          <w:sz w:val="20"/>
          <w:lang w:val="en-US"/>
        </w:rPr>
        <w:t>REUSE</w:t>
      </w:r>
      <w:r w:rsidR="006E195A" w:rsidRPr="002241A7">
        <w:rPr>
          <w:sz w:val="20"/>
          <w:lang w:val="en-US"/>
        </w:rPr>
        <w:t>.</w:t>
      </w:r>
      <w:r w:rsidR="006E195A">
        <w:rPr>
          <w:sz w:val="20"/>
          <w:lang w:val="en-US"/>
        </w:rPr>
        <w:t xml:space="preserve"> </w:t>
      </w:r>
    </w:p>
    <w:p w:rsidR="00F03EC4" w:rsidRDefault="00F03EC4"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 xml:space="preserve">than SR_DISALLOW,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 xml:space="preserve">than SR_DISALLOW, in the </w:t>
      </w:r>
      <w:r w:rsidR="00511226">
        <w:rPr>
          <w:sz w:val="20"/>
          <w:lang w:val="en-US"/>
        </w:rPr>
        <w:t>RXVECTOR parameter</w:t>
      </w:r>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726F53">
        <w:rPr>
          <w:sz w:val="20"/>
          <w:lang w:val="en-US"/>
        </w:rPr>
        <w:t xml:space="preserve"> or T</w:t>
      </w:r>
      <w:r w:rsidR="00F646B2">
        <w:rPr>
          <w:sz w:val="20"/>
          <w:lang w:val="en-US"/>
        </w:rPr>
        <w:t>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with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D150CF">
        <w:rPr>
          <w:sz w:val="20"/>
          <w:lang w:val="en-US"/>
        </w:rPr>
        <w:t xml:space="preserve"> TSRP_PPDU</w:t>
      </w:r>
      <w:r>
        <w:rPr>
          <w:sz w:val="20"/>
          <w:lang w:val="en-US"/>
        </w:rPr>
        <w:t>.</w:t>
      </w:r>
    </w:p>
    <w:p w:rsidR="00F03EC4" w:rsidRDefault="00F03EC4" w:rsidP="004B4C24">
      <w:pPr>
        <w:rPr>
          <w:sz w:val="20"/>
          <w:lang w:val="en-US"/>
        </w:rPr>
      </w:pPr>
    </w:p>
    <w:p w:rsidR="00F37E1F" w:rsidRDefault="00F37E1F" w:rsidP="004B4C24">
      <w:pPr>
        <w:rPr>
          <w:sz w:val="20"/>
          <w:lang w:val="en-US"/>
        </w:rPr>
      </w:pPr>
    </w:p>
    <w:p w:rsidR="00F37E1F" w:rsidRPr="00647908" w:rsidRDefault="00F37E1F" w:rsidP="00F37E1F">
      <w:pPr>
        <w:rPr>
          <w:b/>
          <w:sz w:val="20"/>
          <w:lang w:val="en-US"/>
        </w:rPr>
      </w:pPr>
      <w:r w:rsidRPr="00F702E2">
        <w:rPr>
          <w:b/>
          <w:sz w:val="20"/>
          <w:lang w:val="en-US"/>
        </w:rPr>
        <w:t>25.9.3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3A979E20" wp14:editId="659A0505">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AEF" w:rsidRDefault="00107AEF"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107AEF" w:rsidRDefault="00107AEF"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60BF7106" wp14:editId="2B5FD5B6">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16967B7D" wp14:editId="260C321E">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107AEF" w:rsidRDefault="00107AEF"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107AEF" w:rsidRDefault="00107AEF"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3CEB7C38" wp14:editId="31094996">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107AEF" w:rsidRDefault="00107AEF"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107AEF" w:rsidRDefault="00107AEF"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847535" w:rsidP="00847535">
      <w:pPr>
        <w:rPr>
          <w:b/>
          <w:sz w:val="20"/>
          <w:lang w:val="en-US"/>
        </w:rPr>
      </w:pPr>
      <w:r w:rsidRPr="00F702E2">
        <w:rPr>
          <w:b/>
          <w:sz w:val="20"/>
          <w:lang w:val="en-US"/>
        </w:rPr>
        <w:t>25.9.3</w:t>
      </w:r>
      <w:r w:rsidR="00144089">
        <w:rPr>
          <w:b/>
          <w:sz w:val="20"/>
          <w:lang w:val="en-US"/>
        </w:rPr>
        <w:t>.</w:t>
      </w:r>
      <w:r w:rsidR="00DF76AA">
        <w:rPr>
          <w:b/>
          <w:sz w:val="20"/>
          <w:lang w:val="en-US"/>
        </w:rPr>
        <w:t>2</w:t>
      </w:r>
      <w:r>
        <w:rPr>
          <w:b/>
          <w:sz w:val="20"/>
          <w:lang w:val="en-US"/>
        </w:rPr>
        <w:t xml:space="preserve">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w:t>
      </w:r>
      <w:r w:rsidR="00237BC1">
        <w:rPr>
          <w:sz w:val="20"/>
          <w:lang w:val="en-US"/>
        </w:rPr>
        <w:t xml:space="preserve">three </w:t>
      </w:r>
      <w:r>
        <w:rPr>
          <w:sz w:val="20"/>
          <w:lang w:val="en-US"/>
        </w:rPr>
        <w:t>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E20F4" w:rsidP="00847535">
      <w:pPr>
        <w:pStyle w:val="ListParagraph"/>
        <w:numPr>
          <w:ilvl w:val="1"/>
          <w:numId w:val="47"/>
        </w:numPr>
        <w:ind w:leftChars="0"/>
        <w:rPr>
          <w:sz w:val="20"/>
          <w:lang w:val="en-US"/>
        </w:rPr>
      </w:pPr>
      <w:r>
        <w:rPr>
          <w:sz w:val="20"/>
          <w:lang w:val="en-US"/>
        </w:rPr>
        <w:t>T</w:t>
      </w:r>
      <w:r w:rsidR="00847535">
        <w:rPr>
          <w:sz w:val="20"/>
        </w:rPr>
        <w:t>here was no</w:t>
      </w:r>
      <w:r w:rsidR="00847535" w:rsidRPr="00CF754C">
        <w:rPr>
          <w:sz w:val="20"/>
          <w:lang w:val="en-US"/>
        </w:rPr>
        <w:t xml:space="preserve"> PHY-</w:t>
      </w:r>
      <w:proofErr w:type="spellStart"/>
      <w:r w:rsidR="00847535" w:rsidRPr="00CF754C">
        <w:rPr>
          <w:sz w:val="20"/>
          <w:lang w:val="en-US"/>
        </w:rPr>
        <w:t>CCA.indication</w:t>
      </w:r>
      <w:proofErr w:type="spellEnd"/>
      <w:r w:rsidR="00847535" w:rsidRPr="00CF754C">
        <w:rPr>
          <w:sz w:val="20"/>
          <w:lang w:val="en-US"/>
        </w:rPr>
        <w:t xml:space="preserve"> transition from BUSY to IDLE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e</w:t>
      </w:r>
      <w:r w:rsidR="00987F7B">
        <w:rPr>
          <w:sz w:val="20"/>
          <w:lang w:val="en-US"/>
        </w:rPr>
        <w:t xml:space="preserve"> T</w:t>
      </w:r>
      <w:r w:rsidR="00847535">
        <w:rPr>
          <w:sz w:val="20"/>
          <w:lang w:val="en-US"/>
        </w:rPr>
        <w:t>SRP_PPDU</w:t>
      </w:r>
    </w:p>
    <w:p w:rsidR="001927CD" w:rsidRPr="00E66019" w:rsidRDefault="008E20F4" w:rsidP="00E66019">
      <w:pPr>
        <w:pStyle w:val="ListParagraph"/>
        <w:numPr>
          <w:ilvl w:val="1"/>
          <w:numId w:val="47"/>
        </w:numPr>
        <w:ind w:leftChars="0"/>
        <w:rPr>
          <w:sz w:val="20"/>
          <w:lang w:val="en-US"/>
        </w:rPr>
      </w:pPr>
      <w:r>
        <w:rPr>
          <w:sz w:val="20"/>
        </w:rPr>
        <w:t>At</w:t>
      </w:r>
      <w:bookmarkStart w:id="0" w:name="_GoBack"/>
      <w:bookmarkEnd w:id="0"/>
      <w:r w:rsidR="00847535" w:rsidRPr="006F48CD">
        <w:rPr>
          <w:sz w:val="20"/>
        </w:rPr>
        <w:t xml:space="preserve"> least one</w:t>
      </w:r>
      <w:r w:rsidR="00847535" w:rsidRPr="006F48CD">
        <w:rPr>
          <w:sz w:val="20"/>
          <w:lang w:val="en-US"/>
        </w:rPr>
        <w:t xml:space="preserve"> PHY-</w:t>
      </w:r>
      <w:proofErr w:type="spellStart"/>
      <w:r w:rsidR="00847535" w:rsidRPr="006F48CD">
        <w:rPr>
          <w:sz w:val="20"/>
          <w:lang w:val="en-US"/>
        </w:rPr>
        <w:t>CCA.indication</w:t>
      </w:r>
      <w:proofErr w:type="spellEnd"/>
      <w:r w:rsidR="00847535" w:rsidRPr="006F48CD">
        <w:rPr>
          <w:sz w:val="20"/>
          <w:lang w:val="en-US"/>
        </w:rPr>
        <w:t xml:space="preserve"> transition from BUSY to IDLE occurred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 xml:space="preserve">e </w:t>
      </w:r>
      <w:r w:rsidR="00987F7B">
        <w:rPr>
          <w:sz w:val="20"/>
          <w:lang w:val="en-US"/>
        </w:rPr>
        <w:t>T</w:t>
      </w:r>
      <w:r w:rsidR="00847535">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w:t>
      </w:r>
      <w:r w:rsidR="00AC26D8">
        <w:rPr>
          <w:sz w:val="20"/>
          <w:lang w:val="en-US"/>
        </w:rPr>
        <w:t xml:space="preserve">if condition 2.b. is true, </w:t>
      </w:r>
      <w:r w:rsidR="005F4EC7">
        <w:rPr>
          <w:sz w:val="20"/>
          <w:lang w:val="en-US"/>
        </w:rPr>
        <w:t>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AC26D8">
        <w:rPr>
          <w:sz w:val="20"/>
          <w:lang w:val="en-US"/>
        </w:rPr>
        <w:t xml:space="preserve">If condition 2.a is true, the STA </w:t>
      </w:r>
      <w:r w:rsidR="00AC26D8">
        <w:rPr>
          <w:sz w:val="20"/>
          <w:lang w:val="en-US"/>
        </w:rPr>
        <w:t>may eschew the</w:t>
      </w:r>
      <w:r w:rsidR="00AC26D8" w:rsidRPr="00471477">
        <w:rPr>
          <w:sz w:val="20"/>
          <w:lang w:val="en-US"/>
        </w:rPr>
        <w:t xml:space="preserve"> NAV</w:t>
      </w:r>
      <w:r w:rsidR="00AC26D8">
        <w:rPr>
          <w:sz w:val="20"/>
          <w:lang w:val="en-US"/>
        </w:rPr>
        <w:t xml:space="preserve"> update operations normally executed based on the receipt of the RXVECTOR parameter TXOP_DURATION and the Trigger MPDU DUR field value</w:t>
      </w:r>
      <w:r w:rsidR="00AC26D8">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427DC650" wp14:editId="6E2DC892">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B74739" w:rsidRDefault="00B74739"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6D7488B7" wp14:editId="2AADC21A">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66FC2F64" wp14:editId="73B30842">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3650D2A0" wp14:editId="55AD0756">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B74739" w:rsidRDefault="00B74739"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B74739" w:rsidRDefault="00B74739"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69FF4575" wp14:editId="011883D5">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Pr="00471477" w:rsidRDefault="00B74739"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B74739" w:rsidRPr="00471477" w:rsidRDefault="00B74739"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24862C31" wp14:editId="4A5A14EA">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BF6C32" w:rsidRPr="00647908" w:rsidRDefault="00BF6C32" w:rsidP="00BF6C32">
      <w:pPr>
        <w:rPr>
          <w:b/>
          <w:sz w:val="20"/>
          <w:lang w:val="en-US"/>
        </w:rPr>
      </w:pPr>
      <w:r w:rsidRPr="00F702E2">
        <w:rPr>
          <w:b/>
          <w:sz w:val="20"/>
          <w:lang w:val="en-US"/>
        </w:rPr>
        <w:t>25.9.3</w:t>
      </w:r>
      <w:r>
        <w:rPr>
          <w:b/>
          <w:sz w:val="20"/>
          <w:lang w:val="en-US"/>
        </w:rPr>
        <w:t>.</w:t>
      </w:r>
      <w:r w:rsidR="00DF76AA">
        <w:rPr>
          <w:b/>
          <w:sz w:val="20"/>
          <w:lang w:val="en-US"/>
        </w:rPr>
        <w:t>3</w:t>
      </w:r>
      <w:r>
        <w:rPr>
          <w:b/>
          <w:sz w:val="20"/>
          <w:lang w:val="en-US"/>
        </w:rPr>
        <w:t xml:space="preserve">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either 25.9.3.1 (DSRP_PPDU-based spatial reuse initiation) or 25.9.3.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Pr>
          <w:sz w:val="20"/>
          <w:lang w:val="en-US"/>
        </w:rPr>
        <w:t xml:space="preserve"> 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w:t>
      </w:r>
      <w:r>
        <w:rPr>
          <w:sz w:val="20"/>
          <w:lang w:val="en-US"/>
        </w:rPr>
        <w:lastRenderedPageBreak/>
        <w:t xml:space="preserve">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w:t>
      </w:r>
      <w:r w:rsidR="002D7ABE">
        <w:rPr>
          <w:sz w:val="20"/>
          <w:lang w:val="en-US"/>
        </w:rPr>
        <w:t>T</w:t>
      </w:r>
      <w:r>
        <w:rPr>
          <w:sz w:val="20"/>
          <w:lang w:val="en-US"/>
        </w:rPr>
        <w:t xml:space="preserve">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within</w:t>
      </w:r>
      <w:r w:rsidR="00E7243A">
        <w:rPr>
          <w:sz w:val="20"/>
          <w:lang w:val="en-US"/>
        </w:rPr>
        <w:t xml:space="preserve">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Pr>
          <w:sz w:val="20"/>
          <w:highlight w:val="yellow"/>
          <w:lang w:val="en-US"/>
        </w:rPr>
        <w:t xml:space="preserve">After a STA has identified the start of an SRP Opportunity, and until the SRP Opportunity Endpoint is reached, the transmission of any </w:t>
      </w:r>
      <w:r w:rsidRPr="00070283">
        <w:rPr>
          <w:sz w:val="20"/>
          <w:highlight w:val="yellow"/>
          <w:lang w:val="en-US"/>
        </w:rPr>
        <w:t xml:space="preserve">PPDU </w:t>
      </w:r>
      <w:r>
        <w:rPr>
          <w:sz w:val="20"/>
          <w:highlight w:val="yellow"/>
          <w:lang w:val="en-US"/>
        </w:rPr>
        <w:t xml:space="preserve">by the STA </w:t>
      </w:r>
      <w:r w:rsidRPr="00070283">
        <w:rPr>
          <w:sz w:val="20"/>
          <w:highlight w:val="yellow"/>
          <w:lang w:val="en-US"/>
        </w:rPr>
        <w:t>shall be limited by the transmit power restrictions identified in 25.9.3 (SRP-based spatial reuse operation).</w:t>
      </w:r>
    </w:p>
    <w:p w:rsidR="00BF6C32" w:rsidRDefault="00BF6C32" w:rsidP="00BF6C32">
      <w:pPr>
        <w:rPr>
          <w:sz w:val="20"/>
          <w:lang w:val="en-US"/>
        </w:rPr>
      </w:pPr>
    </w:p>
    <w:p w:rsidR="00BF6C32" w:rsidRDefault="00BF6C32" w:rsidP="00BF6C32">
      <w:pPr>
        <w:rPr>
          <w:sz w:val="20"/>
          <w:lang w:val="en-US"/>
        </w:rPr>
      </w:pPr>
      <w:r>
        <w:rPr>
          <w:sz w:val="20"/>
          <w:lang w:val="en-US"/>
        </w:rPr>
        <w:t xml:space="preserve">An </w:t>
      </w:r>
      <w:r w:rsidRPr="00AC4B40">
        <w:rPr>
          <w:sz w:val="20"/>
          <w:lang w:val="en-US"/>
        </w:rPr>
        <w:t xml:space="preserve">AP </w:t>
      </w:r>
      <w:r w:rsidR="00E20963">
        <w:rPr>
          <w:sz w:val="20"/>
          <w:lang w:val="en-US"/>
        </w:rPr>
        <w:t xml:space="preserve">with dot11HESRPOptionImplemented set to true that transmits a </w:t>
      </w:r>
      <w:r w:rsidRPr="00AC4B40">
        <w:rPr>
          <w:sz w:val="20"/>
          <w:lang w:val="en-US"/>
        </w:rPr>
        <w:t>trigger frame</w:t>
      </w:r>
      <w:r>
        <w:rPr>
          <w:sz w:val="20"/>
          <w:lang w:val="en-US"/>
        </w:rPr>
        <w:t xml:space="preserve"> </w:t>
      </w:r>
      <w:r w:rsidR="001053C6">
        <w:rPr>
          <w:sz w:val="20"/>
          <w:lang w:val="en-US"/>
        </w:rPr>
        <w:t>may</w:t>
      </w:r>
      <w:r>
        <w:rPr>
          <w:sz w:val="20"/>
          <w:lang w:val="en-US"/>
        </w:rPr>
        <w:t xml:space="preserve"> determine the value of the Spatial Reuse field value to be placed into the Common Info field of the trigger frame in each 20MHz bandwidth for 20MHz, 40MHz, 80 MHz PPDU or in each 40MHz bandwidth for 80+80 or 160 MHz PPDU by selecting the row in Table 26-19 (Spatial Reuse subfield encoding) that has a numerical value in the column labeled “Meaning” that is the highest value that is equal to or below the value of the computed MAC parameter SRP_INPUT as follows:</w:t>
      </w:r>
    </w:p>
    <w:p w:rsidR="00BF6C32" w:rsidRDefault="00BF6C32" w:rsidP="00BF6C32">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BF6C32" w:rsidRDefault="00BF6C32" w:rsidP="00BF6C32">
      <w:pPr>
        <w:pStyle w:val="ListParagraph"/>
        <w:numPr>
          <w:ilvl w:val="0"/>
          <w:numId w:val="29"/>
        </w:numPr>
        <w:ind w:leftChars="0"/>
        <w:rPr>
          <w:sz w:val="20"/>
          <w:lang w:val="en-US"/>
        </w:rPr>
      </w:pPr>
      <w:r>
        <w:rPr>
          <w:sz w:val="20"/>
          <w:lang w:val="en-US"/>
        </w:rPr>
        <w:t>where</w:t>
      </w:r>
    </w:p>
    <w:p w:rsidR="00BF6C32" w:rsidRDefault="00BF6C32" w:rsidP="00BF6C32">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BF6C32" w:rsidRDefault="00BF6C32" w:rsidP="00BF6C32">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w:t>
      </w:r>
      <w:r w:rsidR="00E20963">
        <w:rPr>
          <w:sz w:val="20"/>
          <w:lang w:val="en-US"/>
        </w:rPr>
        <w:t>should</w:t>
      </w:r>
      <w:r>
        <w:rPr>
          <w:sz w:val="20"/>
          <w:lang w:val="en-US"/>
        </w:rPr>
        <w:t xml:space="preserve"> be set</w:t>
      </w:r>
      <w:r w:rsidRPr="00F07352">
        <w:rPr>
          <w:sz w:val="20"/>
          <w:lang w:val="en-US"/>
        </w:rPr>
        <w:t xml:space="preserve"> to the ambient noise </w:t>
      </w:r>
      <w:r w:rsidR="007E38AD">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sidR="00E7243A">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943A02" w:rsidRDefault="00943A02" w:rsidP="00943A02">
      <w:pPr>
        <w:rPr>
          <w:rFonts w:eastAsia="Times New Roman"/>
          <w:color w:val="000000"/>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1053C6">
      <w:pPr>
        <w:rPr>
          <w:sz w:val="20"/>
          <w:lang w:val="en-US"/>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943A02">
      <w:pPr>
        <w:rPr>
          <w:rFonts w:eastAsia="Times New Roman"/>
          <w:color w:val="000000"/>
        </w:rPr>
      </w:pPr>
    </w:p>
    <w:p w:rsidR="001053C6" w:rsidRDefault="001053C6" w:rsidP="00943A02">
      <w:pPr>
        <w:rPr>
          <w:rFonts w:eastAsia="Times New Roman"/>
          <w:color w:val="000000"/>
        </w:rPr>
      </w:pPr>
    </w:p>
    <w:p w:rsidR="00943A02" w:rsidRDefault="00943A02" w:rsidP="00943A02">
      <w:pPr>
        <w:rPr>
          <w:b/>
          <w:i/>
          <w:sz w:val="22"/>
          <w:highlight w:val="yellow"/>
        </w:rPr>
      </w:pPr>
      <w:r w:rsidRPr="00D12CD5">
        <w:rPr>
          <w:b/>
          <w:i/>
          <w:sz w:val="22"/>
          <w:highlight w:val="yellow"/>
        </w:rPr>
        <w:t>Instruct the editor to include</w:t>
      </w:r>
      <w:r>
        <w:rPr>
          <w:b/>
          <w:i/>
          <w:sz w:val="22"/>
          <w:highlight w:val="yellow"/>
        </w:rPr>
        <w:t xml:space="preserve"> the following new </w:t>
      </w:r>
      <w:proofErr w:type="spellStart"/>
      <w:r>
        <w:rPr>
          <w:b/>
          <w:i/>
          <w:sz w:val="22"/>
          <w:highlight w:val="yellow"/>
        </w:rPr>
        <w:t>subclause</w:t>
      </w:r>
      <w:proofErr w:type="spellEnd"/>
      <w:r>
        <w:rPr>
          <w:b/>
          <w:i/>
          <w:sz w:val="22"/>
          <w:highlight w:val="yellow"/>
        </w:rPr>
        <w:t xml:space="preserve"> in the </w:t>
      </w:r>
      <w:proofErr w:type="spellStart"/>
      <w:r>
        <w:rPr>
          <w:b/>
          <w:i/>
          <w:sz w:val="22"/>
          <w:highlight w:val="yellow"/>
        </w:rPr>
        <w:t>TGax</w:t>
      </w:r>
      <w:proofErr w:type="spellEnd"/>
      <w:r>
        <w:rPr>
          <w:b/>
          <w:i/>
          <w:sz w:val="22"/>
          <w:highlight w:val="yellow"/>
        </w:rPr>
        <w:t xml:space="preserve"> draft:</w:t>
      </w:r>
    </w:p>
    <w:p w:rsidR="00943A02" w:rsidRPr="00EE71EF" w:rsidRDefault="00943A02" w:rsidP="00943A02">
      <w:pPr>
        <w:rPr>
          <w:sz w:val="20"/>
        </w:rPr>
      </w:pPr>
    </w:p>
    <w:p w:rsidR="00943A02" w:rsidRDefault="00943A02" w:rsidP="00943A02">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943A02" w:rsidRPr="00471477" w:rsidRDefault="00943A02" w:rsidP="00471477">
      <w:pPr>
        <w:rPr>
          <w:sz w:val="20"/>
          <w:lang w:val="en-US"/>
        </w:rPr>
      </w:pPr>
    </w:p>
    <w:p w:rsidR="00DD2FB0" w:rsidRDefault="00797A22" w:rsidP="00383AAF">
      <w:pPr>
        <w:rPr>
          <w:sz w:val="20"/>
          <w:lang w:val="en-US"/>
        </w:rPr>
      </w:pPr>
      <w:r>
        <w:rPr>
          <w:sz w:val="20"/>
          <w:lang w:val="en-US"/>
        </w:rPr>
        <w:t xml:space="preserve">An </w:t>
      </w:r>
      <w:r w:rsidR="006E195A">
        <w:rPr>
          <w:sz w:val="20"/>
          <w:lang w:val="en-US"/>
        </w:rPr>
        <w:t xml:space="preserve">AP </w:t>
      </w:r>
      <w:r>
        <w:rPr>
          <w:sz w:val="20"/>
          <w:lang w:val="en-US"/>
        </w:rPr>
        <w:t xml:space="preserve">sending a trigger frame </w:t>
      </w:r>
      <w:r w:rsidR="00B509F8">
        <w:rPr>
          <w:sz w:val="20"/>
          <w:lang w:val="en-US"/>
        </w:rPr>
        <w:t xml:space="preserve">may </w:t>
      </w:r>
      <w:r w:rsidR="006E195A">
        <w:rPr>
          <w:sz w:val="20"/>
          <w:lang w:val="en-US"/>
        </w:rPr>
        <w:t xml:space="preserve">set the SR field </w:t>
      </w:r>
      <w:r w:rsidR="00120AA0" w:rsidRPr="00120AA0">
        <w:rPr>
          <w:sz w:val="20"/>
          <w:lang w:val="en-US"/>
        </w:rPr>
        <w:t>in the Common Info field of the trigger frame</w:t>
      </w:r>
      <w:r>
        <w:rPr>
          <w:sz w:val="20"/>
          <w:lang w:val="en-US"/>
        </w:rPr>
        <w:t xml:space="preserve"> </w:t>
      </w:r>
      <w:r w:rsidR="006E195A">
        <w:rPr>
          <w:sz w:val="20"/>
          <w:lang w:val="en-US"/>
        </w:rPr>
        <w:t>to SR_</w:t>
      </w:r>
      <w:r w:rsidR="00E07E20">
        <w:rPr>
          <w:sz w:val="20"/>
          <w:lang w:val="en-US"/>
        </w:rPr>
        <w:t>DISALLOW</w:t>
      </w:r>
      <w:r w:rsidR="006E195A">
        <w:rPr>
          <w:sz w:val="20"/>
          <w:lang w:val="en-US"/>
        </w:rPr>
        <w:t xml:space="preserve"> to </w:t>
      </w:r>
      <w:r w:rsidR="007E0339">
        <w:rPr>
          <w:sz w:val="20"/>
          <w:lang w:val="en-US"/>
        </w:rPr>
        <w:t xml:space="preserve">forbid </w:t>
      </w:r>
      <w:r w:rsidR="006E195A">
        <w:rPr>
          <w:sz w:val="20"/>
          <w:lang w:val="en-US"/>
        </w:rPr>
        <w:t>OBSS STA</w:t>
      </w:r>
      <w:r w:rsidR="00B509F8">
        <w:rPr>
          <w:sz w:val="20"/>
          <w:lang w:val="en-US"/>
        </w:rPr>
        <w:t>s</w:t>
      </w:r>
      <w:r w:rsidR="006E195A">
        <w:rPr>
          <w:sz w:val="20"/>
          <w:lang w:val="en-US"/>
        </w:rPr>
        <w:t xml:space="preserve"> from performing SRP-based SR transmission during the ensuing uplink </w:t>
      </w:r>
      <w:r w:rsidR="009C5BA9">
        <w:rPr>
          <w:sz w:val="20"/>
          <w:lang w:val="en-US"/>
        </w:rPr>
        <w:t>SRP_</w:t>
      </w:r>
      <w:r w:rsidR="006E195A">
        <w:rPr>
          <w:sz w:val="20"/>
          <w:lang w:val="en-US"/>
        </w:rPr>
        <w:t>PPDU</w:t>
      </w:r>
      <w:r w:rsidR="00B509F8">
        <w:rPr>
          <w:sz w:val="20"/>
          <w:lang w:val="en-US"/>
        </w:rPr>
        <w:t xml:space="preserve"> duration</w:t>
      </w:r>
      <w:r w:rsidR="006E195A">
        <w:rPr>
          <w:sz w:val="20"/>
          <w:lang w:val="en-US"/>
        </w:rPr>
        <w:t>.</w:t>
      </w:r>
    </w:p>
    <w:p w:rsidR="00DD2FB0" w:rsidRDefault="00DD2FB0" w:rsidP="00383AAF">
      <w:pPr>
        <w:rPr>
          <w:sz w:val="20"/>
          <w:lang w:val="en-US"/>
        </w:rPr>
      </w:pPr>
    </w:p>
    <w:p w:rsidR="00DD2FB0" w:rsidRDefault="00DD2FB0" w:rsidP="00383AAF">
      <w:pPr>
        <w:rPr>
          <w:sz w:val="20"/>
          <w:lang w:val="en-US"/>
        </w:rPr>
      </w:pPr>
      <w:r w:rsidRPr="00383AAF">
        <w:rPr>
          <w:sz w:val="20"/>
          <w:lang w:val="en-US"/>
        </w:rPr>
        <w:t>A</w:t>
      </w:r>
      <w:r>
        <w:rPr>
          <w:sz w:val="20"/>
          <w:lang w:val="en-US"/>
        </w:rPr>
        <w:t>n AP</w:t>
      </w:r>
      <w:r>
        <w:rPr>
          <w:sz w:val="20"/>
          <w:lang w:val="en-US"/>
        </w:rPr>
        <w:t xml:space="preserve"> 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w:t>
      </w:r>
      <w:r>
        <w:rPr>
          <w:sz w:val="20"/>
          <w:lang w:val="en-US"/>
        </w:rPr>
        <w:t xml:space="preserve"> </w:t>
      </w:r>
      <w:r>
        <w:rPr>
          <w:sz w:val="20"/>
          <w:lang w:val="en-US"/>
        </w:rPr>
        <w:t>should</w:t>
      </w:r>
      <w:r w:rsidRPr="00383AAF">
        <w:rPr>
          <w:sz w:val="20"/>
          <w:lang w:val="en-US"/>
        </w:rPr>
        <w:t xml:space="preserve"> set the TXVECTOR parameter </w:t>
      </w:r>
      <w:r>
        <w:rPr>
          <w:sz w:val="20"/>
          <w:lang w:val="en-US"/>
        </w:rPr>
        <w:t>SPATIAL_REUSE to SR_DISALLOW</w:t>
      </w:r>
      <w:r w:rsidRPr="00383AAF">
        <w:rPr>
          <w:sz w:val="20"/>
          <w:lang w:val="en-US"/>
        </w:rPr>
        <w:t>.</w:t>
      </w:r>
    </w:p>
    <w:p w:rsidR="00B947D1" w:rsidRDefault="00B947D1" w:rsidP="00AC4B40">
      <w:pPr>
        <w:rPr>
          <w:sz w:val="20"/>
          <w:lang w:val="en-US"/>
        </w:rPr>
      </w:pPr>
    </w:p>
    <w:p w:rsidR="006A0AF0" w:rsidRDefault="00E20963" w:rsidP="007608D9">
      <w:pPr>
        <w:rPr>
          <w:sz w:val="20"/>
          <w:lang w:val="en-US"/>
        </w:rPr>
      </w:pPr>
      <w:proofErr w:type="spellStart"/>
      <w:r>
        <w:rPr>
          <w:sz w:val="20"/>
          <w:lang w:val="en-US"/>
        </w:rPr>
        <w:t>An</w:t>
      </w:r>
      <w:proofErr w:type="spellEnd"/>
      <w:r>
        <w:rPr>
          <w:sz w:val="20"/>
          <w:lang w:val="en-US"/>
        </w:rPr>
        <w:t xml:space="preserve"> HE STA with dot11HESRPOptionImplemented set to true that transmits </w:t>
      </w:r>
      <w:proofErr w:type="spellStart"/>
      <w:r w:rsidR="007608D9">
        <w:rPr>
          <w:sz w:val="20"/>
          <w:lang w:val="en-US"/>
        </w:rPr>
        <w:t>an</w:t>
      </w:r>
      <w:proofErr w:type="spellEnd"/>
      <w:r w:rsidR="007608D9">
        <w:rPr>
          <w:sz w:val="20"/>
          <w:lang w:val="en-US"/>
        </w:rPr>
        <w:t xml:space="preserve"> </w:t>
      </w:r>
      <w:r w:rsidR="00741FC7">
        <w:rPr>
          <w:sz w:val="20"/>
          <w:lang w:val="en-US"/>
        </w:rPr>
        <w:t>HE Trigger-based PPDU</w:t>
      </w:r>
      <w:r w:rsidR="00D150CF">
        <w:rPr>
          <w:sz w:val="20"/>
          <w:lang w:val="en-US"/>
        </w:rPr>
        <w:t xml:space="preserve"> </w:t>
      </w:r>
      <w:r w:rsidR="007608D9">
        <w:rPr>
          <w:sz w:val="20"/>
          <w:lang w:val="en-US"/>
        </w:rPr>
        <w:t>determine</w:t>
      </w:r>
      <w:r w:rsidR="006A0AF0">
        <w:rPr>
          <w:sz w:val="20"/>
          <w:lang w:val="en-US"/>
        </w:rPr>
        <w:t>s</w:t>
      </w:r>
      <w:r w:rsidR="007608D9">
        <w:rPr>
          <w:sz w:val="20"/>
          <w:lang w:val="en-US"/>
        </w:rPr>
        <w:t xml:space="preserve"> the value of the TXVECTOR parameter SPATIAL_REUSE </w:t>
      </w:r>
      <w:r w:rsidR="006A0AF0">
        <w:rPr>
          <w:sz w:val="20"/>
          <w:lang w:val="en-US"/>
        </w:rPr>
        <w:t>as 25.5.2.3 (STA behavior).</w:t>
      </w:r>
    </w:p>
    <w:p w:rsidR="007608D9" w:rsidRDefault="007608D9" w:rsidP="007608D9">
      <w:pPr>
        <w:rPr>
          <w:sz w:val="20"/>
          <w:lang w:val="en-US"/>
        </w:rPr>
      </w:pPr>
    </w:p>
    <w:p w:rsidR="007608D9" w:rsidRDefault="007608D9" w:rsidP="007608D9">
      <w:pPr>
        <w:rPr>
          <w:sz w:val="20"/>
          <w:lang w:val="en-US"/>
        </w:rPr>
      </w:pPr>
      <w:r>
        <w:rPr>
          <w:sz w:val="20"/>
          <w:lang w:val="en-US"/>
        </w:rPr>
        <w:t xml:space="preserve">An AP may set the TXVECTOR parameter SPATIAL_REUSE of an MSDU, A-MPDU or MMPDU to the value SR_DISALLOW to </w:t>
      </w:r>
      <w:r w:rsidR="00EC375B">
        <w:rPr>
          <w:sz w:val="20"/>
          <w:lang w:val="en-US"/>
        </w:rPr>
        <w:t>forbid</w:t>
      </w:r>
      <w:r>
        <w:rPr>
          <w:sz w:val="20"/>
          <w:lang w:val="en-US"/>
        </w:rPr>
        <w:t xml:space="preserve"> OBSS STAs from performing SRP-based SR transmission during the duration of the corresponding </w:t>
      </w:r>
      <w:r w:rsidR="0026422E">
        <w:rPr>
          <w:sz w:val="20"/>
          <w:lang w:val="en-US"/>
        </w:rPr>
        <w:t xml:space="preserve">HE SU, HE ER, </w:t>
      </w:r>
      <w:r w:rsidR="00D736E5">
        <w:rPr>
          <w:sz w:val="20"/>
          <w:lang w:val="en-US"/>
        </w:rPr>
        <w:t>or</w:t>
      </w:r>
      <w:r w:rsidR="0026422E">
        <w:rPr>
          <w:sz w:val="20"/>
          <w:lang w:val="en-US"/>
        </w:rPr>
        <w:t xml:space="preserve"> HE MU</w:t>
      </w:r>
      <w:r w:rsidR="00D736E5">
        <w:rPr>
          <w:sz w:val="20"/>
          <w:lang w:val="en-US"/>
        </w:rPr>
        <w:t xml:space="preserve"> PPDU</w:t>
      </w:r>
      <w:r>
        <w:rPr>
          <w:sz w:val="20"/>
          <w:lang w:val="en-US"/>
        </w:rPr>
        <w:t xml:space="preserve">. An AP shall set the TXVECTOR parameter SPATIAL_REUSE to SR_DISALLOW of an NDP PPDU. </w:t>
      </w:r>
    </w:p>
    <w:p w:rsidR="00943A02" w:rsidRDefault="00943A02" w:rsidP="007608D9">
      <w:pPr>
        <w:rPr>
          <w:sz w:val="20"/>
          <w:lang w:val="en-US"/>
        </w:rPr>
      </w:pPr>
    </w:p>
    <w:p w:rsidR="000D7EC5" w:rsidRDefault="000D7EC5"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40" w:rsidRDefault="00566240">
      <w:r>
        <w:separator/>
      </w:r>
    </w:p>
  </w:endnote>
  <w:endnote w:type="continuationSeparator" w:id="0">
    <w:p w:rsidR="00566240" w:rsidRDefault="0056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566240">
    <w:pPr>
      <w:pStyle w:val="Footer"/>
      <w:tabs>
        <w:tab w:val="clear" w:pos="6480"/>
        <w:tab w:val="center" w:pos="4680"/>
        <w:tab w:val="right" w:pos="9360"/>
      </w:tabs>
    </w:pPr>
    <w:r>
      <w:fldChar w:fldCharType="begin"/>
    </w:r>
    <w:r>
      <w:instrText xml:space="preserve"> SUBJECT  \* MERGEFORMAT </w:instrText>
    </w:r>
    <w:r>
      <w:fldChar w:fldCharType="separate"/>
    </w:r>
    <w:r w:rsidR="000B28B8">
      <w:t>Submission</w:t>
    </w:r>
    <w:r>
      <w:fldChar w:fldCharType="end"/>
    </w:r>
    <w:r w:rsidR="007E40A2">
      <w:tab/>
      <w:t xml:space="preserve">page </w:t>
    </w:r>
    <w:r w:rsidR="00FA3E5C">
      <w:fldChar w:fldCharType="begin"/>
    </w:r>
    <w:r w:rsidR="007E40A2">
      <w:instrText xml:space="preserve">page </w:instrText>
    </w:r>
    <w:r w:rsidR="00FA3E5C">
      <w:fldChar w:fldCharType="separate"/>
    </w:r>
    <w:r w:rsidR="008E20F4">
      <w:rPr>
        <w:noProof/>
      </w:rPr>
      <w:t>4</w:t>
    </w:r>
    <w:r w:rsidR="00FA3E5C">
      <w:rPr>
        <w:noProof/>
      </w:rPr>
      <w:fldChar w:fldCharType="end"/>
    </w:r>
    <w:r w:rsidR="007E40A2">
      <w:tab/>
    </w:r>
    <w:r w:rsidR="007E40A2">
      <w:rPr>
        <w:rFonts w:eastAsia="SimSun" w:hint="eastAsia"/>
        <w:lang w:eastAsia="zh-CN"/>
      </w:rPr>
      <w:t xml:space="preserve">          </w:t>
    </w:r>
    <w:r w:rsidR="000B28B8">
      <w:rPr>
        <w:rFonts w:eastAsia="SimSun"/>
        <w:sz w:val="21"/>
        <w:szCs w:val="21"/>
        <w:lang w:eastAsia="zh-CN"/>
      </w:rPr>
      <w:fldChar w:fldCharType="begin"/>
    </w:r>
    <w:r w:rsidR="000B28B8">
      <w:rPr>
        <w:rFonts w:eastAsia="SimSun"/>
        <w:sz w:val="21"/>
        <w:szCs w:val="21"/>
        <w:lang w:eastAsia="zh-CN"/>
      </w:rPr>
      <w:instrText xml:space="preserve"> AUTHOR   \* MERGEFORMAT </w:instrText>
    </w:r>
    <w:r w:rsidR="000B28B8">
      <w:rPr>
        <w:rFonts w:eastAsia="SimSun"/>
        <w:sz w:val="21"/>
        <w:szCs w:val="21"/>
        <w:lang w:eastAsia="zh-CN"/>
      </w:rPr>
      <w:fldChar w:fldCharType="separate"/>
    </w:r>
    <w:r w:rsidR="000B28B8">
      <w:rPr>
        <w:rFonts w:eastAsia="SimSun"/>
        <w:noProof/>
        <w:sz w:val="21"/>
        <w:szCs w:val="21"/>
        <w:lang w:eastAsia="zh-CN"/>
      </w:rPr>
      <w:t>Matthew Fischer, Broadcom</w:t>
    </w:r>
    <w:r w:rsidR="000B28B8">
      <w:rPr>
        <w:rFonts w:eastAsia="SimSun"/>
        <w:sz w:val="21"/>
        <w:szCs w:val="21"/>
        <w:lang w:eastAsia="zh-CN"/>
      </w:rPr>
      <w:fldChar w:fldCharType="end"/>
    </w:r>
  </w:p>
  <w:p w:rsidR="007E40A2" w:rsidRPr="0013508C" w:rsidRDefault="007E4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40" w:rsidRDefault="00566240">
      <w:r>
        <w:separator/>
      </w:r>
    </w:p>
  </w:footnote>
  <w:footnote w:type="continuationSeparator" w:id="0">
    <w:p w:rsidR="00566240" w:rsidRDefault="00566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566240">
    <w:pPr>
      <w:pStyle w:val="Header"/>
      <w:tabs>
        <w:tab w:val="clear" w:pos="6480"/>
        <w:tab w:val="center" w:pos="4680"/>
        <w:tab w:val="right" w:pos="9360"/>
      </w:tabs>
    </w:pPr>
    <w:r>
      <w:fldChar w:fldCharType="begin"/>
    </w:r>
    <w:r>
      <w:instrText xml:space="preserve"> KEYWORDS   \* MERGEFORMAT </w:instrText>
    </w:r>
    <w:r>
      <w:fldChar w:fldCharType="separate"/>
    </w:r>
    <w:r w:rsidR="00D06E9F">
      <w:t>November 2016</w:t>
    </w:r>
    <w:r>
      <w:fldChar w:fldCharType="end"/>
    </w:r>
    <w:r w:rsidR="007E40A2">
      <w:tab/>
    </w:r>
    <w:r w:rsidR="007E40A2">
      <w:tab/>
    </w:r>
    <w:r>
      <w:fldChar w:fldCharType="begin"/>
    </w:r>
    <w:r>
      <w:instrText xml:space="preserve"> TITLE  \* MERGEFORMAT </w:instrText>
    </w:r>
    <w:r>
      <w:fldChar w:fldCharType="separate"/>
    </w:r>
    <w:r w:rsidR="00D06E9F">
      <w:t>doc.: IEEE 802.11-16/1476r6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2"/>
  </w:num>
  <w:num w:numId="11">
    <w:abstractNumId w:val="22"/>
  </w:num>
  <w:num w:numId="12">
    <w:abstractNumId w:val="41"/>
  </w:num>
  <w:num w:numId="13">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32"/>
  </w:num>
  <w:num w:numId="17">
    <w:abstractNumId w:val="37"/>
  </w:num>
  <w:num w:numId="18">
    <w:abstractNumId w:val="42"/>
  </w:num>
  <w:num w:numId="19">
    <w:abstractNumId w:val="12"/>
  </w:num>
  <w:num w:numId="20">
    <w:abstractNumId w:val="38"/>
  </w:num>
  <w:num w:numId="21">
    <w:abstractNumId w:val="28"/>
  </w:num>
  <w:num w:numId="22">
    <w:abstractNumId w:val="6"/>
  </w:num>
  <w:num w:numId="23">
    <w:abstractNumId w:val="4"/>
  </w:num>
  <w:num w:numId="24">
    <w:abstractNumId w:val="7"/>
  </w:num>
  <w:num w:numId="25">
    <w:abstractNumId w:val="29"/>
  </w:num>
  <w:num w:numId="26">
    <w:abstractNumId w:val="13"/>
  </w:num>
  <w:num w:numId="27">
    <w:abstractNumId w:val="24"/>
  </w:num>
  <w:num w:numId="28">
    <w:abstractNumId w:val="43"/>
  </w:num>
  <w:num w:numId="29">
    <w:abstractNumId w:val="35"/>
  </w:num>
  <w:num w:numId="30">
    <w:abstractNumId w:val="26"/>
  </w:num>
  <w:num w:numId="31">
    <w:abstractNumId w:val="30"/>
  </w:num>
  <w:num w:numId="32">
    <w:abstractNumId w:val="44"/>
  </w:num>
  <w:num w:numId="33">
    <w:abstractNumId w:val="10"/>
  </w:num>
  <w:num w:numId="34">
    <w:abstractNumId w:val="8"/>
  </w:num>
  <w:num w:numId="35">
    <w:abstractNumId w:val="5"/>
  </w:num>
  <w:num w:numId="36">
    <w:abstractNumId w:val="34"/>
  </w:num>
  <w:num w:numId="37">
    <w:abstractNumId w:val="19"/>
  </w:num>
  <w:num w:numId="38">
    <w:abstractNumId w:val="25"/>
  </w:num>
  <w:num w:numId="39">
    <w:abstractNumId w:val="21"/>
  </w:num>
  <w:num w:numId="40">
    <w:abstractNumId w:val="39"/>
  </w:num>
  <w:num w:numId="41">
    <w:abstractNumId w:val="27"/>
  </w:num>
  <w:num w:numId="42">
    <w:abstractNumId w:val="16"/>
  </w:num>
  <w:num w:numId="43">
    <w:abstractNumId w:val="36"/>
  </w:num>
  <w:num w:numId="44">
    <w:abstractNumId w:val="9"/>
  </w:num>
  <w:num w:numId="45">
    <w:abstractNumId w:val="40"/>
  </w:num>
  <w:num w:numId="46">
    <w:abstractNumId w:val="3"/>
  </w:num>
  <w:num w:numId="47">
    <w:abstractNumId w:val="33"/>
  </w:num>
  <w:num w:numId="48">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42FC"/>
    <w:rsid w:val="0006469A"/>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C0F8B"/>
    <w:rsid w:val="000C1271"/>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A1D"/>
    <w:rsid w:val="002C6B4F"/>
    <w:rsid w:val="002C6CFB"/>
    <w:rsid w:val="002C72E1"/>
    <w:rsid w:val="002D001B"/>
    <w:rsid w:val="002D1D40"/>
    <w:rsid w:val="002D27AA"/>
    <w:rsid w:val="002D3073"/>
    <w:rsid w:val="002D4875"/>
    <w:rsid w:val="002D518F"/>
    <w:rsid w:val="002D5D5C"/>
    <w:rsid w:val="002D6F6A"/>
    <w:rsid w:val="002D7ABE"/>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291"/>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4538"/>
    <w:rsid w:val="004E46DF"/>
    <w:rsid w:val="004E4B5B"/>
    <w:rsid w:val="004E66C3"/>
    <w:rsid w:val="004E7E34"/>
    <w:rsid w:val="004F0CB7"/>
    <w:rsid w:val="004F4564"/>
    <w:rsid w:val="004F4BBB"/>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E5E"/>
    <w:rsid w:val="006D45A5"/>
    <w:rsid w:val="006D4C00"/>
    <w:rsid w:val="006D5362"/>
    <w:rsid w:val="006D5378"/>
    <w:rsid w:val="006D612C"/>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926"/>
    <w:rsid w:val="007D198B"/>
    <w:rsid w:val="007D2518"/>
    <w:rsid w:val="007D3C15"/>
    <w:rsid w:val="007D467E"/>
    <w:rsid w:val="007D4D44"/>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2992"/>
    <w:rsid w:val="008A2B5C"/>
    <w:rsid w:val="008A3E3C"/>
    <w:rsid w:val="008A5547"/>
    <w:rsid w:val="008A5AFD"/>
    <w:rsid w:val="008A6CD4"/>
    <w:rsid w:val="008A788A"/>
    <w:rsid w:val="008B1070"/>
    <w:rsid w:val="008B188F"/>
    <w:rsid w:val="008B3022"/>
    <w:rsid w:val="008B3792"/>
    <w:rsid w:val="008B47B4"/>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1C67"/>
    <w:rsid w:val="008F238D"/>
    <w:rsid w:val="008F2611"/>
    <w:rsid w:val="008F4312"/>
    <w:rsid w:val="008F6CE3"/>
    <w:rsid w:val="00903884"/>
    <w:rsid w:val="00903CDB"/>
    <w:rsid w:val="009057D2"/>
    <w:rsid w:val="00905A7F"/>
    <w:rsid w:val="00906247"/>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97F"/>
    <w:rsid w:val="0094033A"/>
    <w:rsid w:val="0094091B"/>
    <w:rsid w:val="009409F4"/>
    <w:rsid w:val="00940EA4"/>
    <w:rsid w:val="00941581"/>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BB3"/>
    <w:rsid w:val="009E3FD2"/>
    <w:rsid w:val="009E5870"/>
    <w:rsid w:val="009E750B"/>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242B"/>
    <w:rsid w:val="00B83455"/>
    <w:rsid w:val="00B83D06"/>
    <w:rsid w:val="00B844E8"/>
    <w:rsid w:val="00B9029D"/>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95"/>
    <w:rsid w:val="00CF2A3D"/>
    <w:rsid w:val="00CF3BDE"/>
    <w:rsid w:val="00CF6654"/>
    <w:rsid w:val="00CF6F66"/>
    <w:rsid w:val="00CF754C"/>
    <w:rsid w:val="00CF7E12"/>
    <w:rsid w:val="00D020F4"/>
    <w:rsid w:val="00D02592"/>
    <w:rsid w:val="00D02627"/>
    <w:rsid w:val="00D04391"/>
    <w:rsid w:val="00D04C4C"/>
    <w:rsid w:val="00D05F32"/>
    <w:rsid w:val="00D06E9F"/>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7833"/>
    <w:rsid w:val="00D202C0"/>
    <w:rsid w:val="00D203FB"/>
    <w:rsid w:val="00D22352"/>
    <w:rsid w:val="00D23550"/>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91A29"/>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2FB0"/>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10C"/>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3637-7CCA-44DF-A819-E2E0EFBEA268}">
  <ds:schemaRefs>
    <ds:schemaRef ds:uri="http://schemas.openxmlformats.org/officeDocument/2006/bibliography"/>
  </ds:schemaRefs>
</ds:datastoreItem>
</file>

<file path=customXml/itemProps2.xml><?xml version="1.0" encoding="utf-8"?>
<ds:datastoreItem xmlns:ds="http://schemas.openxmlformats.org/officeDocument/2006/customXml" ds:itemID="{B0A02D0C-2A89-4749-A610-91D996889D15}">
  <ds:schemaRefs>
    <ds:schemaRef ds:uri="http://schemas.openxmlformats.org/officeDocument/2006/bibliography"/>
  </ds:schemaRefs>
</ds:datastoreItem>
</file>

<file path=customXml/itemProps3.xml><?xml version="1.0" encoding="utf-8"?>
<ds:datastoreItem xmlns:ds="http://schemas.openxmlformats.org/officeDocument/2006/customXml" ds:itemID="{60266EF5-A7F7-4A1A-BAD3-77322825348E}">
  <ds:schemaRefs>
    <ds:schemaRef ds:uri="http://schemas.openxmlformats.org/officeDocument/2006/bibliography"/>
  </ds:schemaRefs>
</ds:datastoreItem>
</file>

<file path=customXml/itemProps4.xml><?xml version="1.0" encoding="utf-8"?>
<ds:datastoreItem xmlns:ds="http://schemas.openxmlformats.org/officeDocument/2006/customXml" ds:itemID="{7B41538A-1ED1-4299-ABAC-FC37AA4D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2477</Words>
  <Characters>14120</Characters>
  <Application>Microsoft Office Word</Application>
  <DocSecurity>0</DocSecurity>
  <Lines>117</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16564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802.11-16/1476r6</dc:title>
  <dc:subject>Submission</dc:subject>
  <dc:creator>Matthew Fischer, Broadcom</dc:creator>
  <cp:keywords>November 2016</cp:keywords>
  <cp:lastModifiedBy>Matthew Fischer</cp:lastModifiedBy>
  <cp:revision>10</cp:revision>
  <cp:lastPrinted>2010-05-04T03:47:00Z</cp:lastPrinted>
  <dcterms:created xsi:type="dcterms:W3CDTF">2016-11-08T22:47:00Z</dcterms:created>
  <dcterms:modified xsi:type="dcterms:W3CDTF">2016-11-08T23:03:00Z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