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6E742B" w:rsidRDefault="006E742B" w:rsidP="006E742B">
                  <w:pPr>
                    <w:pStyle w:val="T2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CID</w:t>
                  </w:r>
                  <w:r w:rsidR="008B3792" w:rsidRPr="00CD4C78">
                    <w:rPr>
                      <w:lang w:eastAsia="ko-KR"/>
                    </w:rPr>
                    <w:t xml:space="preserve"> – </w:t>
                  </w:r>
                  <w:r>
                    <w:rPr>
                      <w:rFonts w:eastAsiaTheme="minorEastAsia" w:hint="eastAsia"/>
                      <w:lang w:eastAsia="zh-CN"/>
                    </w:rPr>
                    <w:t>2492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6E742B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Pr="00CD4C78">
                    <w:rPr>
                      <w:b w:val="0"/>
                      <w:sz w:val="20"/>
                      <w:lang w:eastAsia="ko-KR"/>
                    </w:rPr>
                    <w:t>6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4F6D0C">
                    <w:rPr>
                      <w:b w:val="0"/>
                      <w:sz w:val="20"/>
                    </w:rPr>
                    <w:t>1</w:t>
                  </w:r>
                  <w:r w:rsidR="006E742B">
                    <w:rPr>
                      <w:rFonts w:eastAsiaTheme="minorEastAsia" w:hint="eastAsia"/>
                      <w:b w:val="0"/>
                      <w:sz w:val="20"/>
                      <w:lang w:eastAsia="zh-CN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Pr="00CD4C78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F6D0C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6E742B" w:rsidRDefault="006E742B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  <w:t>K</w:t>
                  </w:r>
                  <w:r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aiying Lv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Pr="006E742B" w:rsidRDefault="006E742B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ZTE Corp.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E742B" w:rsidP="006E742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E742B"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l</w:t>
                  </w:r>
                  <w:r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v.kaiying@zte.com.cn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6E742B" w:rsidRDefault="006E742B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Bo Sun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Pr="006E742B" w:rsidRDefault="006E742B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ZTE Corp.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6E742B" w:rsidRDefault="006E742B" w:rsidP="00150C38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eastAsiaTheme="minorEastAsia"/>
                      <w:b w:val="0"/>
                      <w:sz w:val="18"/>
                      <w:szCs w:val="18"/>
                      <w:lang w:eastAsia="zh-CN"/>
                    </w:rPr>
                    <w:t>S</w:t>
                  </w:r>
                  <w:r>
                    <w:rPr>
                      <w:rFonts w:eastAsiaTheme="minorEastAsia" w:hint="eastAsia"/>
                      <w:b w:val="0"/>
                      <w:sz w:val="18"/>
                      <w:szCs w:val="18"/>
                      <w:lang w:eastAsia="zh-CN"/>
                    </w:rPr>
                    <w:t>un.bo1@zte.com.cn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E4403" w:rsidRPr="00DE157B" w:rsidRDefault="003E4403" w:rsidP="004B4C24">
      <w:pPr>
        <w:jc w:val="both"/>
        <w:rPr>
          <w:sz w:val="20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6E742B">
        <w:rPr>
          <w:sz w:val="20"/>
          <w:lang w:eastAsia="ko-KR"/>
        </w:rPr>
        <w:t xml:space="preserve"> for comment CID </w:t>
      </w:r>
      <w:r w:rsidR="006E742B">
        <w:rPr>
          <w:rFonts w:eastAsiaTheme="minorEastAsia" w:hint="eastAsia"/>
          <w:sz w:val="20"/>
          <w:lang w:eastAsia="zh-CN"/>
        </w:rPr>
        <w:t>2492</w:t>
      </w:r>
      <w:r w:rsidR="004B4C24" w:rsidRPr="00DE157B">
        <w:rPr>
          <w:sz w:val="20"/>
          <w:lang w:eastAsia="ko-KR"/>
        </w:rPr>
        <w:t xml:space="preserve"> related to TGax D0.1.:</w:t>
      </w:r>
    </w:p>
    <w:p w:rsidR="006D0767" w:rsidRDefault="00DE157B">
      <w:pPr>
        <w:pStyle w:val="T1"/>
        <w:spacing w:after="120"/>
        <w:jc w:val="left"/>
        <w:rPr>
          <w:b w:val="0"/>
          <w:sz w:val="20"/>
        </w:rPr>
      </w:pPr>
      <w:r w:rsidRPr="00DE157B">
        <w:rPr>
          <w:b w:val="0"/>
          <w:sz w:val="20"/>
        </w:rPr>
        <w:t>NOTE- The proposed changes on this document is based on TGax Draft 0.5.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CE4BAA" w:rsidRPr="00CD4C78" w:rsidRDefault="00CE4BAA" w:rsidP="00CE4BAA">
      <w:r w:rsidRPr="00CD4C78">
        <w:lastRenderedPageBreak/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Pr="00CD4C78" w:rsidRDefault="00F74C9F" w:rsidP="00F2637D"/>
    <w:p w:rsidR="00F74C9F" w:rsidRPr="00CD4C78" w:rsidRDefault="00F74C9F" w:rsidP="00F2637D"/>
    <w:p w:rsidR="00F74C9F" w:rsidRPr="00CD4C78" w:rsidRDefault="00F74C9F" w:rsidP="00F2637D"/>
    <w:p w:rsidR="00F74C9F" w:rsidRPr="00CD4C78" w:rsidRDefault="00F74C9F" w:rsidP="00F2637D"/>
    <w:tbl>
      <w:tblPr>
        <w:tblW w:w="11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061"/>
        <w:gridCol w:w="756"/>
        <w:gridCol w:w="2754"/>
        <w:gridCol w:w="1924"/>
        <w:gridCol w:w="4286"/>
      </w:tblGrid>
      <w:tr w:rsidR="00CD4C78" w:rsidRPr="00CD4C78" w:rsidTr="00E41911">
        <w:trPr>
          <w:trHeight w:val="2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CD4C78" w:rsidRPr="00CD4C78" w:rsidRDefault="00CD4C78" w:rsidP="000609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4C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CD4C78" w:rsidRPr="00CD4C78" w:rsidRDefault="00CD4C78" w:rsidP="000609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4C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:rsidR="00CD4C78" w:rsidRPr="00CD4C78" w:rsidRDefault="00CD4C78" w:rsidP="000609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4C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P.L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:rsidR="00CD4C78" w:rsidRPr="00CD4C78" w:rsidRDefault="00CD4C78" w:rsidP="000609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4C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:rsidR="00CD4C78" w:rsidRPr="00CD4C78" w:rsidRDefault="00CD4C78" w:rsidP="000609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4C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CD4C78" w:rsidRPr="00CD4C78" w:rsidRDefault="00CD4C78" w:rsidP="000609B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4C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D4C78" w:rsidRPr="00CD4C78" w:rsidTr="00E41911">
        <w:trPr>
          <w:trHeight w:val="220"/>
        </w:trPr>
        <w:tc>
          <w:tcPr>
            <w:tcW w:w="656" w:type="dxa"/>
            <w:shd w:val="clear" w:color="auto" w:fill="auto"/>
            <w:noWrap/>
          </w:tcPr>
          <w:p w:rsidR="00CD4C78" w:rsidRPr="00E41911" w:rsidRDefault="00E41911" w:rsidP="000609BC">
            <w:pPr>
              <w:jc w:val="both"/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2492</w:t>
            </w:r>
          </w:p>
        </w:tc>
        <w:tc>
          <w:tcPr>
            <w:tcW w:w="1061" w:type="dxa"/>
            <w:shd w:val="clear" w:color="auto" w:fill="auto"/>
            <w:noWrap/>
          </w:tcPr>
          <w:p w:rsidR="00CD4C78" w:rsidRPr="00E41911" w:rsidRDefault="00E41911" w:rsidP="000609BC">
            <w:pPr>
              <w:jc w:val="both"/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E41911">
              <w:rPr>
                <w:rFonts w:eastAsiaTheme="minorEastAsia"/>
                <w:bCs/>
                <w:sz w:val="16"/>
                <w:szCs w:val="18"/>
                <w:lang w:eastAsia="zh-CN"/>
              </w:rPr>
              <w:t>Yongho Seok</w:t>
            </w:r>
          </w:p>
        </w:tc>
        <w:tc>
          <w:tcPr>
            <w:tcW w:w="756" w:type="dxa"/>
            <w:shd w:val="clear" w:color="auto" w:fill="auto"/>
            <w:noWrap/>
          </w:tcPr>
          <w:p w:rsidR="00CD4C78" w:rsidRPr="00E41911" w:rsidRDefault="00BC2F30" w:rsidP="00BC2F30">
            <w:pPr>
              <w:jc w:val="both"/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>
              <w:rPr>
                <w:bCs/>
                <w:sz w:val="16"/>
                <w:szCs w:val="18"/>
                <w:lang w:eastAsia="ko-KR"/>
              </w:rPr>
              <w:t>63</w:t>
            </w:r>
            <w:r w:rsidR="00E41911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.</w:t>
            </w:r>
            <w:r w:rsidR="006E742B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57</w:t>
            </w:r>
          </w:p>
        </w:tc>
        <w:tc>
          <w:tcPr>
            <w:tcW w:w="2754" w:type="dxa"/>
            <w:shd w:val="clear" w:color="auto" w:fill="auto"/>
            <w:noWrap/>
          </w:tcPr>
          <w:p w:rsidR="00E532A8" w:rsidRPr="00E532A8" w:rsidRDefault="00E532A8" w:rsidP="00E532A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E532A8">
              <w:rPr>
                <w:bCs/>
                <w:sz w:val="16"/>
                <w:szCs w:val="18"/>
                <w:lang w:eastAsia="ko-KR"/>
              </w:rPr>
              <w:t>When a legacy STA receives the RTS frame from a HE STA that obtains the TXOP through the spatial reuse operation, the CCA (including the NAV) of the legacy STA highly indicates a busy status.</w:t>
            </w:r>
          </w:p>
          <w:p w:rsidR="00E532A8" w:rsidRPr="00E532A8" w:rsidRDefault="00E532A8" w:rsidP="00E532A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E532A8">
              <w:rPr>
                <w:bCs/>
                <w:sz w:val="16"/>
                <w:szCs w:val="18"/>
                <w:lang w:eastAsia="ko-KR"/>
              </w:rPr>
              <w:t>So, add the following recommendation:</w:t>
            </w:r>
          </w:p>
          <w:p w:rsidR="00CD4C78" w:rsidRPr="00CD4C78" w:rsidRDefault="00E532A8" w:rsidP="00E532A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E532A8">
              <w:rPr>
                <w:bCs/>
                <w:sz w:val="16"/>
                <w:szCs w:val="18"/>
                <w:lang w:eastAsia="ko-KR"/>
              </w:rPr>
              <w:t>When an HE STA obtains an TXOP by using the OBSS PD level that is greater than the minimum receives sensitivity level, the TXOP responder should be chosen from a HE STA.</w:t>
            </w:r>
          </w:p>
        </w:tc>
        <w:tc>
          <w:tcPr>
            <w:tcW w:w="1924" w:type="dxa"/>
            <w:shd w:val="clear" w:color="auto" w:fill="auto"/>
            <w:noWrap/>
          </w:tcPr>
          <w:p w:rsidR="00CD4C78" w:rsidRPr="00CD4C78" w:rsidRDefault="00E41911" w:rsidP="000609BC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E41911">
              <w:rPr>
                <w:bCs/>
                <w:sz w:val="16"/>
                <w:szCs w:val="18"/>
                <w:lang w:eastAsia="ko-KR"/>
              </w:rPr>
              <w:t>As per comment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CD4C78" w:rsidRPr="00CD4C78" w:rsidRDefault="00CD4C78" w:rsidP="000609BC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CD4C78">
              <w:rPr>
                <w:bCs/>
                <w:sz w:val="16"/>
                <w:szCs w:val="18"/>
                <w:lang w:eastAsia="ko-KR"/>
              </w:rPr>
              <w:t xml:space="preserve">Revised – </w:t>
            </w:r>
          </w:p>
          <w:p w:rsidR="00CD4C78" w:rsidRDefault="00CD4C78" w:rsidP="00BC2F30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CD4C78">
              <w:rPr>
                <w:bCs/>
                <w:sz w:val="16"/>
                <w:szCs w:val="18"/>
                <w:lang w:eastAsia="ko-KR"/>
              </w:rPr>
              <w:t>Agree</w:t>
            </w:r>
            <w:r w:rsidR="0080443D">
              <w:rPr>
                <w:rFonts w:eastAsiaTheme="minorEastAsia"/>
                <w:bCs/>
                <w:sz w:val="16"/>
                <w:szCs w:val="18"/>
                <w:lang w:eastAsia="zh-CN"/>
              </w:rPr>
              <w:t xml:space="preserve"> </w:t>
            </w:r>
            <w:r w:rsidR="0080443D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that the raised question</w:t>
            </w:r>
            <w:r w:rsidRPr="00CD4C78">
              <w:rPr>
                <w:bCs/>
                <w:sz w:val="16"/>
                <w:szCs w:val="18"/>
                <w:lang w:eastAsia="ko-KR"/>
              </w:rPr>
              <w:t xml:space="preserve"> </w:t>
            </w:r>
            <w:r w:rsidR="00BC2F30">
              <w:rPr>
                <w:bCs/>
                <w:sz w:val="16"/>
                <w:szCs w:val="18"/>
                <w:lang w:eastAsia="ko-KR"/>
              </w:rPr>
              <w:t>with the comment</w:t>
            </w:r>
            <w:r w:rsidR="0080443D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 xml:space="preserve"> needs to be clarified</w:t>
            </w:r>
            <w:r w:rsidR="00BC2F30">
              <w:rPr>
                <w:bCs/>
                <w:sz w:val="16"/>
                <w:szCs w:val="18"/>
                <w:lang w:eastAsia="ko-KR"/>
              </w:rPr>
              <w:t>. The draft text provided for clarifying</w:t>
            </w:r>
            <w:r w:rsidRPr="00CD4C78">
              <w:rPr>
                <w:bCs/>
                <w:sz w:val="16"/>
                <w:szCs w:val="18"/>
                <w:lang w:eastAsia="ko-KR"/>
              </w:rPr>
              <w:t xml:space="preserve"> this.</w:t>
            </w:r>
          </w:p>
          <w:p w:rsidR="00DE157B" w:rsidRPr="00CD4C78" w:rsidRDefault="00DE157B" w:rsidP="002D1A2D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876D7">
              <w:rPr>
                <w:bCs/>
                <w:sz w:val="16"/>
                <w:szCs w:val="18"/>
                <w:lang w:eastAsia="ko-KR"/>
              </w:rPr>
              <w:t>TGax editor makes changes as shown in the as specified in 11-16/</w:t>
            </w:r>
            <w:r w:rsidR="002D1A2D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1450</w:t>
            </w:r>
            <w:r w:rsidRPr="005876D7">
              <w:rPr>
                <w:bCs/>
                <w:sz w:val="16"/>
                <w:szCs w:val="18"/>
                <w:lang w:eastAsia="ko-KR"/>
              </w:rPr>
              <w:t>r0.</w:t>
            </w:r>
          </w:p>
        </w:tc>
      </w:tr>
    </w:tbl>
    <w:p w:rsidR="00CD4C78" w:rsidRPr="002D1A2D" w:rsidRDefault="00CD4C78" w:rsidP="00CD4C78">
      <w:pPr>
        <w:rPr>
          <w:sz w:val="20"/>
        </w:rPr>
      </w:pPr>
    </w:p>
    <w:p w:rsidR="00E81BA0" w:rsidRDefault="006E742B" w:rsidP="00E81BA0">
      <w:pPr>
        <w:rPr>
          <w:rFonts w:eastAsiaTheme="minorEastAsia"/>
          <w:sz w:val="20"/>
          <w:lang w:eastAsia="zh-CN"/>
        </w:rPr>
      </w:pPr>
      <w:r>
        <w:rPr>
          <w:rFonts w:eastAsiaTheme="minorEastAsia" w:hint="eastAsia"/>
          <w:sz w:val="20"/>
          <w:lang w:eastAsia="zh-CN"/>
        </w:rPr>
        <w:t>Discussion:</w:t>
      </w:r>
    </w:p>
    <w:p w:rsidR="00D826C7" w:rsidRPr="00E532A8" w:rsidRDefault="00E279D3" w:rsidP="00E532A8">
      <w:pPr>
        <w:rPr>
          <w:rFonts w:eastAsiaTheme="minorEastAsia"/>
          <w:sz w:val="20"/>
          <w:lang w:val="en-US" w:eastAsia="zh-CN"/>
        </w:rPr>
      </w:pPr>
      <w:r w:rsidRPr="00E532A8">
        <w:rPr>
          <w:rFonts w:eastAsiaTheme="minorEastAsia"/>
          <w:sz w:val="20"/>
          <w:lang w:val="en-US" w:eastAsia="zh-CN"/>
        </w:rPr>
        <w:t xml:space="preserve">The spatial reuse </w:t>
      </w:r>
      <w:r w:rsidR="00E532A8">
        <w:rPr>
          <w:rFonts w:eastAsiaTheme="minorEastAsia" w:hint="eastAsia"/>
          <w:sz w:val="20"/>
          <w:lang w:val="en-US" w:eastAsia="zh-CN"/>
        </w:rPr>
        <w:t xml:space="preserve">gives advantages </w:t>
      </w:r>
      <w:r w:rsidRPr="00E532A8">
        <w:rPr>
          <w:rFonts w:eastAsiaTheme="minorEastAsia"/>
          <w:sz w:val="20"/>
          <w:lang w:val="en-US" w:eastAsia="zh-CN"/>
        </w:rPr>
        <w:t xml:space="preserve">to SR capable STAs. If there are more rules to further limit the non-SR capable STAs to be involved in SR transmission, then the fairness issue would be even worse. </w:t>
      </w:r>
    </w:p>
    <w:p w:rsidR="006E742B" w:rsidRPr="00E532A8" w:rsidRDefault="006E742B" w:rsidP="00E81BA0">
      <w:pPr>
        <w:rPr>
          <w:rFonts w:eastAsiaTheme="minorEastAsia"/>
          <w:sz w:val="20"/>
          <w:lang w:val="en-US" w:eastAsia="zh-CN"/>
        </w:rPr>
      </w:pPr>
    </w:p>
    <w:p w:rsidR="00AC4B40" w:rsidRDefault="00AC4B40" w:rsidP="00E81BA0">
      <w:pPr>
        <w:rPr>
          <w:sz w:val="20"/>
        </w:rPr>
      </w:pPr>
    </w:p>
    <w:p w:rsidR="00D12CD5" w:rsidRPr="009506EF" w:rsidRDefault="00D12CD5" w:rsidP="00D12CD5">
      <w:pPr>
        <w:rPr>
          <w:b/>
          <w:i/>
          <w:sz w:val="22"/>
        </w:rPr>
      </w:pPr>
      <w:r w:rsidRPr="00D12CD5">
        <w:rPr>
          <w:b/>
          <w:i/>
          <w:sz w:val="22"/>
          <w:highlight w:val="yellow"/>
        </w:rPr>
        <w:t>Instruct the editor to in</w:t>
      </w:r>
      <w:r w:rsidR="00C10751">
        <w:rPr>
          <w:rFonts w:eastAsiaTheme="minorEastAsia" w:hint="eastAsia"/>
          <w:b/>
          <w:i/>
          <w:sz w:val="22"/>
          <w:highlight w:val="yellow"/>
          <w:lang w:eastAsia="zh-CN"/>
        </w:rPr>
        <w:t xml:space="preserve">sert the following sentence to end of </w:t>
      </w:r>
      <w:r w:rsidRPr="00D12CD5">
        <w:rPr>
          <w:b/>
          <w:i/>
          <w:sz w:val="22"/>
          <w:highlight w:val="yellow"/>
        </w:rPr>
        <w:t>25.9.</w:t>
      </w:r>
      <w:r w:rsidR="00C10751">
        <w:rPr>
          <w:rFonts w:eastAsiaTheme="minorEastAsia" w:hint="eastAsia"/>
          <w:b/>
          <w:i/>
          <w:sz w:val="22"/>
          <w:highlight w:val="yellow"/>
          <w:lang w:eastAsia="zh-CN"/>
        </w:rPr>
        <w:t>1General</w:t>
      </w:r>
      <w:r w:rsidRPr="00D12CD5">
        <w:rPr>
          <w:b/>
          <w:i/>
          <w:sz w:val="22"/>
          <w:highlight w:val="yellow"/>
        </w:rPr>
        <w:t>:</w:t>
      </w:r>
    </w:p>
    <w:p w:rsidR="00C10751" w:rsidRDefault="00C10751" w:rsidP="00AC4B40">
      <w:pPr>
        <w:rPr>
          <w:rFonts w:eastAsiaTheme="minorEastAsia"/>
          <w:b/>
          <w:sz w:val="20"/>
          <w:lang w:val="en-US" w:eastAsia="zh-CN"/>
        </w:rPr>
      </w:pPr>
    </w:p>
    <w:p w:rsidR="00C10751" w:rsidRDefault="00E41911" w:rsidP="00AC4B40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When</w:t>
      </w:r>
      <w:r w:rsidR="00C10751">
        <w:rPr>
          <w:lang w:val="en-US"/>
        </w:rPr>
        <w:t xml:space="preserve"> the conditions specified in 25.9</w:t>
      </w:r>
      <w:r>
        <w:rPr>
          <w:rFonts w:eastAsiaTheme="minorEastAsia" w:hint="eastAsia"/>
          <w:lang w:val="en-US" w:eastAsia="zh-CN"/>
        </w:rPr>
        <w:t xml:space="preserve"> </w:t>
      </w:r>
      <w:r w:rsidR="00C10751">
        <w:rPr>
          <w:lang w:val="en-US"/>
        </w:rPr>
        <w:t xml:space="preserve">are </w:t>
      </w:r>
      <w:r>
        <w:rPr>
          <w:rFonts w:eastAsiaTheme="minorEastAsia" w:hint="eastAsia"/>
          <w:lang w:val="en-US" w:eastAsia="zh-CN"/>
        </w:rPr>
        <w:t>met that</w:t>
      </w:r>
      <w:r w:rsidR="00C10751">
        <w:rPr>
          <w:lang w:val="en-US"/>
        </w:rPr>
        <w:t xml:space="preserve"> allow the transmission of an SR PPDU, a</w:t>
      </w:r>
      <w:r w:rsidR="0080443D">
        <w:rPr>
          <w:rFonts w:eastAsiaTheme="minorEastAsia" w:hint="eastAsia"/>
          <w:lang w:val="en-US" w:eastAsia="zh-CN"/>
        </w:rPr>
        <w:t>n HE</w:t>
      </w:r>
      <w:r w:rsidR="00C10751">
        <w:rPr>
          <w:lang w:val="en-US"/>
        </w:rPr>
        <w:t xml:space="preserve"> STA may transmit </w:t>
      </w:r>
      <w:r>
        <w:rPr>
          <w:rFonts w:eastAsiaTheme="minorEastAsia" w:hint="eastAsia"/>
          <w:lang w:val="en-US" w:eastAsia="zh-CN"/>
        </w:rPr>
        <w:t>an SR</w:t>
      </w:r>
      <w:r w:rsidR="00C10751">
        <w:rPr>
          <w:lang w:val="en-US"/>
        </w:rPr>
        <w:t xml:space="preserve"> PPDU</w:t>
      </w:r>
      <w:r>
        <w:rPr>
          <w:rFonts w:eastAsiaTheme="minorEastAsia" w:hint="eastAsia"/>
          <w:lang w:val="en-US" w:eastAsia="zh-CN"/>
        </w:rPr>
        <w:t xml:space="preserve"> to either an HE STA or a Non-HE STA.</w:t>
      </w:r>
    </w:p>
    <w:p w:rsidR="00E41911" w:rsidRPr="00E41911" w:rsidRDefault="00E41911" w:rsidP="00AC4B40">
      <w:pPr>
        <w:rPr>
          <w:rFonts w:eastAsiaTheme="minorEastAsia"/>
          <w:sz w:val="20"/>
          <w:lang w:val="en-US" w:eastAsia="zh-CN"/>
        </w:rPr>
      </w:pPr>
    </w:p>
    <w:p w:rsidR="00943A02" w:rsidRDefault="00943A02" w:rsidP="007608D9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 xml:space="preserve">End of </w:t>
      </w:r>
      <w:r w:rsidR="004D2500">
        <w:rPr>
          <w:rFonts w:eastAsiaTheme="minorEastAsia" w:hint="eastAsia"/>
          <w:b/>
          <w:sz w:val="24"/>
          <w:highlight w:val="yellow"/>
          <w:lang w:val="en-US" w:eastAsia="zh-CN"/>
        </w:rPr>
        <w:t>resolution to CID 2492</w:t>
      </w:r>
      <w:r w:rsidRPr="00943A02">
        <w:rPr>
          <w:b/>
          <w:sz w:val="24"/>
          <w:highlight w:val="yellow"/>
          <w:lang w:val="en-US"/>
        </w:rPr>
        <w:t>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83" w:rsidRDefault="005B2C83">
      <w:r>
        <w:separator/>
      </w:r>
    </w:p>
  </w:endnote>
  <w:endnote w:type="continuationSeparator" w:id="0">
    <w:p w:rsidR="005B2C83" w:rsidRDefault="005B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A2" w:rsidRPr="002D1A2D" w:rsidRDefault="00D826C7">
    <w:pPr>
      <w:pStyle w:val="a3"/>
      <w:tabs>
        <w:tab w:val="clear" w:pos="6480"/>
        <w:tab w:val="center" w:pos="4680"/>
        <w:tab w:val="right" w:pos="9360"/>
      </w:tabs>
      <w:rPr>
        <w:rFonts w:eastAsiaTheme="minorEastAsia" w:hint="eastAsia"/>
        <w:lang w:eastAsia="zh-CN"/>
      </w:rPr>
    </w:pPr>
    <w:fldSimple w:instr=" SUBJECT  \* MERGEFORMAT ">
      <w:r w:rsidR="007E40A2">
        <w:t>Submission</w:t>
      </w:r>
    </w:fldSimple>
    <w:r w:rsidR="007E40A2">
      <w:tab/>
      <w:t xml:space="preserve">page </w:t>
    </w:r>
    <w:r>
      <w:fldChar w:fldCharType="begin"/>
    </w:r>
    <w:r w:rsidR="007E40A2">
      <w:instrText xml:space="preserve">page </w:instrText>
    </w:r>
    <w:r>
      <w:fldChar w:fldCharType="separate"/>
    </w:r>
    <w:r w:rsidR="005A1008">
      <w:rPr>
        <w:noProof/>
      </w:rPr>
      <w:t>2</w:t>
    </w:r>
    <w:r>
      <w:rPr>
        <w:noProof/>
      </w:rPr>
      <w:fldChar w:fldCharType="end"/>
    </w:r>
    <w:r w:rsidR="007E40A2">
      <w:tab/>
    </w:r>
    <w:r w:rsidR="007E40A2">
      <w:rPr>
        <w:rFonts w:eastAsia="SimSun" w:hint="eastAsia"/>
        <w:lang w:eastAsia="zh-CN"/>
      </w:rPr>
      <w:t xml:space="preserve">          </w:t>
    </w:r>
    <w:r w:rsidR="002D1A2D">
      <w:rPr>
        <w:rFonts w:eastAsiaTheme="minorEastAsia" w:hint="eastAsia"/>
        <w:sz w:val="21"/>
        <w:szCs w:val="21"/>
        <w:lang w:eastAsia="zh-CN"/>
      </w:rPr>
      <w:t>Kaiying Lv</w:t>
    </w:r>
    <w:r w:rsidR="007E40A2" w:rsidRPr="009E16D8">
      <w:rPr>
        <w:sz w:val="21"/>
        <w:szCs w:val="21"/>
      </w:rPr>
      <w:t xml:space="preserve">, </w:t>
    </w:r>
    <w:r w:rsidR="002D1A2D">
      <w:rPr>
        <w:rFonts w:eastAsiaTheme="minorEastAsia" w:hint="eastAsia"/>
        <w:sz w:val="21"/>
        <w:szCs w:val="21"/>
        <w:lang w:eastAsia="zh-CN"/>
      </w:rPr>
      <w:t>ZTE Corp.</w:t>
    </w:r>
  </w:p>
  <w:p w:rsidR="007E40A2" w:rsidRPr="0013508C" w:rsidRDefault="007E40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83" w:rsidRDefault="005B2C83">
      <w:r>
        <w:separator/>
      </w:r>
    </w:p>
  </w:footnote>
  <w:footnote w:type="continuationSeparator" w:id="0">
    <w:p w:rsidR="005B2C83" w:rsidRDefault="005B2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A2" w:rsidRDefault="007E40A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 2016</w:t>
    </w:r>
    <w:r>
      <w:tab/>
    </w:r>
    <w:r>
      <w:tab/>
    </w:r>
    <w:r w:rsidR="00D826C7">
      <w:fldChar w:fldCharType="begin"/>
    </w:r>
    <w:r>
      <w:instrText xml:space="preserve"> TITLE  \* MERGEFORMAT </w:instrText>
    </w:r>
    <w:r w:rsidR="00D826C7">
      <w:fldChar w:fldCharType="end"/>
    </w:r>
    <w:fldSimple w:instr=" TITLE  \* MERGEFORMAT ">
      <w:r>
        <w:t>doc.: IEEE 802.11-16/</w:t>
      </w:r>
      <w:r w:rsidR="002D1A2D">
        <w:rPr>
          <w:rFonts w:eastAsiaTheme="minorEastAsia" w:hint="eastAsia"/>
          <w:lang w:eastAsia="zh-CN"/>
        </w:rPr>
        <w:t>1450</w:t>
      </w:r>
      <w:r>
        <w:rPr>
          <w:lang w:eastAsia="ko-KR"/>
        </w:rPr>
        <w:t>r</w:t>
      </w:r>
    </w:fldSimple>
    <w: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E42B5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374A"/>
    <w:multiLevelType w:val="hybridMultilevel"/>
    <w:tmpl w:val="C01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D0115"/>
    <w:multiLevelType w:val="hybridMultilevel"/>
    <w:tmpl w:val="7CECFA84"/>
    <w:lvl w:ilvl="0" w:tplc="B3B6CE3A">
      <w:start w:val="25"/>
      <w:numFmt w:val="bullet"/>
      <w:lvlText w:val="-"/>
      <w:lvlJc w:val="left"/>
      <w:pPr>
        <w:ind w:left="21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4D6075"/>
    <w:multiLevelType w:val="hybridMultilevel"/>
    <w:tmpl w:val="BBD2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22E7C"/>
    <w:multiLevelType w:val="hybridMultilevel"/>
    <w:tmpl w:val="EA86DCAE"/>
    <w:lvl w:ilvl="0" w:tplc="86C6F3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E96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EED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2F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C78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879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E7E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CF5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2B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D5275A"/>
    <w:multiLevelType w:val="hybridMultilevel"/>
    <w:tmpl w:val="BDCCF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7231E6"/>
    <w:multiLevelType w:val="hybridMultilevel"/>
    <w:tmpl w:val="F3D01A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E145E"/>
    <w:multiLevelType w:val="hybridMultilevel"/>
    <w:tmpl w:val="2B1AD842"/>
    <w:lvl w:ilvl="0" w:tplc="B3B6CE3A">
      <w:start w:val="25"/>
      <w:numFmt w:val="bullet"/>
      <w:lvlText w:val="-"/>
      <w:lvlJc w:val="left"/>
      <w:pPr>
        <w:ind w:left="21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2CE3437F"/>
    <w:multiLevelType w:val="hybridMultilevel"/>
    <w:tmpl w:val="2C1443E0"/>
    <w:lvl w:ilvl="0" w:tplc="785E53C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F2573"/>
    <w:multiLevelType w:val="hybridMultilevel"/>
    <w:tmpl w:val="C570D0B2"/>
    <w:lvl w:ilvl="0" w:tplc="1F9AD2F0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F19FD"/>
    <w:multiLevelType w:val="hybridMultilevel"/>
    <w:tmpl w:val="5C98C20C"/>
    <w:lvl w:ilvl="0" w:tplc="84624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BF14094"/>
    <w:multiLevelType w:val="hybridMultilevel"/>
    <w:tmpl w:val="05DC3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451D3BFB"/>
    <w:multiLevelType w:val="hybridMultilevel"/>
    <w:tmpl w:val="A450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F109E"/>
    <w:multiLevelType w:val="hybridMultilevel"/>
    <w:tmpl w:val="3CA265B0"/>
    <w:lvl w:ilvl="0" w:tplc="9EFCB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C423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BDEB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A96D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9E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F44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F58D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222E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2D07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49296FFF"/>
    <w:multiLevelType w:val="hybridMultilevel"/>
    <w:tmpl w:val="19C63C3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5">
    <w:nsid w:val="4975409A"/>
    <w:multiLevelType w:val="hybridMultilevel"/>
    <w:tmpl w:val="41108EFA"/>
    <w:lvl w:ilvl="0" w:tplc="1F9AD2F0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E40A1"/>
    <w:multiLevelType w:val="hybridMultilevel"/>
    <w:tmpl w:val="BB1CC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E7006"/>
    <w:multiLevelType w:val="hybridMultilevel"/>
    <w:tmpl w:val="9DE6F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12483"/>
    <w:multiLevelType w:val="hybridMultilevel"/>
    <w:tmpl w:val="BD3C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1674F"/>
    <w:multiLevelType w:val="hybridMultilevel"/>
    <w:tmpl w:val="362813B2"/>
    <w:lvl w:ilvl="0" w:tplc="1030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E6058">
      <w:start w:val="5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2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6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A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A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8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6F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2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842CA5"/>
    <w:multiLevelType w:val="hybridMultilevel"/>
    <w:tmpl w:val="CCBE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75FDE"/>
    <w:multiLevelType w:val="hybridMultilevel"/>
    <w:tmpl w:val="2F7AE97E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A483E"/>
    <w:multiLevelType w:val="hybridMultilevel"/>
    <w:tmpl w:val="BF5CCB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021CA"/>
    <w:multiLevelType w:val="multilevel"/>
    <w:tmpl w:val="067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14024"/>
    <w:multiLevelType w:val="hybridMultilevel"/>
    <w:tmpl w:val="BD060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E4575"/>
    <w:multiLevelType w:val="hybridMultilevel"/>
    <w:tmpl w:val="C5EEB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D4F10"/>
    <w:multiLevelType w:val="hybridMultilevel"/>
    <w:tmpl w:val="122446A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B30FD"/>
    <w:multiLevelType w:val="hybridMultilevel"/>
    <w:tmpl w:val="0A40B960"/>
    <w:lvl w:ilvl="0" w:tplc="8DFA5ADC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64FAA"/>
    <w:multiLevelType w:val="hybridMultilevel"/>
    <w:tmpl w:val="FEBE72DC"/>
    <w:lvl w:ilvl="0" w:tplc="1EEA5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E31D6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C22D6"/>
    <w:multiLevelType w:val="hybridMultilevel"/>
    <w:tmpl w:val="9B42CA5A"/>
    <w:lvl w:ilvl="0" w:tplc="1706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050BA"/>
    <w:multiLevelType w:val="hybridMultilevel"/>
    <w:tmpl w:val="718CA590"/>
    <w:lvl w:ilvl="0" w:tplc="1F9AD2F0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A0D46"/>
    <w:multiLevelType w:val="hybridMultilevel"/>
    <w:tmpl w:val="DC1EF30E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5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2"/>
  </w:num>
  <w:num w:numId="10">
    <w:abstractNumId w:val="2"/>
  </w:num>
  <w:num w:numId="11">
    <w:abstractNumId w:val="23"/>
  </w:num>
  <w:num w:numId="12">
    <w:abstractNumId w:val="42"/>
  </w:num>
  <w:num w:numId="13">
    <w:abstractNumId w:val="24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</w:num>
  <w:num w:numId="16">
    <w:abstractNumId w:val="33"/>
  </w:num>
  <w:num w:numId="17">
    <w:abstractNumId w:val="38"/>
  </w:num>
  <w:num w:numId="18">
    <w:abstractNumId w:val="43"/>
  </w:num>
  <w:num w:numId="19">
    <w:abstractNumId w:val="12"/>
  </w:num>
  <w:num w:numId="20">
    <w:abstractNumId w:val="39"/>
  </w:num>
  <w:num w:numId="21">
    <w:abstractNumId w:val="29"/>
  </w:num>
  <w:num w:numId="22">
    <w:abstractNumId w:val="6"/>
  </w:num>
  <w:num w:numId="23">
    <w:abstractNumId w:val="4"/>
  </w:num>
  <w:num w:numId="24">
    <w:abstractNumId w:val="7"/>
  </w:num>
  <w:num w:numId="25">
    <w:abstractNumId w:val="30"/>
  </w:num>
  <w:num w:numId="26">
    <w:abstractNumId w:val="13"/>
  </w:num>
  <w:num w:numId="27">
    <w:abstractNumId w:val="25"/>
  </w:num>
  <w:num w:numId="28">
    <w:abstractNumId w:val="44"/>
  </w:num>
  <w:num w:numId="29">
    <w:abstractNumId w:val="36"/>
  </w:num>
  <w:num w:numId="30">
    <w:abstractNumId w:val="27"/>
  </w:num>
  <w:num w:numId="31">
    <w:abstractNumId w:val="31"/>
  </w:num>
  <w:num w:numId="32">
    <w:abstractNumId w:val="45"/>
  </w:num>
  <w:num w:numId="33">
    <w:abstractNumId w:val="10"/>
  </w:num>
  <w:num w:numId="34">
    <w:abstractNumId w:val="8"/>
  </w:num>
  <w:num w:numId="35">
    <w:abstractNumId w:val="5"/>
  </w:num>
  <w:num w:numId="36">
    <w:abstractNumId w:val="35"/>
  </w:num>
  <w:num w:numId="37">
    <w:abstractNumId w:val="19"/>
  </w:num>
  <w:num w:numId="38">
    <w:abstractNumId w:val="26"/>
  </w:num>
  <w:num w:numId="39">
    <w:abstractNumId w:val="21"/>
  </w:num>
  <w:num w:numId="40">
    <w:abstractNumId w:val="40"/>
  </w:num>
  <w:num w:numId="41">
    <w:abstractNumId w:val="28"/>
  </w:num>
  <w:num w:numId="42">
    <w:abstractNumId w:val="16"/>
  </w:num>
  <w:num w:numId="43">
    <w:abstractNumId w:val="37"/>
  </w:num>
  <w:num w:numId="44">
    <w:abstractNumId w:val="9"/>
  </w:num>
  <w:num w:numId="45">
    <w:abstractNumId w:val="41"/>
  </w:num>
  <w:num w:numId="46">
    <w:abstractNumId w:val="3"/>
  </w:num>
  <w:num w:numId="47">
    <w:abstractNumId w:val="34"/>
  </w:num>
  <w:num w:numId="48">
    <w:abstractNumId w:val="14"/>
  </w:num>
  <w:num w:numId="49">
    <w:abstractNumId w:val="2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0BD5"/>
    <w:rsid w:val="000013EC"/>
    <w:rsid w:val="000027A5"/>
    <w:rsid w:val="000031F7"/>
    <w:rsid w:val="000045FA"/>
    <w:rsid w:val="00006454"/>
    <w:rsid w:val="000067AA"/>
    <w:rsid w:val="00006DBB"/>
    <w:rsid w:val="0000743C"/>
    <w:rsid w:val="00007A76"/>
    <w:rsid w:val="0001027F"/>
    <w:rsid w:val="000116A2"/>
    <w:rsid w:val="000117C9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84A"/>
    <w:rsid w:val="000405C4"/>
    <w:rsid w:val="00042C67"/>
    <w:rsid w:val="00043C26"/>
    <w:rsid w:val="00044DC0"/>
    <w:rsid w:val="000478EE"/>
    <w:rsid w:val="000511A1"/>
    <w:rsid w:val="00052123"/>
    <w:rsid w:val="00053519"/>
    <w:rsid w:val="000567DA"/>
    <w:rsid w:val="00060363"/>
    <w:rsid w:val="000609BC"/>
    <w:rsid w:val="00061FFD"/>
    <w:rsid w:val="000642FC"/>
    <w:rsid w:val="0006469A"/>
    <w:rsid w:val="000650B8"/>
    <w:rsid w:val="00066421"/>
    <w:rsid w:val="0006732A"/>
    <w:rsid w:val="00067D60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65AA"/>
    <w:rsid w:val="00086780"/>
    <w:rsid w:val="00086C10"/>
    <w:rsid w:val="00090640"/>
    <w:rsid w:val="00091349"/>
    <w:rsid w:val="00092971"/>
    <w:rsid w:val="000929BA"/>
    <w:rsid w:val="00092AC6"/>
    <w:rsid w:val="00093AD2"/>
    <w:rsid w:val="00094DFB"/>
    <w:rsid w:val="00094FFA"/>
    <w:rsid w:val="0009661D"/>
    <w:rsid w:val="0009713F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F8C"/>
    <w:rsid w:val="000B345F"/>
    <w:rsid w:val="000B59FE"/>
    <w:rsid w:val="000C0F8B"/>
    <w:rsid w:val="000C1271"/>
    <w:rsid w:val="000C1EC4"/>
    <w:rsid w:val="000C1F0C"/>
    <w:rsid w:val="000C220E"/>
    <w:rsid w:val="000C27D0"/>
    <w:rsid w:val="000C4DF9"/>
    <w:rsid w:val="000C54F3"/>
    <w:rsid w:val="000C6438"/>
    <w:rsid w:val="000C6842"/>
    <w:rsid w:val="000C6A2F"/>
    <w:rsid w:val="000C7A4A"/>
    <w:rsid w:val="000D174A"/>
    <w:rsid w:val="000D1AD4"/>
    <w:rsid w:val="000D2315"/>
    <w:rsid w:val="000D276A"/>
    <w:rsid w:val="000D2F1B"/>
    <w:rsid w:val="000D31DF"/>
    <w:rsid w:val="000D4A8F"/>
    <w:rsid w:val="000D5EBD"/>
    <w:rsid w:val="000D674F"/>
    <w:rsid w:val="000E0494"/>
    <w:rsid w:val="000E1C37"/>
    <w:rsid w:val="000E1D7B"/>
    <w:rsid w:val="000E3C8F"/>
    <w:rsid w:val="000E4303"/>
    <w:rsid w:val="000E4696"/>
    <w:rsid w:val="000E4B82"/>
    <w:rsid w:val="000E6539"/>
    <w:rsid w:val="000E720C"/>
    <w:rsid w:val="000E752D"/>
    <w:rsid w:val="000F033B"/>
    <w:rsid w:val="000F238C"/>
    <w:rsid w:val="000F4937"/>
    <w:rsid w:val="000F5088"/>
    <w:rsid w:val="000F60FA"/>
    <w:rsid w:val="000F685B"/>
    <w:rsid w:val="000F6BB9"/>
    <w:rsid w:val="00100E3B"/>
    <w:rsid w:val="001015F8"/>
    <w:rsid w:val="00101E87"/>
    <w:rsid w:val="00101FAF"/>
    <w:rsid w:val="001024D5"/>
    <w:rsid w:val="00102632"/>
    <w:rsid w:val="0010469F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5C0"/>
    <w:rsid w:val="00122191"/>
    <w:rsid w:val="00122CE7"/>
    <w:rsid w:val="00122D51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5BE6"/>
    <w:rsid w:val="00172489"/>
    <w:rsid w:val="00172DD9"/>
    <w:rsid w:val="001738FD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62B"/>
    <w:rsid w:val="00185B1D"/>
    <w:rsid w:val="00187129"/>
    <w:rsid w:val="00187978"/>
    <w:rsid w:val="0019040A"/>
    <w:rsid w:val="001914E2"/>
    <w:rsid w:val="0019164F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252D"/>
    <w:rsid w:val="001B2854"/>
    <w:rsid w:val="001B2904"/>
    <w:rsid w:val="001B63BC"/>
    <w:rsid w:val="001C1C5C"/>
    <w:rsid w:val="001C501D"/>
    <w:rsid w:val="001C618A"/>
    <w:rsid w:val="001C7CCE"/>
    <w:rsid w:val="001D016F"/>
    <w:rsid w:val="001D15ED"/>
    <w:rsid w:val="001D2A6C"/>
    <w:rsid w:val="001D328B"/>
    <w:rsid w:val="001D3CA6"/>
    <w:rsid w:val="001D4A93"/>
    <w:rsid w:val="001D5F28"/>
    <w:rsid w:val="001D7529"/>
    <w:rsid w:val="001D7948"/>
    <w:rsid w:val="001D7DF0"/>
    <w:rsid w:val="001E0535"/>
    <w:rsid w:val="001E0946"/>
    <w:rsid w:val="001E100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31F3B"/>
    <w:rsid w:val="002323FE"/>
    <w:rsid w:val="002327BF"/>
    <w:rsid w:val="002327E3"/>
    <w:rsid w:val="002342A0"/>
    <w:rsid w:val="00234C13"/>
    <w:rsid w:val="00234E66"/>
    <w:rsid w:val="002369FD"/>
    <w:rsid w:val="00236A7E"/>
    <w:rsid w:val="0023760F"/>
    <w:rsid w:val="00237985"/>
    <w:rsid w:val="00240514"/>
    <w:rsid w:val="00240895"/>
    <w:rsid w:val="00241AD7"/>
    <w:rsid w:val="00241BDE"/>
    <w:rsid w:val="00242C67"/>
    <w:rsid w:val="002470AC"/>
    <w:rsid w:val="0024720B"/>
    <w:rsid w:val="0024786B"/>
    <w:rsid w:val="0025062F"/>
    <w:rsid w:val="002506ED"/>
    <w:rsid w:val="00252D47"/>
    <w:rsid w:val="002539AB"/>
    <w:rsid w:val="00254081"/>
    <w:rsid w:val="00255A8B"/>
    <w:rsid w:val="00262D56"/>
    <w:rsid w:val="00263092"/>
    <w:rsid w:val="0026422E"/>
    <w:rsid w:val="002661CE"/>
    <w:rsid w:val="002662A5"/>
    <w:rsid w:val="00266B84"/>
    <w:rsid w:val="002674D1"/>
    <w:rsid w:val="00270171"/>
    <w:rsid w:val="00270EE3"/>
    <w:rsid w:val="00270F98"/>
    <w:rsid w:val="00273257"/>
    <w:rsid w:val="00273FA9"/>
    <w:rsid w:val="00274A4A"/>
    <w:rsid w:val="002773F1"/>
    <w:rsid w:val="002805B7"/>
    <w:rsid w:val="00281013"/>
    <w:rsid w:val="00281A5D"/>
    <w:rsid w:val="00281AB2"/>
    <w:rsid w:val="00281C71"/>
    <w:rsid w:val="00282053"/>
    <w:rsid w:val="00282EFB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A1D"/>
    <w:rsid w:val="002C6B4F"/>
    <w:rsid w:val="002C6CFB"/>
    <w:rsid w:val="002C72E1"/>
    <w:rsid w:val="002D001B"/>
    <w:rsid w:val="002D1A2D"/>
    <w:rsid w:val="002D1D40"/>
    <w:rsid w:val="002D27AA"/>
    <w:rsid w:val="002D3073"/>
    <w:rsid w:val="002D4875"/>
    <w:rsid w:val="002D518F"/>
    <w:rsid w:val="002D5D5C"/>
    <w:rsid w:val="002D6F6A"/>
    <w:rsid w:val="002D7ED5"/>
    <w:rsid w:val="002E024F"/>
    <w:rsid w:val="002E1973"/>
    <w:rsid w:val="002E1B18"/>
    <w:rsid w:val="002E1CC1"/>
    <w:rsid w:val="002E1EBF"/>
    <w:rsid w:val="002E2017"/>
    <w:rsid w:val="002E340A"/>
    <w:rsid w:val="002E4762"/>
    <w:rsid w:val="002E5658"/>
    <w:rsid w:val="002E5B22"/>
    <w:rsid w:val="002E6FF6"/>
    <w:rsid w:val="002E7CA1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4FA"/>
    <w:rsid w:val="0030268D"/>
    <w:rsid w:val="003028FA"/>
    <w:rsid w:val="0030382C"/>
    <w:rsid w:val="00303893"/>
    <w:rsid w:val="00305D6E"/>
    <w:rsid w:val="0030782E"/>
    <w:rsid w:val="00307F5F"/>
    <w:rsid w:val="00310A15"/>
    <w:rsid w:val="00315B52"/>
    <w:rsid w:val="00315DE7"/>
    <w:rsid w:val="00317454"/>
    <w:rsid w:val="00317A7D"/>
    <w:rsid w:val="00320ED2"/>
    <w:rsid w:val="0032134D"/>
    <w:rsid w:val="003214E2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47BF"/>
    <w:rsid w:val="00334DEA"/>
    <w:rsid w:val="00336860"/>
    <w:rsid w:val="00336F5F"/>
    <w:rsid w:val="0034100E"/>
    <w:rsid w:val="00343161"/>
    <w:rsid w:val="00343554"/>
    <w:rsid w:val="003447C2"/>
    <w:rsid w:val="003449F9"/>
    <w:rsid w:val="00344DA5"/>
    <w:rsid w:val="0034581F"/>
    <w:rsid w:val="0034592B"/>
    <w:rsid w:val="003467F1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9FC"/>
    <w:rsid w:val="00372FCA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1D90"/>
    <w:rsid w:val="003D26A5"/>
    <w:rsid w:val="003D3623"/>
    <w:rsid w:val="003D364B"/>
    <w:rsid w:val="003D3F93"/>
    <w:rsid w:val="003D4734"/>
    <w:rsid w:val="003D49CC"/>
    <w:rsid w:val="003D5013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2069"/>
    <w:rsid w:val="004339CB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7028"/>
    <w:rsid w:val="00457E3B"/>
    <w:rsid w:val="00457FA3"/>
    <w:rsid w:val="00461C2E"/>
    <w:rsid w:val="00462172"/>
    <w:rsid w:val="004654A5"/>
    <w:rsid w:val="00466B33"/>
    <w:rsid w:val="00466EE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6AA9"/>
    <w:rsid w:val="00486EB3"/>
    <w:rsid w:val="00487778"/>
    <w:rsid w:val="00491848"/>
    <w:rsid w:val="004919AD"/>
    <w:rsid w:val="00491CAF"/>
    <w:rsid w:val="00492A82"/>
    <w:rsid w:val="004937E7"/>
    <w:rsid w:val="0049468A"/>
    <w:rsid w:val="00495DAB"/>
    <w:rsid w:val="004A03AC"/>
    <w:rsid w:val="004A0AF4"/>
    <w:rsid w:val="004A0FC9"/>
    <w:rsid w:val="004A5308"/>
    <w:rsid w:val="004A5312"/>
    <w:rsid w:val="004A5537"/>
    <w:rsid w:val="004A6F42"/>
    <w:rsid w:val="004A7935"/>
    <w:rsid w:val="004B0852"/>
    <w:rsid w:val="004B12BD"/>
    <w:rsid w:val="004B2117"/>
    <w:rsid w:val="004B2D2E"/>
    <w:rsid w:val="004B493F"/>
    <w:rsid w:val="004B4C24"/>
    <w:rsid w:val="004B50D6"/>
    <w:rsid w:val="004B53B6"/>
    <w:rsid w:val="004B59CE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500"/>
    <w:rsid w:val="004D2886"/>
    <w:rsid w:val="004D2D75"/>
    <w:rsid w:val="004D5AA1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6D0C"/>
    <w:rsid w:val="004F74F8"/>
    <w:rsid w:val="00500383"/>
    <w:rsid w:val="005004EC"/>
    <w:rsid w:val="00500AC2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958"/>
    <w:rsid w:val="00504AA2"/>
    <w:rsid w:val="005065EB"/>
    <w:rsid w:val="00506786"/>
    <w:rsid w:val="00506863"/>
    <w:rsid w:val="005072B6"/>
    <w:rsid w:val="00507500"/>
    <w:rsid w:val="0050752C"/>
    <w:rsid w:val="00507B1D"/>
    <w:rsid w:val="00510092"/>
    <w:rsid w:val="0051035D"/>
    <w:rsid w:val="0051061E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5704"/>
    <w:rsid w:val="00525E5F"/>
    <w:rsid w:val="00527489"/>
    <w:rsid w:val="00527BB3"/>
    <w:rsid w:val="005302FD"/>
    <w:rsid w:val="00530F9F"/>
    <w:rsid w:val="00531734"/>
    <w:rsid w:val="0053254A"/>
    <w:rsid w:val="0053353C"/>
    <w:rsid w:val="0053566B"/>
    <w:rsid w:val="00540657"/>
    <w:rsid w:val="00540A28"/>
    <w:rsid w:val="00541142"/>
    <w:rsid w:val="0054235E"/>
    <w:rsid w:val="00542E02"/>
    <w:rsid w:val="0054425D"/>
    <w:rsid w:val="005442D3"/>
    <w:rsid w:val="00544B61"/>
    <w:rsid w:val="00545801"/>
    <w:rsid w:val="00546EDC"/>
    <w:rsid w:val="00552B79"/>
    <w:rsid w:val="00553B4F"/>
    <w:rsid w:val="00553C7D"/>
    <w:rsid w:val="0055459B"/>
    <w:rsid w:val="005546A4"/>
    <w:rsid w:val="00554995"/>
    <w:rsid w:val="00554EEF"/>
    <w:rsid w:val="005555B2"/>
    <w:rsid w:val="00556480"/>
    <w:rsid w:val="00557C98"/>
    <w:rsid w:val="0056123A"/>
    <w:rsid w:val="00562627"/>
    <w:rsid w:val="0056327A"/>
    <w:rsid w:val="00563B85"/>
    <w:rsid w:val="00564672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6C16"/>
    <w:rsid w:val="00577836"/>
    <w:rsid w:val="00580893"/>
    <w:rsid w:val="00581828"/>
    <w:rsid w:val="00581D65"/>
    <w:rsid w:val="00583212"/>
    <w:rsid w:val="00585D8F"/>
    <w:rsid w:val="00586072"/>
    <w:rsid w:val="0058644C"/>
    <w:rsid w:val="005868C2"/>
    <w:rsid w:val="00587F10"/>
    <w:rsid w:val="00591351"/>
    <w:rsid w:val="005915D7"/>
    <w:rsid w:val="0059255B"/>
    <w:rsid w:val="00596243"/>
    <w:rsid w:val="00596413"/>
    <w:rsid w:val="00596B6A"/>
    <w:rsid w:val="005A1008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BA0"/>
    <w:rsid w:val="005B2C83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6389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216A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3FAA"/>
    <w:rsid w:val="00644E29"/>
    <w:rsid w:val="0064617E"/>
    <w:rsid w:val="00646871"/>
    <w:rsid w:val="00647908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1D12"/>
    <w:rsid w:val="00662343"/>
    <w:rsid w:val="00662672"/>
    <w:rsid w:val="0066379D"/>
    <w:rsid w:val="0066483B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80308"/>
    <w:rsid w:val="00680AD5"/>
    <w:rsid w:val="00680B2A"/>
    <w:rsid w:val="006813E4"/>
    <w:rsid w:val="0068276E"/>
    <w:rsid w:val="0068429C"/>
    <w:rsid w:val="00684AD9"/>
    <w:rsid w:val="00685816"/>
    <w:rsid w:val="006861D2"/>
    <w:rsid w:val="00686494"/>
    <w:rsid w:val="00687476"/>
    <w:rsid w:val="0069038E"/>
    <w:rsid w:val="00690EB5"/>
    <w:rsid w:val="006910E4"/>
    <w:rsid w:val="006925B5"/>
    <w:rsid w:val="0069303D"/>
    <w:rsid w:val="00694AF4"/>
    <w:rsid w:val="0069501E"/>
    <w:rsid w:val="006976B8"/>
    <w:rsid w:val="006A041F"/>
    <w:rsid w:val="006A0D04"/>
    <w:rsid w:val="006A3117"/>
    <w:rsid w:val="006A3A0E"/>
    <w:rsid w:val="006A3EB3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67C"/>
    <w:rsid w:val="006D0767"/>
    <w:rsid w:val="006D0EFC"/>
    <w:rsid w:val="006D2722"/>
    <w:rsid w:val="006D3377"/>
    <w:rsid w:val="006D3E5E"/>
    <w:rsid w:val="006D45A5"/>
    <w:rsid w:val="006D4C00"/>
    <w:rsid w:val="006D5362"/>
    <w:rsid w:val="006D5378"/>
    <w:rsid w:val="006D612C"/>
    <w:rsid w:val="006D6DCA"/>
    <w:rsid w:val="006D7E9B"/>
    <w:rsid w:val="006E181A"/>
    <w:rsid w:val="006E195A"/>
    <w:rsid w:val="006E21CA"/>
    <w:rsid w:val="006E2A5A"/>
    <w:rsid w:val="006E2D44"/>
    <w:rsid w:val="006E3DB7"/>
    <w:rsid w:val="006E6E2B"/>
    <w:rsid w:val="006E74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700189"/>
    <w:rsid w:val="00700354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10D88"/>
    <w:rsid w:val="00711472"/>
    <w:rsid w:val="00711E05"/>
    <w:rsid w:val="007121E9"/>
    <w:rsid w:val="00713826"/>
    <w:rsid w:val="00714DE0"/>
    <w:rsid w:val="007164A7"/>
    <w:rsid w:val="00716DFF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4AC1"/>
    <w:rsid w:val="00734C35"/>
    <w:rsid w:val="00734F1A"/>
    <w:rsid w:val="00736065"/>
    <w:rsid w:val="00736C8F"/>
    <w:rsid w:val="0074006F"/>
    <w:rsid w:val="00741D75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B57"/>
    <w:rsid w:val="00770F04"/>
    <w:rsid w:val="00771340"/>
    <w:rsid w:val="00772027"/>
    <w:rsid w:val="00773388"/>
    <w:rsid w:val="0077584D"/>
    <w:rsid w:val="0077797F"/>
    <w:rsid w:val="00780D1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4BC4"/>
    <w:rsid w:val="00794F1E"/>
    <w:rsid w:val="0079538C"/>
    <w:rsid w:val="00795C50"/>
    <w:rsid w:val="00797A22"/>
    <w:rsid w:val="007A098E"/>
    <w:rsid w:val="007A149D"/>
    <w:rsid w:val="007A1BDE"/>
    <w:rsid w:val="007A4ACE"/>
    <w:rsid w:val="007A5765"/>
    <w:rsid w:val="007A5B44"/>
    <w:rsid w:val="007A5B89"/>
    <w:rsid w:val="007A74BB"/>
    <w:rsid w:val="007A77FC"/>
    <w:rsid w:val="007B058E"/>
    <w:rsid w:val="007B0864"/>
    <w:rsid w:val="007B0BB7"/>
    <w:rsid w:val="007B0E05"/>
    <w:rsid w:val="007B2509"/>
    <w:rsid w:val="007B2BDF"/>
    <w:rsid w:val="007B3BC2"/>
    <w:rsid w:val="007B5DB4"/>
    <w:rsid w:val="007C0795"/>
    <w:rsid w:val="007C11D4"/>
    <w:rsid w:val="007C13AC"/>
    <w:rsid w:val="007C14AD"/>
    <w:rsid w:val="007C6C61"/>
    <w:rsid w:val="007C7E1F"/>
    <w:rsid w:val="007D08BB"/>
    <w:rsid w:val="007D1085"/>
    <w:rsid w:val="007D1926"/>
    <w:rsid w:val="007D198B"/>
    <w:rsid w:val="007D3C15"/>
    <w:rsid w:val="007D467E"/>
    <w:rsid w:val="007D4D44"/>
    <w:rsid w:val="007D50FF"/>
    <w:rsid w:val="007D58A9"/>
    <w:rsid w:val="007D6B5D"/>
    <w:rsid w:val="007D7FFC"/>
    <w:rsid w:val="007E0339"/>
    <w:rsid w:val="007E11B3"/>
    <w:rsid w:val="007E21DF"/>
    <w:rsid w:val="007E27C9"/>
    <w:rsid w:val="007E40A2"/>
    <w:rsid w:val="007E41CB"/>
    <w:rsid w:val="007E5479"/>
    <w:rsid w:val="007E54D7"/>
    <w:rsid w:val="007E5942"/>
    <w:rsid w:val="007E5F8E"/>
    <w:rsid w:val="007E6620"/>
    <w:rsid w:val="007E79A4"/>
    <w:rsid w:val="007F072E"/>
    <w:rsid w:val="007F2366"/>
    <w:rsid w:val="007F6EC7"/>
    <w:rsid w:val="007F75A8"/>
    <w:rsid w:val="007F7EA7"/>
    <w:rsid w:val="00802FC5"/>
    <w:rsid w:val="0080443D"/>
    <w:rsid w:val="00805607"/>
    <w:rsid w:val="0080610D"/>
    <w:rsid w:val="008072DA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537E"/>
    <w:rsid w:val="00835499"/>
    <w:rsid w:val="00835A0A"/>
    <w:rsid w:val="00835ECD"/>
    <w:rsid w:val="008369E5"/>
    <w:rsid w:val="008377E3"/>
    <w:rsid w:val="008378E7"/>
    <w:rsid w:val="00840667"/>
    <w:rsid w:val="00842C27"/>
    <w:rsid w:val="00842C5E"/>
    <w:rsid w:val="00842E36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5910"/>
    <w:rsid w:val="00855D17"/>
    <w:rsid w:val="0085795D"/>
    <w:rsid w:val="00861D80"/>
    <w:rsid w:val="00862936"/>
    <w:rsid w:val="0086745D"/>
    <w:rsid w:val="0086785A"/>
    <w:rsid w:val="00870BF0"/>
    <w:rsid w:val="008716D8"/>
    <w:rsid w:val="008730B6"/>
    <w:rsid w:val="00873D1F"/>
    <w:rsid w:val="0087408A"/>
    <w:rsid w:val="00875ABA"/>
    <w:rsid w:val="00875E8F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2992"/>
    <w:rsid w:val="008A2B5C"/>
    <w:rsid w:val="008A3E3C"/>
    <w:rsid w:val="008A5547"/>
    <w:rsid w:val="008A5AFD"/>
    <w:rsid w:val="008A6CD4"/>
    <w:rsid w:val="008A788A"/>
    <w:rsid w:val="008B1070"/>
    <w:rsid w:val="008B188F"/>
    <w:rsid w:val="008B3022"/>
    <w:rsid w:val="008B3792"/>
    <w:rsid w:val="008B47B4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C05"/>
    <w:rsid w:val="008D5000"/>
    <w:rsid w:val="008D668D"/>
    <w:rsid w:val="008D6D40"/>
    <w:rsid w:val="008D71CE"/>
    <w:rsid w:val="008E0E94"/>
    <w:rsid w:val="008E1234"/>
    <w:rsid w:val="008E197A"/>
    <w:rsid w:val="008E25B6"/>
    <w:rsid w:val="008E407F"/>
    <w:rsid w:val="008E444B"/>
    <w:rsid w:val="008E5664"/>
    <w:rsid w:val="008E5787"/>
    <w:rsid w:val="008F039B"/>
    <w:rsid w:val="008F1C67"/>
    <w:rsid w:val="008F238D"/>
    <w:rsid w:val="008F2611"/>
    <w:rsid w:val="008F4312"/>
    <w:rsid w:val="00903884"/>
    <w:rsid w:val="00903CDB"/>
    <w:rsid w:val="009057D2"/>
    <w:rsid w:val="00905A7F"/>
    <w:rsid w:val="00906247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97F"/>
    <w:rsid w:val="0094033A"/>
    <w:rsid w:val="0094091B"/>
    <w:rsid w:val="009409F4"/>
    <w:rsid w:val="00940EA4"/>
    <w:rsid w:val="00941581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A8E"/>
    <w:rsid w:val="0095758E"/>
    <w:rsid w:val="00961347"/>
    <w:rsid w:val="00962377"/>
    <w:rsid w:val="00962382"/>
    <w:rsid w:val="00962886"/>
    <w:rsid w:val="00964681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D24"/>
    <w:rsid w:val="009814D8"/>
    <w:rsid w:val="00982037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4FA"/>
    <w:rsid w:val="009A4689"/>
    <w:rsid w:val="009A5698"/>
    <w:rsid w:val="009B09CD"/>
    <w:rsid w:val="009B1028"/>
    <w:rsid w:val="009B2383"/>
    <w:rsid w:val="009B4356"/>
    <w:rsid w:val="009B6193"/>
    <w:rsid w:val="009C0566"/>
    <w:rsid w:val="009C07D4"/>
    <w:rsid w:val="009C1272"/>
    <w:rsid w:val="009C1595"/>
    <w:rsid w:val="009C23A8"/>
    <w:rsid w:val="009C2AC9"/>
    <w:rsid w:val="009C30AA"/>
    <w:rsid w:val="009C43D1"/>
    <w:rsid w:val="009C5608"/>
    <w:rsid w:val="009C59A6"/>
    <w:rsid w:val="009C59FC"/>
    <w:rsid w:val="009C5BA9"/>
    <w:rsid w:val="009C6A52"/>
    <w:rsid w:val="009D068B"/>
    <w:rsid w:val="009D0A30"/>
    <w:rsid w:val="009D0AB2"/>
    <w:rsid w:val="009D3276"/>
    <w:rsid w:val="009D444C"/>
    <w:rsid w:val="009D4525"/>
    <w:rsid w:val="009D473A"/>
    <w:rsid w:val="009D4B14"/>
    <w:rsid w:val="009D5952"/>
    <w:rsid w:val="009E1533"/>
    <w:rsid w:val="009E16D8"/>
    <w:rsid w:val="009E1EBE"/>
    <w:rsid w:val="009E232D"/>
    <w:rsid w:val="009E2383"/>
    <w:rsid w:val="009E2715"/>
    <w:rsid w:val="009E2785"/>
    <w:rsid w:val="009E3804"/>
    <w:rsid w:val="009E3FD2"/>
    <w:rsid w:val="009E5870"/>
    <w:rsid w:val="009E750B"/>
    <w:rsid w:val="009F08F6"/>
    <w:rsid w:val="009F0CDB"/>
    <w:rsid w:val="009F0EA4"/>
    <w:rsid w:val="009F2A0F"/>
    <w:rsid w:val="009F39CB"/>
    <w:rsid w:val="009F3F07"/>
    <w:rsid w:val="009F7CEA"/>
    <w:rsid w:val="009F7E7A"/>
    <w:rsid w:val="00A00EE5"/>
    <w:rsid w:val="00A0486F"/>
    <w:rsid w:val="00A049E2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D8D"/>
    <w:rsid w:val="00A275DA"/>
    <w:rsid w:val="00A27692"/>
    <w:rsid w:val="00A305A5"/>
    <w:rsid w:val="00A31C6F"/>
    <w:rsid w:val="00A3560F"/>
    <w:rsid w:val="00A35D4E"/>
    <w:rsid w:val="00A35D99"/>
    <w:rsid w:val="00A35DD1"/>
    <w:rsid w:val="00A366DD"/>
    <w:rsid w:val="00A36DC1"/>
    <w:rsid w:val="00A40714"/>
    <w:rsid w:val="00A40884"/>
    <w:rsid w:val="00A42C28"/>
    <w:rsid w:val="00A43A51"/>
    <w:rsid w:val="00A43B6B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337D"/>
    <w:rsid w:val="00A55079"/>
    <w:rsid w:val="00A5564B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3A4"/>
    <w:rsid w:val="00A96DCC"/>
    <w:rsid w:val="00A97DC1"/>
    <w:rsid w:val="00AA188F"/>
    <w:rsid w:val="00AA2B9C"/>
    <w:rsid w:val="00AA3C3D"/>
    <w:rsid w:val="00AA530D"/>
    <w:rsid w:val="00AA53B0"/>
    <w:rsid w:val="00AA63A9"/>
    <w:rsid w:val="00AA6F19"/>
    <w:rsid w:val="00AA7E07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3A4B"/>
    <w:rsid w:val="00AC4B40"/>
    <w:rsid w:val="00AC60C2"/>
    <w:rsid w:val="00AC6CC4"/>
    <w:rsid w:val="00AC6D00"/>
    <w:rsid w:val="00AC76C6"/>
    <w:rsid w:val="00AD0973"/>
    <w:rsid w:val="00AD2392"/>
    <w:rsid w:val="00AD268D"/>
    <w:rsid w:val="00AD28E5"/>
    <w:rsid w:val="00AD3749"/>
    <w:rsid w:val="00AD3F85"/>
    <w:rsid w:val="00AD4337"/>
    <w:rsid w:val="00AD6723"/>
    <w:rsid w:val="00AD6AE6"/>
    <w:rsid w:val="00AE3781"/>
    <w:rsid w:val="00AE45F9"/>
    <w:rsid w:val="00AE5693"/>
    <w:rsid w:val="00AE7BCF"/>
    <w:rsid w:val="00AE7D6D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6F0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5DC"/>
    <w:rsid w:val="00B73C63"/>
    <w:rsid w:val="00B74739"/>
    <w:rsid w:val="00B74E3D"/>
    <w:rsid w:val="00B753D1"/>
    <w:rsid w:val="00B756CE"/>
    <w:rsid w:val="00B76BCF"/>
    <w:rsid w:val="00B77BB8"/>
    <w:rsid w:val="00B8242B"/>
    <w:rsid w:val="00B83455"/>
    <w:rsid w:val="00B83D06"/>
    <w:rsid w:val="00B844E8"/>
    <w:rsid w:val="00B90809"/>
    <w:rsid w:val="00B91B6F"/>
    <w:rsid w:val="00B92315"/>
    <w:rsid w:val="00B9272C"/>
    <w:rsid w:val="00B936F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43E0"/>
    <w:rsid w:val="00BA44EB"/>
    <w:rsid w:val="00BA453C"/>
    <w:rsid w:val="00BA477A"/>
    <w:rsid w:val="00BA58DF"/>
    <w:rsid w:val="00BA5A59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5261"/>
    <w:rsid w:val="00BD5557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4644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0751"/>
    <w:rsid w:val="00C11262"/>
    <w:rsid w:val="00C11CDA"/>
    <w:rsid w:val="00C12A01"/>
    <w:rsid w:val="00C12AEB"/>
    <w:rsid w:val="00C1356B"/>
    <w:rsid w:val="00C1421A"/>
    <w:rsid w:val="00C151D0"/>
    <w:rsid w:val="00C17526"/>
    <w:rsid w:val="00C17C1B"/>
    <w:rsid w:val="00C20366"/>
    <w:rsid w:val="00C237F5"/>
    <w:rsid w:val="00C24241"/>
    <w:rsid w:val="00C247D2"/>
    <w:rsid w:val="00C24A70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50BCF"/>
    <w:rsid w:val="00C5217A"/>
    <w:rsid w:val="00C52979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80C9F"/>
    <w:rsid w:val="00C80D03"/>
    <w:rsid w:val="00C80D37"/>
    <w:rsid w:val="00C811D4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642"/>
    <w:rsid w:val="00C94AEE"/>
    <w:rsid w:val="00C95FF7"/>
    <w:rsid w:val="00C96AF0"/>
    <w:rsid w:val="00C97264"/>
    <w:rsid w:val="00C975ED"/>
    <w:rsid w:val="00CA1130"/>
    <w:rsid w:val="00CA1F8F"/>
    <w:rsid w:val="00CA2591"/>
    <w:rsid w:val="00CA27EC"/>
    <w:rsid w:val="00CA6689"/>
    <w:rsid w:val="00CB147A"/>
    <w:rsid w:val="00CB285C"/>
    <w:rsid w:val="00CB3B01"/>
    <w:rsid w:val="00CB6234"/>
    <w:rsid w:val="00CB62CB"/>
    <w:rsid w:val="00CB7A46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F16FB"/>
    <w:rsid w:val="00CF2295"/>
    <w:rsid w:val="00CF2A3D"/>
    <w:rsid w:val="00CF3BDE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7ABE"/>
    <w:rsid w:val="00D10338"/>
    <w:rsid w:val="00D103C0"/>
    <w:rsid w:val="00D10F21"/>
    <w:rsid w:val="00D12474"/>
    <w:rsid w:val="00D124AC"/>
    <w:rsid w:val="00D12CD5"/>
    <w:rsid w:val="00D12DEE"/>
    <w:rsid w:val="00D134E7"/>
    <w:rsid w:val="00D13972"/>
    <w:rsid w:val="00D150CF"/>
    <w:rsid w:val="00D152E1"/>
    <w:rsid w:val="00D15DE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30761"/>
    <w:rsid w:val="00D307A6"/>
    <w:rsid w:val="00D312F2"/>
    <w:rsid w:val="00D329E8"/>
    <w:rsid w:val="00D32D79"/>
    <w:rsid w:val="00D32EFC"/>
    <w:rsid w:val="00D33562"/>
    <w:rsid w:val="00D33C85"/>
    <w:rsid w:val="00D36C35"/>
    <w:rsid w:val="00D36D37"/>
    <w:rsid w:val="00D41C47"/>
    <w:rsid w:val="00D42073"/>
    <w:rsid w:val="00D44748"/>
    <w:rsid w:val="00D44888"/>
    <w:rsid w:val="00D44A8F"/>
    <w:rsid w:val="00D44FF2"/>
    <w:rsid w:val="00D472B8"/>
    <w:rsid w:val="00D476C0"/>
    <w:rsid w:val="00D528F4"/>
    <w:rsid w:val="00D52AAA"/>
    <w:rsid w:val="00D53033"/>
    <w:rsid w:val="00D53161"/>
    <w:rsid w:val="00D5432B"/>
    <w:rsid w:val="00D5494D"/>
    <w:rsid w:val="00D54BC4"/>
    <w:rsid w:val="00D57377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7062"/>
    <w:rsid w:val="00D6710D"/>
    <w:rsid w:val="00D70BB5"/>
    <w:rsid w:val="00D70D9F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26C7"/>
    <w:rsid w:val="00D8390C"/>
    <w:rsid w:val="00D84566"/>
    <w:rsid w:val="00D91A29"/>
    <w:rsid w:val="00D922A5"/>
    <w:rsid w:val="00D92951"/>
    <w:rsid w:val="00D92D94"/>
    <w:rsid w:val="00D93788"/>
    <w:rsid w:val="00D9485C"/>
    <w:rsid w:val="00D94B05"/>
    <w:rsid w:val="00D9667F"/>
    <w:rsid w:val="00D97DF1"/>
    <w:rsid w:val="00DA122F"/>
    <w:rsid w:val="00DA3576"/>
    <w:rsid w:val="00DA3A26"/>
    <w:rsid w:val="00DA3D06"/>
    <w:rsid w:val="00DA3D0C"/>
    <w:rsid w:val="00DA3EDB"/>
    <w:rsid w:val="00DA63CC"/>
    <w:rsid w:val="00DA72BB"/>
    <w:rsid w:val="00DA7631"/>
    <w:rsid w:val="00DA7F0D"/>
    <w:rsid w:val="00DB1E11"/>
    <w:rsid w:val="00DB222D"/>
    <w:rsid w:val="00DB3360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40E8"/>
    <w:rsid w:val="00DC5242"/>
    <w:rsid w:val="00DC6045"/>
    <w:rsid w:val="00DC77AA"/>
    <w:rsid w:val="00DD0A5D"/>
    <w:rsid w:val="00DD0B1F"/>
    <w:rsid w:val="00DD2D46"/>
    <w:rsid w:val="00DD369B"/>
    <w:rsid w:val="00DD3BD5"/>
    <w:rsid w:val="00DD4535"/>
    <w:rsid w:val="00DD4BFF"/>
    <w:rsid w:val="00DD5845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622B"/>
    <w:rsid w:val="00DF69A3"/>
    <w:rsid w:val="00DF6CC2"/>
    <w:rsid w:val="00DF7A81"/>
    <w:rsid w:val="00E006E4"/>
    <w:rsid w:val="00E02800"/>
    <w:rsid w:val="00E02AAD"/>
    <w:rsid w:val="00E02D4E"/>
    <w:rsid w:val="00E02E88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4AFB"/>
    <w:rsid w:val="00E15583"/>
    <w:rsid w:val="00E16539"/>
    <w:rsid w:val="00E16650"/>
    <w:rsid w:val="00E20E6F"/>
    <w:rsid w:val="00E245D5"/>
    <w:rsid w:val="00E279D3"/>
    <w:rsid w:val="00E31C35"/>
    <w:rsid w:val="00E332E8"/>
    <w:rsid w:val="00E33B8F"/>
    <w:rsid w:val="00E341B7"/>
    <w:rsid w:val="00E34E4E"/>
    <w:rsid w:val="00E40624"/>
    <w:rsid w:val="00E408BF"/>
    <w:rsid w:val="00E41911"/>
    <w:rsid w:val="00E4329F"/>
    <w:rsid w:val="00E46B4D"/>
    <w:rsid w:val="00E46D15"/>
    <w:rsid w:val="00E47A90"/>
    <w:rsid w:val="00E50D4A"/>
    <w:rsid w:val="00E532A8"/>
    <w:rsid w:val="00E53AC4"/>
    <w:rsid w:val="00E53C1B"/>
    <w:rsid w:val="00E53CF3"/>
    <w:rsid w:val="00E544C1"/>
    <w:rsid w:val="00E54D26"/>
    <w:rsid w:val="00E550EC"/>
    <w:rsid w:val="00E55DFC"/>
    <w:rsid w:val="00E56BC6"/>
    <w:rsid w:val="00E5708C"/>
    <w:rsid w:val="00E57F35"/>
    <w:rsid w:val="00E610D6"/>
    <w:rsid w:val="00E62599"/>
    <w:rsid w:val="00E62A4F"/>
    <w:rsid w:val="00E64AB4"/>
    <w:rsid w:val="00E65013"/>
    <w:rsid w:val="00E651DE"/>
    <w:rsid w:val="00E654B6"/>
    <w:rsid w:val="00E66E21"/>
    <w:rsid w:val="00E671A0"/>
    <w:rsid w:val="00E70BBA"/>
    <w:rsid w:val="00E71C91"/>
    <w:rsid w:val="00E72803"/>
    <w:rsid w:val="00E72D22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40DC"/>
    <w:rsid w:val="00E840E7"/>
    <w:rsid w:val="00E85F2F"/>
    <w:rsid w:val="00E86A5A"/>
    <w:rsid w:val="00E873C2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F96"/>
    <w:rsid w:val="00EA48D0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5B2"/>
    <w:rsid w:val="00EE71EF"/>
    <w:rsid w:val="00EE7DA9"/>
    <w:rsid w:val="00EF214A"/>
    <w:rsid w:val="00EF34D3"/>
    <w:rsid w:val="00EF38CF"/>
    <w:rsid w:val="00EF3C89"/>
    <w:rsid w:val="00EF5339"/>
    <w:rsid w:val="00EF57AD"/>
    <w:rsid w:val="00EF6B9E"/>
    <w:rsid w:val="00F02C85"/>
    <w:rsid w:val="00F02F18"/>
    <w:rsid w:val="00F03081"/>
    <w:rsid w:val="00F03EC4"/>
    <w:rsid w:val="00F047A1"/>
    <w:rsid w:val="00F04926"/>
    <w:rsid w:val="00F04D2F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8DD"/>
    <w:rsid w:val="00F8644C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FE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5CFA"/>
    <w:rsid w:val="00FC64E4"/>
    <w:rsid w:val="00FD0236"/>
    <w:rsid w:val="00FD066C"/>
    <w:rsid w:val="00FD298B"/>
    <w:rsid w:val="00FD34F8"/>
    <w:rsid w:val="00FD554D"/>
    <w:rsid w:val="00FD5812"/>
    <w:rsid w:val="00FD5B24"/>
    <w:rsid w:val="00FD6125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322C"/>
    <w:rsid w:val="00FF32B1"/>
    <w:rsid w:val="00FF373C"/>
    <w:rsid w:val="00FF42CB"/>
    <w:rsid w:val="00FF5E81"/>
    <w:rsid w:val="00FF6598"/>
    <w:rsid w:val="00FF7DFD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Char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Char">
    <w:name w:val="标题 4 Char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标题 6 Char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标题 7 Char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标题 8 Char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2">
    <w:name w:val="Document Map"/>
    <w:basedOn w:val="a"/>
    <w:link w:val="Char3"/>
    <w:semiHidden/>
    <w:unhideWhenUsed/>
    <w:rsid w:val="00920333"/>
    <w:rPr>
      <w:rFonts w:ascii="SimSun" w:eastAsia="SimSun"/>
      <w:szCs w:val="18"/>
    </w:rPr>
  </w:style>
  <w:style w:type="character" w:customStyle="1" w:styleId="Char3">
    <w:name w:val="文档结构图 Char"/>
    <w:basedOn w:val="a0"/>
    <w:link w:val="af2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3">
    <w:name w:val="Date"/>
    <w:basedOn w:val="a"/>
    <w:next w:val="a"/>
    <w:link w:val="Char4"/>
    <w:rsid w:val="00D12CD5"/>
  </w:style>
  <w:style w:type="character" w:customStyle="1" w:styleId="Char4">
    <w:name w:val="日期 Char"/>
    <w:basedOn w:val="a0"/>
    <w:link w:val="af3"/>
    <w:rsid w:val="00D12CD5"/>
    <w:rPr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734E-38BD-4B01-8004-F6848ACDC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5C43D-7DB0-4153-8032-6A97C7330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2EF99-ACDA-4879-B597-D4C4F8B33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3AE848-5C0A-433E-A1D9-3BBD8917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Huawei Technologies Co.,Ltd.</Company>
  <LinksUpToDate>false</LinksUpToDate>
  <CharactersWithSpaces>2250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MING GAN</dc:creator>
  <cp:keywords>March 2015, CTPClassification=CTP_IC:VisualMarkings=</cp:keywords>
  <cp:lastModifiedBy>Windows 用户</cp:lastModifiedBy>
  <cp:revision>3</cp:revision>
  <cp:lastPrinted>2010-05-04T03:47:00Z</cp:lastPrinted>
  <dcterms:created xsi:type="dcterms:W3CDTF">2016-11-07T07:14:00Z</dcterms:created>
  <dcterms:modified xsi:type="dcterms:W3CDTF">2016-11-07T07:14:00Z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