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252D91" w:rsidP="00252D91">
            <w:pPr>
              <w:pStyle w:val="T2"/>
              <w:jc w:val="left"/>
            </w:pPr>
            <w:r>
              <w:rPr>
                <w:lang w:eastAsia="ko-KR"/>
              </w:rPr>
              <w:t>Spec text</w:t>
            </w:r>
            <w:r w:rsidR="007640E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for</w:t>
            </w:r>
            <w:r w:rsidR="007640EC">
              <w:rPr>
                <w:rFonts w:hint="eastAsia"/>
                <w:lang w:eastAsia="ko-KR"/>
              </w:rPr>
              <w:t xml:space="preserve"> </w:t>
            </w:r>
            <w:r w:rsidR="00517A11">
              <w:rPr>
                <w:rFonts w:hint="eastAsia"/>
                <w:lang w:eastAsia="ko-KR"/>
              </w:rPr>
              <w:t xml:space="preserve">section </w:t>
            </w:r>
            <w:r w:rsidR="00517A11">
              <w:rPr>
                <w:lang w:eastAsia="ko-KR"/>
              </w:rPr>
              <w:t>25.4 B</w:t>
            </w:r>
            <w:r w:rsidR="002813EC">
              <w:rPr>
                <w:lang w:eastAsia="ko-KR"/>
              </w:rPr>
              <w:t>lock Acknowledgement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FC6B3A">
            <w:pPr>
              <w:pStyle w:val="T2"/>
              <w:ind w:left="0"/>
              <w:rPr>
                <w:b w:val="0"/>
                <w:sz w:val="20"/>
              </w:rPr>
            </w:pPr>
            <w:bookmarkStart w:id="0" w:name="_GoBack"/>
            <w:bookmarkEnd w:id="0"/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7F010B">
              <w:rPr>
                <w:b w:val="0"/>
                <w:sz w:val="20"/>
                <w:lang w:eastAsia="ko-KR"/>
              </w:rPr>
              <w:t>1</w:t>
            </w:r>
            <w:r w:rsidR="00FC6B3A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C6B3A">
              <w:rPr>
                <w:b w:val="0"/>
                <w:sz w:val="20"/>
                <w:lang w:eastAsia="ko-KR"/>
              </w:rPr>
              <w:t>0</w:t>
            </w:r>
            <w:r w:rsidR="0039673D">
              <w:rPr>
                <w:b w:val="0"/>
                <w:sz w:val="20"/>
                <w:lang w:eastAsia="ko-KR"/>
              </w:rPr>
              <w:t>6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D74DE9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4062B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9E0A62" w:rsidRDefault="00CE6250" w:rsidP="00A751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Jeongki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Kim</w:t>
            </w:r>
          </w:p>
          <w:p w:rsidR="00A75168" w:rsidRDefault="00A75168" w:rsidP="00A751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Kiseon Ryu</w:t>
            </w:r>
          </w:p>
          <w:p w:rsidR="00A75168" w:rsidRDefault="00A75168" w:rsidP="00A751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Jayh Park</w:t>
            </w:r>
          </w:p>
        </w:tc>
        <w:tc>
          <w:tcPr>
            <w:tcW w:w="1440" w:type="dxa"/>
            <w:vAlign w:val="center"/>
          </w:tcPr>
          <w:p w:rsidR="0054062B" w:rsidRDefault="00CE625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54062B" w:rsidRPr="002C60AE" w:rsidRDefault="0054062B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54062B" w:rsidRPr="002C60AE" w:rsidRDefault="0054062B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54062B" w:rsidRDefault="00D1673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E6250" w:rsidRPr="008B0FE1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j</w:t>
              </w:r>
              <w:r w:rsidR="00CE6250" w:rsidRPr="008B0FE1">
                <w:rPr>
                  <w:rStyle w:val="a6"/>
                  <w:b w:val="0"/>
                  <w:sz w:val="18"/>
                  <w:szCs w:val="18"/>
                  <w:lang w:eastAsia="ko-KR"/>
                </w:rPr>
                <w:t>eongki</w:t>
              </w:r>
              <w:r w:rsidR="00CE6250" w:rsidRPr="008B0FE1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.kim@lge.com</w:t>
              </w:r>
            </w:hyperlink>
          </w:p>
          <w:p w:rsidR="00CE6250" w:rsidRPr="001D7948" w:rsidRDefault="00CE625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7D3D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EE7D3D" w:rsidRDefault="00EE7D3D" w:rsidP="00EE7D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EE7D3D" w:rsidRDefault="00EE7D3D" w:rsidP="00EE7D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EE7D3D" w:rsidRPr="002C60AE" w:rsidRDefault="00EE7D3D" w:rsidP="00EE7D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EE7D3D" w:rsidRPr="002C60AE" w:rsidRDefault="00EE7D3D" w:rsidP="00EE7D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E7D3D" w:rsidRDefault="00EE7D3D" w:rsidP="00EE7D3D">
            <w:pPr>
              <w:pStyle w:val="T2"/>
              <w:spacing w:after="0"/>
              <w:ind w:left="0" w:right="0"/>
              <w:jc w:val="left"/>
            </w:pPr>
          </w:p>
        </w:tc>
      </w:tr>
      <w:tr w:rsidR="00EE7D3D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EE7D3D" w:rsidRPr="00183F4C" w:rsidRDefault="00EE7D3D" w:rsidP="00EE7D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EE7D3D" w:rsidRPr="00183F4C" w:rsidRDefault="00EE7D3D" w:rsidP="00EE7D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EE7D3D" w:rsidRPr="002C60AE" w:rsidRDefault="00EE7D3D" w:rsidP="00EE7D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EE7D3D" w:rsidRPr="002C60AE" w:rsidRDefault="00EE7D3D" w:rsidP="00EE7D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E7D3D" w:rsidRDefault="00EE7D3D" w:rsidP="00EE7D3D">
            <w:pPr>
              <w:pStyle w:val="T2"/>
              <w:spacing w:after="0"/>
              <w:ind w:left="0" w:right="0"/>
              <w:jc w:val="left"/>
            </w:pPr>
          </w:p>
        </w:tc>
      </w:tr>
      <w:tr w:rsidR="00EE7D3D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EE7D3D" w:rsidRDefault="00EE7D3D" w:rsidP="00EE7D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EE7D3D" w:rsidRDefault="00EE7D3D" w:rsidP="00EE7D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EE7D3D" w:rsidRPr="002C60AE" w:rsidRDefault="00EE7D3D" w:rsidP="00EE7D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EE7D3D" w:rsidRPr="002C60AE" w:rsidRDefault="00EE7D3D" w:rsidP="00EE7D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E7D3D" w:rsidRDefault="00EE7D3D" w:rsidP="00EE7D3D">
            <w:pPr>
              <w:pStyle w:val="T2"/>
              <w:spacing w:after="0"/>
              <w:ind w:left="0" w:right="0"/>
              <w:jc w:val="left"/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submission </w:t>
      </w:r>
      <w:r w:rsidR="00517A11">
        <w:rPr>
          <w:lang w:eastAsia="ko-KR"/>
        </w:rPr>
        <w:t>is</w:t>
      </w:r>
      <w:r>
        <w:rPr>
          <w:rFonts w:hint="eastAsia"/>
          <w:lang w:eastAsia="ko-KR"/>
        </w:rPr>
        <w:t xml:space="preserve"> </w:t>
      </w:r>
      <w:r w:rsidR="00517A11">
        <w:rPr>
          <w:lang w:eastAsia="ko-KR"/>
        </w:rPr>
        <w:t xml:space="preserve">the document for clarifying the texts in </w:t>
      </w:r>
      <w:proofErr w:type="spellStart"/>
      <w:r w:rsidR="00517A11">
        <w:rPr>
          <w:lang w:eastAsia="ko-KR"/>
        </w:rPr>
        <w:t>subclause</w:t>
      </w:r>
      <w:proofErr w:type="spellEnd"/>
      <w:r w:rsidR="00517A11">
        <w:rPr>
          <w:lang w:eastAsia="ko-KR"/>
        </w:rPr>
        <w:t xml:space="preserve"> 25.4 BA in D0.5.</w:t>
      </w:r>
    </w:p>
    <w:p w:rsidR="00C3596F" w:rsidRDefault="00C3596F" w:rsidP="003E4403">
      <w:pPr>
        <w:jc w:val="both"/>
      </w:pPr>
    </w:p>
    <w:p w:rsidR="00AC3A4B" w:rsidRPr="00303CA1" w:rsidRDefault="00AC3A4B" w:rsidP="003E4403">
      <w:pPr>
        <w:jc w:val="both"/>
      </w:pPr>
    </w:p>
    <w:p w:rsidR="00AC0237" w:rsidRDefault="00AC0237" w:rsidP="003E4403">
      <w:pPr>
        <w:jc w:val="both"/>
      </w:pPr>
    </w:p>
    <w:p w:rsidR="00AC3A4B" w:rsidRDefault="00AC3A4B" w:rsidP="003E4403">
      <w:pPr>
        <w:jc w:val="both"/>
      </w:pPr>
    </w:p>
    <w:p w:rsidR="00AC3A4B" w:rsidRDefault="00AC3A4B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BA6C7C" w:rsidRDefault="00BA6C7C" w:rsidP="00DD70FA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02211B" w:rsidRDefault="0002211B" w:rsidP="00832DB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 w:hint="eastAsia"/>
          <w:b/>
          <w:bCs/>
          <w:color w:val="000000"/>
          <w:sz w:val="22"/>
          <w:szCs w:val="22"/>
          <w:lang w:val="en-US" w:eastAsia="ko-KR"/>
        </w:rPr>
        <w:t>Discussion:</w:t>
      </w:r>
    </w:p>
    <w:p w:rsidR="00CA40A6" w:rsidRDefault="00953B22" w:rsidP="002813E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</w:pPr>
      <w:r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In </w:t>
      </w:r>
      <w:r w:rsidRPr="00953B22">
        <w:rPr>
          <w:rFonts w:ascii="Arial" w:hAnsi="Arial" w:cs="Arial" w:hint="eastAsia"/>
          <w:bCs/>
          <w:color w:val="000000"/>
          <w:sz w:val="20"/>
          <w:szCs w:val="22"/>
          <w:lang w:val="en-US" w:eastAsia="ko-KR"/>
        </w:rPr>
        <w:t xml:space="preserve">9.3.1.9.7 Multi-STA </w:t>
      </w:r>
      <w:proofErr w:type="spellStart"/>
      <w:r w:rsidRPr="00953B22">
        <w:rPr>
          <w:rFonts w:ascii="Arial" w:hAnsi="Arial" w:cs="Arial" w:hint="eastAsia"/>
          <w:bCs/>
          <w:color w:val="000000"/>
          <w:sz w:val="20"/>
          <w:szCs w:val="22"/>
          <w:lang w:val="en-US" w:eastAsia="ko-KR"/>
        </w:rPr>
        <w:t>BlockAck</w:t>
      </w:r>
      <w:proofErr w:type="spellEnd"/>
      <w:r w:rsidRPr="00953B22">
        <w:rPr>
          <w:rFonts w:ascii="Arial" w:hAnsi="Arial" w:cs="Arial" w:hint="eastAsia"/>
          <w:bCs/>
          <w:color w:val="000000"/>
          <w:sz w:val="20"/>
          <w:szCs w:val="22"/>
          <w:lang w:val="en-US" w:eastAsia="ko-KR"/>
        </w:rPr>
        <w:t xml:space="preserve"> variant</w:t>
      </w:r>
      <w:r w:rsidRPr="00953B22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(D0.5)</w:t>
      </w:r>
      <w:r w:rsidRPr="00953B22">
        <w:rPr>
          <w:rFonts w:ascii="Arial" w:hAnsi="Arial" w:cs="Arial" w:hint="eastAsia"/>
          <w:bCs/>
          <w:color w:val="000000"/>
          <w:sz w:val="20"/>
          <w:szCs w:val="22"/>
          <w:lang w:val="en-US" w:eastAsia="ko-KR"/>
        </w:rPr>
        <w:t>,</w:t>
      </w:r>
      <w:r>
        <w:rPr>
          <w:rFonts w:hint="eastAsia"/>
          <w:b/>
          <w:bCs/>
        </w:rPr>
        <w:t xml:space="preserve"> </w:t>
      </w:r>
      <w:r w:rsidR="00517A11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ACK of all MPDUs in an A-MPDU </w:t>
      </w:r>
      <w:r w:rsidR="002813EC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is indicated by </w:t>
      </w:r>
      <w:proofErr w:type="spellStart"/>
      <w:r w:rsidR="002813EC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A</w:t>
      </w:r>
      <w:r w:rsidR="0059175F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ck</w:t>
      </w:r>
      <w:proofErr w:type="spellEnd"/>
      <w:r w:rsidR="002813EC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Type = 1 and TID subfield = 14 of Multi-STA Block ACK frame. </w:t>
      </w:r>
      <w:r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The same concept should also be used in other </w:t>
      </w:r>
      <w:proofErr w:type="spellStart"/>
      <w:r w:rsidR="002813EC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subclause</w:t>
      </w:r>
      <w:r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s</w:t>
      </w:r>
      <w:proofErr w:type="spellEnd"/>
      <w:r w:rsidR="002813EC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(</w:t>
      </w:r>
      <w:r w:rsidR="002813EC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25.4</w:t>
      </w:r>
      <w:r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 xml:space="preserve"> Block Acknowledgement)</w:t>
      </w:r>
      <w:r w:rsidR="002813EC">
        <w:rPr>
          <w:rFonts w:ascii="Arial" w:hAnsi="Arial" w:cs="Arial"/>
          <w:bCs/>
          <w:color w:val="000000"/>
          <w:sz w:val="20"/>
          <w:szCs w:val="22"/>
          <w:lang w:val="en-US" w:eastAsia="ko-KR"/>
        </w:rPr>
        <w:t>.</w:t>
      </w:r>
      <w:r w:rsidR="002813EC">
        <w:t xml:space="preserve"> </w:t>
      </w:r>
    </w:p>
    <w:p w:rsidR="002813EC" w:rsidRDefault="002813EC" w:rsidP="002813E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</w:pPr>
    </w:p>
    <w:p w:rsidR="00344EA1" w:rsidRDefault="00344EA1" w:rsidP="00344E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2813E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th</w:t>
      </w:r>
      <w:r>
        <w:rPr>
          <w:rFonts w:hint="eastAsia"/>
          <w:b/>
          <w:i/>
          <w:color w:val="000000"/>
          <w:sz w:val="20"/>
          <w:highlight w:val="yellow"/>
          <w:lang w:val="en-US" w:eastAsia="ko-KR"/>
        </w:rPr>
        <w:t xml:space="preserve">e </w:t>
      </w:r>
      <w:proofErr w:type="spellStart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>
        <w:rPr>
          <w:rFonts w:hint="eastAsia"/>
          <w:b/>
          <w:i/>
          <w:color w:val="000000"/>
          <w:sz w:val="20"/>
          <w:highlight w:val="yellow"/>
          <w:lang w:val="en-US" w:eastAsia="ko-KR"/>
        </w:rPr>
        <w:t xml:space="preserve"> 25.</w:t>
      </w:r>
      <w:r w:rsidR="002813EC">
        <w:rPr>
          <w:b/>
          <w:i/>
          <w:color w:val="000000"/>
          <w:sz w:val="20"/>
          <w:highlight w:val="yellow"/>
          <w:lang w:val="en-US" w:eastAsia="ko-KR"/>
        </w:rPr>
        <w:t>4.2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follows</w:t>
      </w:r>
      <w:r w:rsidR="002813E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(D0.5)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:rsidR="002813EC" w:rsidRDefault="002813EC" w:rsidP="002813EC">
      <w:pPr>
        <w:pStyle w:val="3"/>
        <w:ind w:left="360" w:hanging="360"/>
      </w:pPr>
      <w:r>
        <w:t xml:space="preserve">25.4.2 Acknowledgement, block acknowledgment or all acknowledgement selection in a Multi-STA </w:t>
      </w:r>
      <w:proofErr w:type="spellStart"/>
      <w:r>
        <w:t>BlockAck</w:t>
      </w:r>
      <w:proofErr w:type="spellEnd"/>
      <w:r>
        <w:t xml:space="preserve"> frame</w:t>
      </w:r>
    </w:p>
    <w:p w:rsidR="002813EC" w:rsidRDefault="002813EC" w:rsidP="002813E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Arial" w:hAnsi="Arial" w:cs="Arial"/>
          <w:bCs/>
          <w:color w:val="000000"/>
          <w:sz w:val="20"/>
          <w:szCs w:val="22"/>
          <w:lang w:eastAsia="ko-KR"/>
        </w:rPr>
      </w:pPr>
      <w:r>
        <w:rPr>
          <w:rFonts w:ascii="Arial" w:hAnsi="Arial" w:cs="Arial"/>
          <w:bCs/>
          <w:color w:val="000000"/>
          <w:sz w:val="20"/>
          <w:szCs w:val="22"/>
          <w:lang w:eastAsia="ko-KR"/>
        </w:rPr>
        <w:t>…</w:t>
      </w:r>
    </w:p>
    <w:p w:rsidR="002813EC" w:rsidRPr="00517A11" w:rsidRDefault="002813EC" w:rsidP="002813E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Arial" w:hAnsi="Arial" w:cs="Arial"/>
          <w:bCs/>
          <w:color w:val="000000"/>
          <w:sz w:val="20"/>
          <w:szCs w:val="22"/>
          <w:lang w:eastAsia="ko-KR"/>
        </w:rPr>
      </w:pPr>
      <w:r>
        <w:rPr>
          <w:sz w:val="20"/>
        </w:rPr>
        <w:t xml:space="preserve">Upon reception of the Multi-STA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 the originator performs the following operations for </w:t>
      </w:r>
      <w:proofErr w:type="gramStart"/>
      <w:r>
        <w:rPr>
          <w:sz w:val="20"/>
        </w:rPr>
        <w:t>each(</w:t>
      </w:r>
      <w:proofErr w:type="gramEnd"/>
      <w:r>
        <w:rPr>
          <w:sz w:val="20"/>
        </w:rPr>
        <w:t xml:space="preserve">#31) Per STA Info field that has an AID field addressed(#Ed) to the originator (i.e., the AID subfield is an AID if the originator is a non-AP STA and is 0 when the originator is an AP): </w:t>
      </w:r>
    </w:p>
    <w:p w:rsidR="002813EC" w:rsidRDefault="002813EC" w:rsidP="002813E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sz w:val="20"/>
        </w:rPr>
      </w:pPr>
      <w:r>
        <w:rPr>
          <w:sz w:val="20"/>
        </w:rPr>
        <w:t xml:space="preserve">— If the </w:t>
      </w:r>
      <w:proofErr w:type="spellStart"/>
      <w:r>
        <w:rPr>
          <w:sz w:val="20"/>
        </w:rPr>
        <w:t>A</w:t>
      </w:r>
      <w:r w:rsidR="00D26B5E" w:rsidRPr="00D26B5E">
        <w:rPr>
          <w:color w:val="0070C0"/>
          <w:sz w:val="20"/>
          <w:u w:val="single"/>
        </w:rPr>
        <w:t>ck</w:t>
      </w:r>
      <w:r w:rsidRPr="00D26B5E">
        <w:rPr>
          <w:strike/>
          <w:color w:val="FF0000"/>
          <w:sz w:val="20"/>
        </w:rPr>
        <w:t>CK</w:t>
      </w:r>
      <w:proofErr w:type="spellEnd"/>
      <w:r>
        <w:rPr>
          <w:sz w:val="20"/>
        </w:rPr>
        <w:t xml:space="preserve"> Type field is 0(#2185) then the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Starting Sequence Control, TID and BA Bitmap fields of the Per STA Info field are processed according to 10.24.7 (HT-immediate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mechanism), (#1498)25.3 (Fragmentation), and as defined below.</w:t>
      </w:r>
    </w:p>
    <w:p w:rsidR="002813EC" w:rsidRDefault="002813EC" w:rsidP="002813E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sz w:val="20"/>
        </w:rPr>
      </w:pPr>
      <w:r>
        <w:rPr>
          <w:sz w:val="20"/>
        </w:rPr>
        <w:t xml:space="preserve"> — If the </w:t>
      </w:r>
      <w:proofErr w:type="spellStart"/>
      <w:r w:rsidR="00D26B5E">
        <w:rPr>
          <w:sz w:val="20"/>
        </w:rPr>
        <w:t>A</w:t>
      </w:r>
      <w:r w:rsidR="00D26B5E" w:rsidRPr="00D26B5E">
        <w:rPr>
          <w:color w:val="0070C0"/>
          <w:sz w:val="20"/>
          <w:u w:val="single"/>
        </w:rPr>
        <w:t>ck</w:t>
      </w:r>
      <w:r w:rsidR="00D26B5E" w:rsidRPr="00D26B5E">
        <w:rPr>
          <w:strike/>
          <w:color w:val="FF0000"/>
          <w:sz w:val="20"/>
        </w:rPr>
        <w:t>CK</w:t>
      </w:r>
      <w:proofErr w:type="spellEnd"/>
      <w:r>
        <w:rPr>
          <w:sz w:val="20"/>
        </w:rPr>
        <w:t xml:space="preserve"> Type field is 1(#2185) then the Per STA Info field indicates </w:t>
      </w:r>
      <w:r w:rsidRPr="002813EC">
        <w:rPr>
          <w:strike/>
          <w:color w:val="FF0000"/>
          <w:sz w:val="20"/>
        </w:rPr>
        <w:t>either</w:t>
      </w:r>
      <w:r>
        <w:rPr>
          <w:sz w:val="20"/>
        </w:rPr>
        <w:t xml:space="preserve"> the acknowledgement of a single MPDU identified by the value of the TID </w:t>
      </w:r>
      <w:r w:rsidRPr="002813EC">
        <w:rPr>
          <w:strike/>
          <w:color w:val="FF0000"/>
          <w:sz w:val="20"/>
        </w:rPr>
        <w:t>or of all MPDUs(#1500) carried in the eliciting PPDU as defined by the acknowledgement context</w:t>
      </w:r>
      <w:r w:rsidRPr="002813EC">
        <w:rPr>
          <w:sz w:val="20"/>
        </w:rPr>
        <w:t>.</w:t>
      </w:r>
    </w:p>
    <w:p w:rsidR="002813EC" w:rsidRPr="002813EC" w:rsidRDefault="002813EC" w:rsidP="002813E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color w:val="0070C0"/>
          <w:sz w:val="20"/>
          <w:u w:val="single"/>
        </w:rPr>
      </w:pPr>
      <w:r w:rsidRPr="002813EC">
        <w:rPr>
          <w:color w:val="0070C0"/>
          <w:sz w:val="20"/>
          <w:u w:val="single"/>
        </w:rPr>
        <w:t>—</w:t>
      </w:r>
      <w:r w:rsidRPr="002813EC">
        <w:rPr>
          <w:rFonts w:hint="eastAsia"/>
          <w:color w:val="0070C0"/>
          <w:sz w:val="20"/>
          <w:u w:val="single"/>
        </w:rPr>
        <w:t xml:space="preserve">If the </w:t>
      </w:r>
      <w:proofErr w:type="spellStart"/>
      <w:r w:rsidRPr="002813EC">
        <w:rPr>
          <w:rFonts w:hint="eastAsia"/>
          <w:color w:val="0070C0"/>
          <w:sz w:val="20"/>
          <w:u w:val="single"/>
        </w:rPr>
        <w:t>A</w:t>
      </w:r>
      <w:r w:rsidR="00D26B5E">
        <w:rPr>
          <w:color w:val="0070C0"/>
          <w:sz w:val="20"/>
          <w:u w:val="single"/>
        </w:rPr>
        <w:t>ck</w:t>
      </w:r>
      <w:proofErr w:type="spellEnd"/>
      <w:r w:rsidRPr="002813EC">
        <w:rPr>
          <w:rFonts w:hint="eastAsia"/>
          <w:color w:val="0070C0"/>
          <w:sz w:val="20"/>
          <w:u w:val="single"/>
        </w:rPr>
        <w:t xml:space="preserve"> Type field is 1 and the TID subfield of Per</w:t>
      </w:r>
      <w:r w:rsidR="0010457B">
        <w:rPr>
          <w:color w:val="0070C0"/>
          <w:sz w:val="20"/>
          <w:u w:val="single"/>
        </w:rPr>
        <w:t xml:space="preserve"> AID</w:t>
      </w:r>
      <w:r w:rsidRPr="002813EC">
        <w:rPr>
          <w:rFonts w:hint="eastAsia"/>
          <w:color w:val="0070C0"/>
          <w:sz w:val="20"/>
          <w:u w:val="single"/>
        </w:rPr>
        <w:t xml:space="preserve"> TID Info field is 14, </w:t>
      </w:r>
      <w:r w:rsidRPr="002813EC">
        <w:rPr>
          <w:color w:val="0070C0"/>
          <w:sz w:val="20"/>
          <w:u w:val="single"/>
        </w:rPr>
        <w:t xml:space="preserve">then the Per STA Info </w:t>
      </w:r>
      <w:r w:rsidRPr="002813EC">
        <w:rPr>
          <w:rFonts w:hint="eastAsia"/>
          <w:color w:val="0070C0"/>
          <w:sz w:val="20"/>
          <w:u w:val="single"/>
        </w:rPr>
        <w:t>field indicates the acknowledgement of</w:t>
      </w:r>
      <w:r w:rsidRPr="002813EC">
        <w:rPr>
          <w:color w:val="0070C0"/>
          <w:sz w:val="20"/>
          <w:u w:val="single"/>
        </w:rPr>
        <w:t xml:space="preserve"> all MPDUs carried in the eliciting PPDU as defined by the acknowledgement </w:t>
      </w:r>
      <w:proofErr w:type="gramStart"/>
      <w:r w:rsidRPr="002813EC">
        <w:rPr>
          <w:color w:val="0070C0"/>
          <w:sz w:val="20"/>
          <w:u w:val="single"/>
        </w:rPr>
        <w:t>context</w:t>
      </w:r>
      <w:r w:rsidR="00303CA1">
        <w:rPr>
          <w:color w:val="0070C0"/>
          <w:sz w:val="20"/>
          <w:u w:val="single"/>
        </w:rPr>
        <w:t>(</w:t>
      </w:r>
      <w:proofErr w:type="gramEnd"/>
      <w:r w:rsidR="00303CA1">
        <w:rPr>
          <w:color w:val="0070C0"/>
          <w:sz w:val="20"/>
          <w:u w:val="single"/>
        </w:rPr>
        <w:t>#1500)</w:t>
      </w:r>
      <w:r w:rsidRPr="002813EC">
        <w:rPr>
          <w:color w:val="0070C0"/>
          <w:sz w:val="20"/>
          <w:u w:val="single"/>
        </w:rPr>
        <w:t>.</w:t>
      </w:r>
    </w:p>
    <w:p w:rsidR="00942571" w:rsidRDefault="00942571" w:rsidP="0094257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</w:t>
      </w:r>
      <w:r>
        <w:rPr>
          <w:rFonts w:hint="eastAsia"/>
          <w:b/>
          <w:i/>
          <w:color w:val="000000"/>
          <w:sz w:val="20"/>
          <w:highlight w:val="yellow"/>
          <w:lang w:val="en-US" w:eastAsia="ko-KR"/>
        </w:rPr>
        <w:t xml:space="preserve">e </w:t>
      </w:r>
      <w:proofErr w:type="spellStart"/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>
        <w:rPr>
          <w:rFonts w:hint="eastAsia"/>
          <w:b/>
          <w:i/>
          <w:color w:val="000000"/>
          <w:sz w:val="20"/>
          <w:highlight w:val="yellow"/>
          <w:lang w:val="en-US" w:eastAsia="ko-KR"/>
        </w:rPr>
        <w:t xml:space="preserve"> 25.</w:t>
      </w:r>
      <w:r>
        <w:rPr>
          <w:b/>
          <w:i/>
          <w:color w:val="000000"/>
          <w:sz w:val="20"/>
          <w:highlight w:val="yellow"/>
          <w:lang w:val="en-US" w:eastAsia="ko-KR"/>
        </w:rPr>
        <w:t>4.4.3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follows (D0.5)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:rsidR="00942571" w:rsidRDefault="00942571" w:rsidP="00942571">
      <w:pPr>
        <w:pStyle w:val="3"/>
        <w:ind w:left="360" w:hanging="360"/>
      </w:pPr>
      <w:r>
        <w:t>25.4.4.4 Trigger-based PPDU soliciting a DL SU PPDU response</w:t>
      </w:r>
    </w:p>
    <w:p w:rsidR="00942571" w:rsidRDefault="00942571" w:rsidP="00942571">
      <w:pPr>
        <w:pStyle w:val="BodyText"/>
      </w:pPr>
      <w:r>
        <w:t xml:space="preserve">A non-AP STA that sends a Trigger-based PPDU as a response to a Basic variant Trigger frame that intends to solicit an immediate response shall set the </w:t>
      </w:r>
      <w:proofErr w:type="spellStart"/>
      <w:r>
        <w:t>Ack</w:t>
      </w:r>
      <w:proofErr w:type="spellEnd"/>
      <w:r>
        <w:t xml:space="preserve"> Policy to Normal </w:t>
      </w:r>
      <w:proofErr w:type="spellStart"/>
      <w:r>
        <w:t>Ack</w:t>
      </w:r>
      <w:proofErr w:type="spellEnd"/>
      <w:r>
        <w:t>/Implicit BAR (see 10.3.2.11.4 (MU acknowledgement procedure for an UL MU transmission) for an example of this sequence). If the HE AP intends to send the response in a DL SU PPDU format, then the HE AP shall follow the following acknowledgment procedure:</w:t>
      </w:r>
    </w:p>
    <w:p w:rsidR="00942571" w:rsidRPr="00942571" w:rsidRDefault="00942571" w:rsidP="00942571">
      <w:pPr>
        <w:pStyle w:val="BodyText"/>
        <w:numPr>
          <w:ilvl w:val="0"/>
          <w:numId w:val="19"/>
        </w:numPr>
      </w:pPr>
      <w:r>
        <w:t xml:space="preserve">If the HE Trigger-based PPDU carries a </w:t>
      </w:r>
      <w:r w:rsidRPr="00933E24">
        <w:t>VHT Single MPDU</w:t>
      </w:r>
      <w:r>
        <w:t xml:space="preserve"> from a single STA</w:t>
      </w:r>
      <w:r w:rsidRPr="00A54864">
        <w:t xml:space="preserve"> </w:t>
      </w:r>
      <w:r>
        <w:t xml:space="preserve">that solicits an immediate response, then the HE-AP shall </w:t>
      </w:r>
      <w:r w:rsidRPr="00942571">
        <w:t xml:space="preserve">respond with </w:t>
      </w:r>
      <w:r w:rsidRPr="00942571">
        <w:rPr>
          <w:color w:val="0070C0"/>
          <w:u w:val="single"/>
        </w:rPr>
        <w:t>either</w:t>
      </w:r>
      <w:r w:rsidRPr="00942571">
        <w:rPr>
          <w:color w:val="0070C0"/>
        </w:rPr>
        <w:t xml:space="preserve"> </w:t>
      </w:r>
      <w:r w:rsidRPr="00942571">
        <w:t xml:space="preserve">an </w:t>
      </w:r>
      <w:proofErr w:type="spellStart"/>
      <w:r w:rsidRPr="00942571">
        <w:t>Ack</w:t>
      </w:r>
      <w:proofErr w:type="spellEnd"/>
      <w:r w:rsidRPr="00942571">
        <w:t xml:space="preserve"> frame or a Multi-STA Block </w:t>
      </w:r>
      <w:proofErr w:type="spellStart"/>
      <w:r w:rsidRPr="00942571">
        <w:t>Ack</w:t>
      </w:r>
      <w:proofErr w:type="spellEnd"/>
      <w:r w:rsidRPr="00942571">
        <w:t xml:space="preserve"> frame with ACK Type set to 1 carried in a DL SU PPDU format.</w:t>
      </w:r>
    </w:p>
    <w:p w:rsidR="00942571" w:rsidRPr="00942571" w:rsidRDefault="00942571" w:rsidP="00942571">
      <w:pPr>
        <w:pStyle w:val="BodyText"/>
        <w:numPr>
          <w:ilvl w:val="0"/>
          <w:numId w:val="19"/>
        </w:numPr>
      </w:pPr>
      <w:r w:rsidRPr="00942571">
        <w:t xml:space="preserve">If the HE Trigger-based PPDU carries an A-MPDU from a single STA that solicits an immediate response, then the HE-AP shall respond with </w:t>
      </w:r>
      <w:r w:rsidRPr="00942571">
        <w:rPr>
          <w:color w:val="0070C0"/>
          <w:u w:val="single"/>
        </w:rPr>
        <w:t xml:space="preserve">either </w:t>
      </w:r>
      <w:r w:rsidRPr="00942571">
        <w:t xml:space="preserve">Compressed </w:t>
      </w:r>
      <w:proofErr w:type="spellStart"/>
      <w:r w:rsidRPr="00942571">
        <w:t>BlockAck</w:t>
      </w:r>
      <w:proofErr w:type="spellEnd"/>
      <w:r w:rsidRPr="00942571">
        <w:t xml:space="preserve"> frame, </w:t>
      </w:r>
      <w:r w:rsidRPr="00942571">
        <w:rPr>
          <w:color w:val="0070C0"/>
          <w:u w:val="single"/>
        </w:rPr>
        <w:t xml:space="preserve">Multi-STA Block </w:t>
      </w:r>
      <w:proofErr w:type="spellStart"/>
      <w:r w:rsidRPr="00942571">
        <w:rPr>
          <w:color w:val="0070C0"/>
          <w:u w:val="single"/>
        </w:rPr>
        <w:t>Ack</w:t>
      </w:r>
      <w:proofErr w:type="spellEnd"/>
      <w:r w:rsidRPr="00942571">
        <w:rPr>
          <w:color w:val="0070C0"/>
          <w:u w:val="single"/>
        </w:rPr>
        <w:t xml:space="preserve"> </w:t>
      </w:r>
      <w:r w:rsidRPr="00942571">
        <w:rPr>
          <w:color w:val="0070C0"/>
          <w:u w:val="single"/>
        </w:rPr>
        <w:lastRenderedPageBreak/>
        <w:t xml:space="preserve">frame with </w:t>
      </w:r>
      <w:proofErr w:type="spellStart"/>
      <w:r w:rsidRPr="00942571">
        <w:rPr>
          <w:color w:val="0070C0"/>
          <w:u w:val="single"/>
        </w:rPr>
        <w:t>A</w:t>
      </w:r>
      <w:r w:rsidR="00D26B5E">
        <w:rPr>
          <w:color w:val="0070C0"/>
          <w:u w:val="single"/>
        </w:rPr>
        <w:t>ck</w:t>
      </w:r>
      <w:proofErr w:type="spellEnd"/>
      <w:r w:rsidRPr="00942571">
        <w:rPr>
          <w:color w:val="0070C0"/>
          <w:u w:val="single"/>
        </w:rPr>
        <w:t xml:space="preserve"> Type set to 1 and the TID set to 14</w:t>
      </w:r>
      <w:r w:rsidRPr="00942571">
        <w:t xml:space="preserve"> or a Multi-STA Block </w:t>
      </w:r>
      <w:proofErr w:type="spellStart"/>
      <w:r w:rsidRPr="00942571">
        <w:t>Ack</w:t>
      </w:r>
      <w:proofErr w:type="spellEnd"/>
      <w:r w:rsidRPr="00942571">
        <w:t xml:space="preserve"> frame with </w:t>
      </w:r>
      <w:proofErr w:type="spellStart"/>
      <w:r w:rsidRPr="00942571">
        <w:t>A</w:t>
      </w:r>
      <w:r w:rsidRPr="00D26B5E">
        <w:t>ck</w:t>
      </w:r>
      <w:proofErr w:type="spellEnd"/>
      <w:r w:rsidRPr="00942571">
        <w:t xml:space="preserve"> Type set to 0 carried in a DL SU PPDU format. </w:t>
      </w:r>
    </w:p>
    <w:p w:rsidR="00942571" w:rsidRDefault="00942571" w:rsidP="00942571">
      <w:pPr>
        <w:pStyle w:val="BodyText"/>
        <w:numPr>
          <w:ilvl w:val="0"/>
          <w:numId w:val="19"/>
        </w:numPr>
      </w:pPr>
      <w:r w:rsidRPr="00942571">
        <w:t xml:space="preserve">If the HE Trigger-based PPDU carries a Multi-TID A-MPDU that solicits an immediate response from a single STA then the HE-AP shall send a Multi-STA </w:t>
      </w:r>
      <w:proofErr w:type="spellStart"/>
      <w:r w:rsidRPr="00942571">
        <w:t>BlockAck</w:t>
      </w:r>
      <w:proofErr w:type="spellEnd"/>
      <w:r w:rsidRPr="00FF40A5">
        <w:t xml:space="preserve"> </w:t>
      </w:r>
      <w:r>
        <w:t>frame</w:t>
      </w:r>
      <w:r w:rsidRPr="00A21F24">
        <w:t xml:space="preserve"> </w:t>
      </w:r>
      <w:r>
        <w:t>carried in a DL SU PPDU format.</w:t>
      </w:r>
    </w:p>
    <w:p w:rsidR="00D26B5E" w:rsidRPr="00D26B5E" w:rsidRDefault="00D26B5E" w:rsidP="00D26B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D26B5E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D26B5E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D26B5E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Insert</w:t>
      </w:r>
      <w:r w:rsidRPr="00D26B5E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th</w:t>
      </w:r>
      <w:r w:rsidRPr="00D26B5E">
        <w:rPr>
          <w:rFonts w:hint="eastAsia"/>
          <w:b/>
          <w:i/>
          <w:color w:val="000000"/>
          <w:sz w:val="20"/>
          <w:highlight w:val="yellow"/>
          <w:lang w:val="en-US" w:eastAsia="ko-KR"/>
        </w:rPr>
        <w:t xml:space="preserve">e </w:t>
      </w:r>
      <w:r>
        <w:rPr>
          <w:b/>
          <w:i/>
          <w:color w:val="000000"/>
          <w:sz w:val="20"/>
          <w:highlight w:val="yellow"/>
          <w:lang w:val="en-US" w:eastAsia="ko-KR"/>
        </w:rPr>
        <w:t xml:space="preserve">following text and Table </w:t>
      </w:r>
      <w:r w:rsidR="00FF4439">
        <w:rPr>
          <w:b/>
          <w:i/>
          <w:color w:val="000000"/>
          <w:sz w:val="20"/>
          <w:highlight w:val="yellow"/>
          <w:lang w:val="en-US" w:eastAsia="ko-KR"/>
        </w:rPr>
        <w:t>after 9</w:t>
      </w:r>
      <w:r w:rsidR="00FF4439" w:rsidRPr="00FF4439">
        <w:rPr>
          <w:b/>
          <w:i/>
          <w:color w:val="000000"/>
          <w:sz w:val="20"/>
          <w:highlight w:val="yellow"/>
          <w:vertAlign w:val="superscript"/>
          <w:lang w:val="en-US" w:eastAsia="ko-KR"/>
        </w:rPr>
        <w:t>th</w:t>
      </w:r>
      <w:r w:rsidR="00FF4439">
        <w:rPr>
          <w:b/>
          <w:i/>
          <w:color w:val="000000"/>
          <w:sz w:val="20"/>
          <w:highlight w:val="yellow"/>
          <w:lang w:val="en-US" w:eastAsia="ko-KR"/>
        </w:rPr>
        <w:t xml:space="preserve"> paragraph </w:t>
      </w:r>
      <w:r>
        <w:rPr>
          <w:b/>
          <w:i/>
          <w:color w:val="000000"/>
          <w:sz w:val="20"/>
          <w:highlight w:val="yellow"/>
          <w:lang w:val="en-US" w:eastAsia="ko-KR"/>
        </w:rPr>
        <w:t xml:space="preserve">of the </w:t>
      </w:r>
      <w:proofErr w:type="spellStart"/>
      <w:r w:rsidRPr="00D26B5E">
        <w:rPr>
          <w:rFonts w:eastAsia="Times New Roman"/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 w:rsidRPr="00D26B5E">
        <w:rPr>
          <w:rFonts w:hint="eastAsia"/>
          <w:b/>
          <w:i/>
          <w:color w:val="000000"/>
          <w:sz w:val="20"/>
          <w:highlight w:val="yellow"/>
          <w:lang w:val="en-US" w:eastAsia="ko-KR"/>
        </w:rPr>
        <w:t xml:space="preserve"> </w:t>
      </w:r>
      <w:r w:rsidR="00FF4439">
        <w:rPr>
          <w:b/>
          <w:i/>
          <w:color w:val="000000"/>
          <w:sz w:val="20"/>
          <w:highlight w:val="yellow"/>
          <w:lang w:val="en-US" w:eastAsia="ko-KR"/>
        </w:rPr>
        <w:t>9.3.1.9.7</w:t>
      </w:r>
      <w:r w:rsidRPr="00D26B5E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(D0.5):</w:t>
      </w:r>
    </w:p>
    <w:p w:rsidR="00D26B5E" w:rsidRPr="0059175F" w:rsidRDefault="00D26B5E" w:rsidP="0059175F">
      <w:pPr>
        <w:pStyle w:val="BodyText"/>
      </w:pPr>
      <w:r>
        <w:rPr>
          <w:rFonts w:hint="eastAsia"/>
        </w:rPr>
        <w:t xml:space="preserve">The context and the presence of each optional subfields in a Per STA Info subfield in a Multi-STA </w:t>
      </w:r>
      <w:proofErr w:type="spellStart"/>
      <w:r>
        <w:rPr>
          <w:rFonts w:hint="eastAsia"/>
        </w:rPr>
        <w:t>BlockAck</w:t>
      </w:r>
      <w:proofErr w:type="spellEnd"/>
      <w:r>
        <w:rPr>
          <w:rFonts w:hint="eastAsia"/>
        </w:rPr>
        <w:t xml:space="preserve"> frame is as defined in Table 9-</w:t>
      </w:r>
      <w:r>
        <w:t>24</w:t>
      </w:r>
      <w:r w:rsidR="00FF4439">
        <w:t>x</w:t>
      </w:r>
      <w:r>
        <w:rPr>
          <w:rFonts w:hint="eastAsia"/>
        </w:rPr>
        <w:t xml:space="preserve"> (Context of the Per STA Info subfield and presence of optional subfields):</w:t>
      </w:r>
    </w:p>
    <w:tbl>
      <w:tblPr>
        <w:tblW w:w="98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10"/>
        <w:gridCol w:w="2700"/>
        <w:gridCol w:w="1080"/>
        <w:gridCol w:w="4230"/>
      </w:tblGrid>
      <w:tr w:rsidR="00D26B5E" w:rsidTr="00D26B5E">
        <w:trPr>
          <w:trHeight w:val="237"/>
          <w:jc w:val="center"/>
        </w:trPr>
        <w:tc>
          <w:tcPr>
            <w:tcW w:w="9810" w:type="dxa"/>
            <w:gridSpan w:val="5"/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 w:rsidP="00FF4439">
            <w:pPr>
              <w:pStyle w:val="TableTitle"/>
            </w:pPr>
            <w:bookmarkStart w:id="1" w:name="RTF35353935363a2054476e2054"/>
            <w:r>
              <w:t>Table 9-24</w:t>
            </w:r>
            <w:r w:rsidR="00FF4439">
              <w:t>x</w:t>
            </w:r>
            <w:r>
              <w:t xml:space="preserve"> – </w:t>
            </w:r>
            <w:bookmarkEnd w:id="1"/>
            <w:r>
              <w:t>Context of the Per STA Info subfield and presence of optional subfields</w:t>
            </w:r>
          </w:p>
        </w:tc>
      </w:tr>
      <w:tr w:rsidR="00D26B5E" w:rsidTr="00D26B5E">
        <w:trPr>
          <w:trHeight w:val="397"/>
          <w:jc w:val="center"/>
        </w:trPr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D26B5E" w:rsidRDefault="00D26B5E">
            <w:pPr>
              <w:pStyle w:val="CellHead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Ack</w:t>
            </w:r>
            <w:proofErr w:type="spellEnd"/>
            <w:r>
              <w:rPr>
                <w:sz w:val="16"/>
                <w:szCs w:val="16"/>
              </w:rPr>
              <w:t xml:space="preserve"> Type </w:t>
            </w:r>
          </w:p>
          <w:p w:rsidR="00D26B5E" w:rsidRDefault="00D26B5E">
            <w:pPr>
              <w:pStyle w:val="Cell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subfield </w:t>
            </w:r>
          </w:p>
          <w:p w:rsidR="00D26B5E" w:rsidRDefault="00D26B5E">
            <w:pPr>
              <w:pStyle w:val="Cell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value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D26B5E" w:rsidRDefault="00D26B5E">
            <w:pPr>
              <w:pStyle w:val="Cell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TID </w:t>
            </w:r>
          </w:p>
          <w:p w:rsidR="00D26B5E" w:rsidRDefault="00D26B5E">
            <w:pPr>
              <w:pStyle w:val="Cell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subfield </w:t>
            </w:r>
          </w:p>
          <w:p w:rsidR="00D26B5E" w:rsidRDefault="00D26B5E">
            <w:pPr>
              <w:pStyle w:val="Cell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values</w:t>
            </w:r>
          </w:p>
        </w:tc>
        <w:tc>
          <w:tcPr>
            <w:tcW w:w="37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Presence of optional subfields</w:t>
            </w:r>
          </w:p>
          <w:p w:rsidR="00D26B5E" w:rsidRDefault="00D26B5E">
            <w:pPr>
              <w:pStyle w:val="Cell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 Per STA Info field</w:t>
            </w:r>
          </w:p>
        </w:tc>
        <w:tc>
          <w:tcPr>
            <w:tcW w:w="42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D26B5E" w:rsidRDefault="00D26B5E">
            <w:pPr>
              <w:pStyle w:val="CellHead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Context of a Per STA Info field in a Multi-STA </w:t>
            </w:r>
            <w:proofErr w:type="spellStart"/>
            <w:r>
              <w:rPr>
                <w:sz w:val="16"/>
                <w:szCs w:val="16"/>
              </w:rPr>
              <w:t>BlockAck</w:t>
            </w:r>
            <w:proofErr w:type="spellEnd"/>
            <w:r>
              <w:rPr>
                <w:sz w:val="16"/>
                <w:szCs w:val="16"/>
              </w:rPr>
              <w:t xml:space="preserve"> frame</w:t>
            </w:r>
          </w:p>
        </w:tc>
      </w:tr>
      <w:tr w:rsidR="00D26B5E" w:rsidTr="00D26B5E">
        <w:trPr>
          <w:trHeight w:val="97"/>
          <w:jc w:val="center"/>
        </w:trPr>
        <w:tc>
          <w:tcPr>
            <w:tcW w:w="990" w:type="dxa"/>
            <w:vMerge w:val="restart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0–7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Block </w:t>
            </w:r>
            <w:proofErr w:type="spellStart"/>
            <w:r>
              <w:rPr>
                <w:sz w:val="16"/>
                <w:szCs w:val="16"/>
              </w:rPr>
              <w:t>Ack</w:t>
            </w:r>
            <w:proofErr w:type="spellEnd"/>
            <w:r>
              <w:rPr>
                <w:sz w:val="16"/>
                <w:szCs w:val="16"/>
              </w:rPr>
              <w:t xml:space="preserve"> Starting Sequence Control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</w:t>
            </w:r>
          </w:p>
        </w:tc>
        <w:tc>
          <w:tcPr>
            <w:tcW w:w="423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Block </w:t>
            </w:r>
            <w:proofErr w:type="spellStart"/>
            <w:r>
              <w:rPr>
                <w:sz w:val="16"/>
                <w:szCs w:val="16"/>
              </w:rPr>
              <w:t>acknolwegment</w:t>
            </w:r>
            <w:proofErr w:type="spellEnd"/>
            <w:r>
              <w:rPr>
                <w:sz w:val="16"/>
                <w:szCs w:val="16"/>
              </w:rPr>
              <w:t xml:space="preserve"> context:</w:t>
            </w:r>
          </w:p>
          <w:p w:rsidR="00D26B5E" w:rsidRDefault="00D26B5E" w:rsidP="00D26B5E">
            <w:pPr>
              <w:pStyle w:val="CellBody"/>
              <w:widowControl/>
              <w:numPr>
                <w:ilvl w:val="0"/>
                <w:numId w:val="20"/>
              </w:numPr>
              <w:adjustRight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 as a response to an A-MPDU that solicits an immediate block acknowledgement or to a BAR frame</w:t>
            </w:r>
          </w:p>
        </w:tc>
      </w:tr>
      <w:tr w:rsidR="00D26B5E" w:rsidTr="00D26B5E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26B5E" w:rsidRDefault="00D26B5E">
            <w:pPr>
              <w:rPr>
                <w:rFonts w:eastAsia="굴림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26B5E" w:rsidRDefault="00D26B5E">
            <w:pPr>
              <w:rPr>
                <w:rFonts w:eastAsia="굴림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Block </w:t>
            </w:r>
            <w:proofErr w:type="spellStart"/>
            <w:r>
              <w:rPr>
                <w:sz w:val="16"/>
                <w:szCs w:val="16"/>
              </w:rPr>
              <w:t>Ack</w:t>
            </w:r>
            <w:proofErr w:type="spellEnd"/>
            <w:r>
              <w:rPr>
                <w:sz w:val="16"/>
                <w:szCs w:val="16"/>
              </w:rPr>
              <w:t xml:space="preserve"> Bitmap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:rsidR="00D26B5E" w:rsidRDefault="00D26B5E">
            <w:pPr>
              <w:rPr>
                <w:rFonts w:eastAsia="굴림"/>
                <w:color w:val="000000"/>
                <w:sz w:val="16"/>
                <w:szCs w:val="16"/>
              </w:rPr>
            </w:pPr>
          </w:p>
        </w:tc>
      </w:tr>
      <w:tr w:rsidR="00D26B5E" w:rsidTr="00D26B5E">
        <w:trPr>
          <w:trHeight w:val="133"/>
          <w:jc w:val="center"/>
        </w:trPr>
        <w:tc>
          <w:tcPr>
            <w:tcW w:w="990" w:type="dxa"/>
            <w:vMerge w:val="restart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0–7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Block </w:t>
            </w:r>
            <w:proofErr w:type="spellStart"/>
            <w:r>
              <w:rPr>
                <w:sz w:val="16"/>
                <w:szCs w:val="16"/>
              </w:rPr>
              <w:t>Ack</w:t>
            </w:r>
            <w:proofErr w:type="spellEnd"/>
            <w:r>
              <w:rPr>
                <w:sz w:val="16"/>
                <w:szCs w:val="16"/>
              </w:rPr>
              <w:t xml:space="preserve"> Starting Sequence Control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Present</w:t>
            </w:r>
          </w:p>
        </w:tc>
        <w:tc>
          <w:tcPr>
            <w:tcW w:w="423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Acknowledgment context:</w:t>
            </w:r>
          </w:p>
          <w:p w:rsidR="00D26B5E" w:rsidRDefault="00D26B5E" w:rsidP="00D26B5E">
            <w:pPr>
              <w:pStyle w:val="CellBody"/>
              <w:widowControl/>
              <w:numPr>
                <w:ilvl w:val="0"/>
                <w:numId w:val="20"/>
              </w:numPr>
              <w:adjustRight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 as a response to an MPDU or VHT Single MPDU that solicits an immediate acknowledgment</w:t>
            </w:r>
          </w:p>
        </w:tc>
      </w:tr>
      <w:tr w:rsidR="00D26B5E" w:rsidTr="00D26B5E">
        <w:trPr>
          <w:trHeight w:val="22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26B5E" w:rsidRDefault="00D26B5E">
            <w:pPr>
              <w:rPr>
                <w:rFonts w:eastAsia="굴림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26B5E" w:rsidRDefault="00D26B5E">
            <w:pPr>
              <w:rPr>
                <w:rFonts w:eastAsia="굴림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Block </w:t>
            </w:r>
            <w:proofErr w:type="spellStart"/>
            <w:r>
              <w:rPr>
                <w:sz w:val="16"/>
                <w:szCs w:val="16"/>
              </w:rPr>
              <w:t>Ack</w:t>
            </w:r>
            <w:proofErr w:type="spellEnd"/>
            <w:r>
              <w:rPr>
                <w:sz w:val="16"/>
                <w:szCs w:val="16"/>
              </w:rPr>
              <w:t xml:space="preserve"> Bitmap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Present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:rsidR="00D26B5E" w:rsidRDefault="00D26B5E">
            <w:pPr>
              <w:rPr>
                <w:rFonts w:eastAsia="굴림"/>
                <w:color w:val="000000"/>
                <w:sz w:val="16"/>
                <w:szCs w:val="16"/>
              </w:rPr>
            </w:pPr>
          </w:p>
        </w:tc>
      </w:tr>
      <w:tr w:rsidR="00D26B5E" w:rsidTr="00D26B5E">
        <w:trPr>
          <w:trHeight w:val="16"/>
          <w:jc w:val="center"/>
        </w:trPr>
        <w:tc>
          <w:tcPr>
            <w:tcW w:w="990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or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to 13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Reserved</w:t>
            </w:r>
          </w:p>
        </w:tc>
      </w:tr>
      <w:tr w:rsidR="00D26B5E" w:rsidTr="00D26B5E">
        <w:trPr>
          <w:trHeight w:val="88"/>
          <w:jc w:val="center"/>
        </w:trPr>
        <w:tc>
          <w:tcPr>
            <w:tcW w:w="990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Reserved</w:t>
            </w:r>
          </w:p>
        </w:tc>
      </w:tr>
      <w:tr w:rsidR="00D26B5E" w:rsidTr="00D26B5E">
        <w:trPr>
          <w:trHeight w:val="88"/>
          <w:jc w:val="center"/>
        </w:trPr>
        <w:tc>
          <w:tcPr>
            <w:tcW w:w="990" w:type="dxa"/>
            <w:vMerge w:val="restart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Block </w:t>
            </w:r>
            <w:proofErr w:type="spellStart"/>
            <w:r>
              <w:rPr>
                <w:sz w:val="16"/>
                <w:szCs w:val="16"/>
              </w:rPr>
              <w:t>Ack</w:t>
            </w:r>
            <w:proofErr w:type="spellEnd"/>
            <w:r>
              <w:rPr>
                <w:sz w:val="16"/>
                <w:szCs w:val="16"/>
              </w:rPr>
              <w:t xml:space="preserve"> Starting Sequence Control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Present</w:t>
            </w:r>
          </w:p>
        </w:tc>
        <w:tc>
          <w:tcPr>
            <w:tcW w:w="423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block acknowledgment context:</w:t>
            </w:r>
          </w:p>
          <w:p w:rsidR="00D26B5E" w:rsidRDefault="00D26B5E" w:rsidP="00D26B5E">
            <w:pPr>
              <w:pStyle w:val="CellBody"/>
              <w:widowControl/>
              <w:numPr>
                <w:ilvl w:val="0"/>
                <w:numId w:val="21"/>
              </w:numPr>
              <w:adjustRight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 as a response to an A-MPDU that solicits an immediate response and all MPDUs contained in the A-MPDU are received successfully</w:t>
            </w:r>
          </w:p>
        </w:tc>
      </w:tr>
      <w:tr w:rsidR="00D26B5E" w:rsidTr="00D26B5E">
        <w:trPr>
          <w:trHeight w:val="4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26B5E" w:rsidRDefault="00D26B5E">
            <w:pPr>
              <w:rPr>
                <w:rFonts w:eastAsia="굴림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26B5E" w:rsidRDefault="00D26B5E">
            <w:pPr>
              <w:rPr>
                <w:rFonts w:eastAsia="굴림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Block </w:t>
            </w:r>
            <w:proofErr w:type="spellStart"/>
            <w:r>
              <w:rPr>
                <w:sz w:val="16"/>
                <w:szCs w:val="16"/>
              </w:rPr>
              <w:t>Ack</w:t>
            </w:r>
            <w:proofErr w:type="spellEnd"/>
            <w:r>
              <w:rPr>
                <w:sz w:val="16"/>
                <w:szCs w:val="16"/>
              </w:rPr>
              <w:t xml:space="preserve"> Bitmap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Present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:rsidR="00D26B5E" w:rsidRDefault="00D26B5E">
            <w:pPr>
              <w:rPr>
                <w:rFonts w:eastAsia="굴림"/>
                <w:color w:val="000000"/>
                <w:sz w:val="16"/>
                <w:szCs w:val="16"/>
              </w:rPr>
            </w:pPr>
          </w:p>
        </w:tc>
      </w:tr>
      <w:tr w:rsidR="00D26B5E" w:rsidTr="00D26B5E">
        <w:trPr>
          <w:trHeight w:val="16"/>
          <w:jc w:val="center"/>
        </w:trPr>
        <w:tc>
          <w:tcPr>
            <w:tcW w:w="990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Reserved</w:t>
            </w:r>
          </w:p>
        </w:tc>
      </w:tr>
      <w:tr w:rsidR="00D26B5E" w:rsidTr="00D26B5E">
        <w:trPr>
          <w:trHeight w:val="16"/>
          <w:jc w:val="center"/>
        </w:trPr>
        <w:tc>
          <w:tcPr>
            <w:tcW w:w="9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Block </w:t>
            </w:r>
            <w:proofErr w:type="spellStart"/>
            <w:r>
              <w:rPr>
                <w:sz w:val="16"/>
                <w:szCs w:val="16"/>
              </w:rPr>
              <w:t>Ack</w:t>
            </w:r>
            <w:proofErr w:type="spellEnd"/>
            <w:r>
              <w:rPr>
                <w:sz w:val="16"/>
                <w:szCs w:val="16"/>
              </w:rPr>
              <w:t xml:space="preserve"> Starting Sequence Control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Present</w:t>
            </w:r>
          </w:p>
        </w:tc>
        <w:tc>
          <w:tcPr>
            <w:tcW w:w="423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Action </w:t>
            </w:r>
            <w:proofErr w:type="spellStart"/>
            <w:r>
              <w:rPr>
                <w:sz w:val="16"/>
                <w:szCs w:val="16"/>
              </w:rPr>
              <w:t>Ack</w:t>
            </w:r>
            <w:proofErr w:type="spellEnd"/>
            <w:r>
              <w:rPr>
                <w:sz w:val="16"/>
                <w:szCs w:val="16"/>
              </w:rPr>
              <w:t xml:space="preserve"> frame acknowledgment context:</w:t>
            </w:r>
          </w:p>
          <w:p w:rsidR="00D26B5E" w:rsidRDefault="00D26B5E" w:rsidP="00D26B5E">
            <w:pPr>
              <w:pStyle w:val="CellBody"/>
              <w:widowControl/>
              <w:numPr>
                <w:ilvl w:val="0"/>
                <w:numId w:val="21"/>
              </w:numPr>
              <w:adjustRight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Sent as a response to an Action </w:t>
            </w:r>
            <w:proofErr w:type="spellStart"/>
            <w:r>
              <w:rPr>
                <w:sz w:val="16"/>
                <w:szCs w:val="16"/>
              </w:rPr>
              <w:t>Ack</w:t>
            </w:r>
            <w:proofErr w:type="spellEnd"/>
            <w:r>
              <w:rPr>
                <w:sz w:val="16"/>
                <w:szCs w:val="16"/>
              </w:rPr>
              <w:t xml:space="preserve"> frame carried in an A-MPDU that solicits an immediate acknowledgment</w:t>
            </w:r>
          </w:p>
        </w:tc>
      </w:tr>
      <w:tr w:rsidR="00D26B5E" w:rsidTr="00D26B5E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26B5E" w:rsidRDefault="00D26B5E">
            <w:pPr>
              <w:rPr>
                <w:rFonts w:eastAsia="굴림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26B5E" w:rsidRDefault="00D26B5E">
            <w:pPr>
              <w:rPr>
                <w:rFonts w:eastAsia="굴림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Block </w:t>
            </w:r>
            <w:proofErr w:type="spellStart"/>
            <w:r>
              <w:rPr>
                <w:sz w:val="16"/>
                <w:szCs w:val="16"/>
              </w:rPr>
              <w:t>Ack</w:t>
            </w:r>
            <w:proofErr w:type="spellEnd"/>
            <w:r>
              <w:rPr>
                <w:sz w:val="16"/>
                <w:szCs w:val="16"/>
              </w:rPr>
              <w:t xml:space="preserve"> Bitmap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hideMark/>
          </w:tcPr>
          <w:p w:rsidR="00D26B5E" w:rsidRDefault="00D26B5E">
            <w:pPr>
              <w:pStyle w:val="CellBod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Present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26B5E" w:rsidRDefault="00D26B5E">
            <w:pPr>
              <w:rPr>
                <w:rFonts w:eastAsia="굴림"/>
                <w:color w:val="000000"/>
                <w:sz w:val="16"/>
                <w:szCs w:val="16"/>
              </w:rPr>
            </w:pPr>
          </w:p>
        </w:tc>
      </w:tr>
    </w:tbl>
    <w:p w:rsidR="00D26B5E" w:rsidRDefault="00D26B5E" w:rsidP="00D26B5E">
      <w:pPr>
        <w:pStyle w:val="BodyText"/>
      </w:pPr>
    </w:p>
    <w:p w:rsidR="002C767C" w:rsidRPr="00EC7A02" w:rsidRDefault="002C767C" w:rsidP="00EC7A02">
      <w:pPr>
        <w:jc w:val="center"/>
        <w:rPr>
          <w:lang w:val="en-US" w:eastAsia="ko-KR"/>
        </w:rPr>
      </w:pPr>
    </w:p>
    <w:sectPr w:rsidR="002C767C" w:rsidRPr="00EC7A02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30" w:rsidRDefault="00D16730">
      <w:r>
        <w:separator/>
      </w:r>
    </w:p>
  </w:endnote>
  <w:endnote w:type="continuationSeparator" w:id="0">
    <w:p w:rsidR="00D16730" w:rsidRDefault="00D1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돋움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49" w:rsidRDefault="00D1673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75749">
      <w:t>Submission</w:t>
    </w:r>
    <w:r>
      <w:fldChar w:fldCharType="end"/>
    </w:r>
    <w:r w:rsidR="00C75749">
      <w:tab/>
      <w:t xml:space="preserve">page </w:t>
    </w:r>
    <w:r w:rsidR="00C75749">
      <w:fldChar w:fldCharType="begin"/>
    </w:r>
    <w:r w:rsidR="00C75749">
      <w:instrText xml:space="preserve">page </w:instrText>
    </w:r>
    <w:r w:rsidR="00C75749">
      <w:fldChar w:fldCharType="separate"/>
    </w:r>
    <w:r w:rsidR="009A64D6">
      <w:rPr>
        <w:noProof/>
      </w:rPr>
      <w:t>3</w:t>
    </w:r>
    <w:r w:rsidR="00C75749">
      <w:rPr>
        <w:noProof/>
      </w:rPr>
      <w:fldChar w:fldCharType="end"/>
    </w:r>
    <w:r w:rsidR="00C75749">
      <w:tab/>
    </w:r>
    <w:proofErr w:type="spellStart"/>
    <w:r w:rsidR="00C75749">
      <w:rPr>
        <w:lang w:eastAsia="ko-KR"/>
      </w:rPr>
      <w:t>Jeongki</w:t>
    </w:r>
    <w:proofErr w:type="spellEnd"/>
    <w:r w:rsidR="00C75749">
      <w:rPr>
        <w:lang w:eastAsia="ko-KR"/>
      </w:rPr>
      <w:t xml:space="preserve"> Kim</w:t>
    </w:r>
    <w:r w:rsidR="00C75749">
      <w:t>, LG Electronics</w:t>
    </w:r>
  </w:p>
  <w:p w:rsidR="00C75749" w:rsidRDefault="00C757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30" w:rsidRDefault="00D16730">
      <w:r>
        <w:separator/>
      </w:r>
    </w:p>
  </w:footnote>
  <w:footnote w:type="continuationSeparator" w:id="0">
    <w:p w:rsidR="00D16730" w:rsidRDefault="00D16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49" w:rsidRDefault="009A64D6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C75749">
      <w:rPr>
        <w:lang w:eastAsia="ko-KR"/>
      </w:rPr>
      <w:t xml:space="preserve"> 2016</w:t>
    </w:r>
    <w:r w:rsidR="00C75749">
      <w:tab/>
    </w:r>
    <w:r w:rsidR="00C75749">
      <w:tab/>
    </w:r>
    <w:r w:rsidR="00C75749">
      <w:fldChar w:fldCharType="begin"/>
    </w:r>
    <w:r w:rsidR="00C75749">
      <w:instrText xml:space="preserve"> TITLE  \* MERGEFORMAT </w:instrText>
    </w:r>
    <w:r w:rsidR="00C75749">
      <w:fldChar w:fldCharType="end"/>
    </w:r>
    <w:r w:rsidR="00D16730">
      <w:fldChar w:fldCharType="begin"/>
    </w:r>
    <w:r w:rsidR="00D16730">
      <w:instrText xml:space="preserve"> TITLE  \* MERGEFORMAT </w:instrText>
    </w:r>
    <w:r w:rsidR="00D16730">
      <w:fldChar w:fldCharType="separate"/>
    </w:r>
    <w:r w:rsidR="00C75749">
      <w:t>doc.: IEEE 802.11-16/</w:t>
    </w:r>
    <w:r w:rsidR="00FC6B3A">
      <w:rPr>
        <w:lang w:eastAsia="ko-KR"/>
      </w:rPr>
      <w:t>1442</w:t>
    </w:r>
    <w:r w:rsidR="00C75749">
      <w:rPr>
        <w:lang w:eastAsia="ko-KR"/>
      </w:rPr>
      <w:t>r</w:t>
    </w:r>
    <w:r w:rsidR="00D16730">
      <w:rPr>
        <w:lang w:eastAsia="ko-KR"/>
      </w:rPr>
      <w:fldChar w:fldCharType="end"/>
    </w:r>
    <w:r w:rsidR="00C75749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51ACA"/>
    <w:multiLevelType w:val="hybridMultilevel"/>
    <w:tmpl w:val="BB844BDE"/>
    <w:lvl w:ilvl="0" w:tplc="F89E53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7FC99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31CB0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8F68D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85082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886D1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9A892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3A2FF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784E5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>
    <w:nsid w:val="0CB10CE4"/>
    <w:multiLevelType w:val="hybridMultilevel"/>
    <w:tmpl w:val="357653E0"/>
    <w:lvl w:ilvl="0" w:tplc="47804EEA">
      <w:start w:val="1"/>
      <w:numFmt w:val="bullet"/>
      <w:lvlText w:val="—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18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B6170F"/>
    <w:multiLevelType w:val="hybridMultilevel"/>
    <w:tmpl w:val="52841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77851"/>
    <w:multiLevelType w:val="hybridMultilevel"/>
    <w:tmpl w:val="3D1CE7CA"/>
    <w:lvl w:ilvl="0" w:tplc="47804EEA">
      <w:start w:val="1"/>
      <w:numFmt w:val="bullet"/>
      <w:lvlText w:val="—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18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ED7EA8"/>
    <w:multiLevelType w:val="hybridMultilevel"/>
    <w:tmpl w:val="91B2D130"/>
    <w:lvl w:ilvl="0" w:tplc="9DD0D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2DC8A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9DA4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B4280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5889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EFCC0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CB25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8A4D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A400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>
    <w:nsid w:val="273E336D"/>
    <w:multiLevelType w:val="hybridMultilevel"/>
    <w:tmpl w:val="D312F770"/>
    <w:lvl w:ilvl="0" w:tplc="A8B0FB7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4D7E0FF5"/>
    <w:multiLevelType w:val="hybridMultilevel"/>
    <w:tmpl w:val="D4F09BE2"/>
    <w:lvl w:ilvl="0" w:tplc="F30A72A6">
      <w:start w:val="4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74B55"/>
    <w:multiLevelType w:val="hybridMultilevel"/>
    <w:tmpl w:val="75F4946A"/>
    <w:lvl w:ilvl="0" w:tplc="4842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07263D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D826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1B4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E82F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B4C4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8AA5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D98B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D762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6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22E8B"/>
    <w:multiLevelType w:val="hybridMultilevel"/>
    <w:tmpl w:val="B1A0D5F6"/>
    <w:lvl w:ilvl="0" w:tplc="CD024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08E97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6CE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7007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5DEA5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3841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7FC7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72DE2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133C5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6"/>
  </w:num>
  <w:num w:numId="10">
    <w:abstractNumId w:val="2"/>
  </w:num>
  <w:num w:numId="11">
    <w:abstractNumId w:val="8"/>
  </w:num>
  <w:num w:numId="12">
    <w:abstractNumId w:val="13"/>
  </w:num>
  <w:num w:numId="13">
    <w:abstractNumId w:val="14"/>
  </w:num>
  <w:num w:numId="14">
    <w:abstractNumId w:val="17"/>
  </w:num>
  <w:num w:numId="15">
    <w:abstractNumId w:val="7"/>
  </w:num>
  <w:num w:numId="16">
    <w:abstractNumId w:val="15"/>
  </w:num>
  <w:num w:numId="17">
    <w:abstractNumId w:val="18"/>
  </w:num>
  <w:num w:numId="18">
    <w:abstractNumId w:val="3"/>
  </w:num>
  <w:num w:numId="19">
    <w:abstractNumId w:val="5"/>
  </w:num>
  <w:num w:numId="20">
    <w:abstractNumId w:val="6"/>
  </w:num>
  <w:num w:numId="2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211B"/>
    <w:rsid w:val="00023CD8"/>
    <w:rsid w:val="00024344"/>
    <w:rsid w:val="00024487"/>
    <w:rsid w:val="00027D05"/>
    <w:rsid w:val="00031E68"/>
    <w:rsid w:val="00033B0A"/>
    <w:rsid w:val="00034E6F"/>
    <w:rsid w:val="000358B3"/>
    <w:rsid w:val="00035E74"/>
    <w:rsid w:val="000405C4"/>
    <w:rsid w:val="00042882"/>
    <w:rsid w:val="00044DC0"/>
    <w:rsid w:val="00046BCA"/>
    <w:rsid w:val="000478EE"/>
    <w:rsid w:val="00052123"/>
    <w:rsid w:val="00052687"/>
    <w:rsid w:val="00053519"/>
    <w:rsid w:val="0005366C"/>
    <w:rsid w:val="000567DA"/>
    <w:rsid w:val="00056DE6"/>
    <w:rsid w:val="0006105B"/>
    <w:rsid w:val="0006305A"/>
    <w:rsid w:val="000636C6"/>
    <w:rsid w:val="000642FC"/>
    <w:rsid w:val="0006469A"/>
    <w:rsid w:val="00066421"/>
    <w:rsid w:val="0006732A"/>
    <w:rsid w:val="00071306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484"/>
    <w:rsid w:val="00092971"/>
    <w:rsid w:val="00092AC6"/>
    <w:rsid w:val="00093AD2"/>
    <w:rsid w:val="00094FFA"/>
    <w:rsid w:val="0009661D"/>
    <w:rsid w:val="0009713F"/>
    <w:rsid w:val="000973AE"/>
    <w:rsid w:val="000A1C31"/>
    <w:rsid w:val="000A1F25"/>
    <w:rsid w:val="000A650F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6C9"/>
    <w:rsid w:val="000D26D3"/>
    <w:rsid w:val="000D276A"/>
    <w:rsid w:val="000D2E13"/>
    <w:rsid w:val="000D2F1B"/>
    <w:rsid w:val="000D4A8F"/>
    <w:rsid w:val="000D4D19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57B"/>
    <w:rsid w:val="0010469F"/>
    <w:rsid w:val="00105918"/>
    <w:rsid w:val="00105D05"/>
    <w:rsid w:val="001101C2"/>
    <w:rsid w:val="001109AA"/>
    <w:rsid w:val="00112252"/>
    <w:rsid w:val="00112C6A"/>
    <w:rsid w:val="00113B5F"/>
    <w:rsid w:val="00114FCA"/>
    <w:rsid w:val="00115A75"/>
    <w:rsid w:val="00115B7B"/>
    <w:rsid w:val="00117299"/>
    <w:rsid w:val="00120298"/>
    <w:rsid w:val="00120466"/>
    <w:rsid w:val="00120BD6"/>
    <w:rsid w:val="001215C0"/>
    <w:rsid w:val="00122191"/>
    <w:rsid w:val="00122D51"/>
    <w:rsid w:val="00124BBF"/>
    <w:rsid w:val="00126052"/>
    <w:rsid w:val="001274A8"/>
    <w:rsid w:val="001275D7"/>
    <w:rsid w:val="00127723"/>
    <w:rsid w:val="00130101"/>
    <w:rsid w:val="001308C4"/>
    <w:rsid w:val="001323DB"/>
    <w:rsid w:val="00133D49"/>
    <w:rsid w:val="00134114"/>
    <w:rsid w:val="00135032"/>
    <w:rsid w:val="00135B4B"/>
    <w:rsid w:val="0013699E"/>
    <w:rsid w:val="00137C03"/>
    <w:rsid w:val="001411E3"/>
    <w:rsid w:val="001448D8"/>
    <w:rsid w:val="001450BB"/>
    <w:rsid w:val="001459E7"/>
    <w:rsid w:val="00145C98"/>
    <w:rsid w:val="00146D19"/>
    <w:rsid w:val="00150F68"/>
    <w:rsid w:val="00151BBE"/>
    <w:rsid w:val="00153231"/>
    <w:rsid w:val="00154791"/>
    <w:rsid w:val="00154B26"/>
    <w:rsid w:val="001557CB"/>
    <w:rsid w:val="001559BB"/>
    <w:rsid w:val="00156839"/>
    <w:rsid w:val="00156C0D"/>
    <w:rsid w:val="0016428D"/>
    <w:rsid w:val="00165BE6"/>
    <w:rsid w:val="001660F7"/>
    <w:rsid w:val="001676F8"/>
    <w:rsid w:val="00172489"/>
    <w:rsid w:val="00172DD9"/>
    <w:rsid w:val="001738FD"/>
    <w:rsid w:val="00175CDF"/>
    <w:rsid w:val="0017659B"/>
    <w:rsid w:val="00177BCE"/>
    <w:rsid w:val="00177D99"/>
    <w:rsid w:val="001812B0"/>
    <w:rsid w:val="00181423"/>
    <w:rsid w:val="001815F9"/>
    <w:rsid w:val="00182A68"/>
    <w:rsid w:val="00183698"/>
    <w:rsid w:val="00183F4C"/>
    <w:rsid w:val="00187129"/>
    <w:rsid w:val="0019164F"/>
    <w:rsid w:val="00192C6E"/>
    <w:rsid w:val="00193C39"/>
    <w:rsid w:val="00194127"/>
    <w:rsid w:val="001943F7"/>
    <w:rsid w:val="00197B92"/>
    <w:rsid w:val="001A0CEC"/>
    <w:rsid w:val="001A0EDB"/>
    <w:rsid w:val="001A1B7C"/>
    <w:rsid w:val="001A2240"/>
    <w:rsid w:val="001A2CDE"/>
    <w:rsid w:val="001A77FD"/>
    <w:rsid w:val="001B0001"/>
    <w:rsid w:val="001B0432"/>
    <w:rsid w:val="001B252D"/>
    <w:rsid w:val="001B2904"/>
    <w:rsid w:val="001B63BC"/>
    <w:rsid w:val="001C02D6"/>
    <w:rsid w:val="001C501D"/>
    <w:rsid w:val="001C5F78"/>
    <w:rsid w:val="001C7CCE"/>
    <w:rsid w:val="001D15ED"/>
    <w:rsid w:val="001D2A6C"/>
    <w:rsid w:val="001D328B"/>
    <w:rsid w:val="001D3CA6"/>
    <w:rsid w:val="001D4A93"/>
    <w:rsid w:val="001D5F28"/>
    <w:rsid w:val="001D6DFC"/>
    <w:rsid w:val="001D7529"/>
    <w:rsid w:val="001D7948"/>
    <w:rsid w:val="001E0946"/>
    <w:rsid w:val="001E1001"/>
    <w:rsid w:val="001E15F8"/>
    <w:rsid w:val="001E1A6A"/>
    <w:rsid w:val="001E24D9"/>
    <w:rsid w:val="001E349E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5F24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783"/>
    <w:rsid w:val="00206844"/>
    <w:rsid w:val="00206D24"/>
    <w:rsid w:val="00210DDD"/>
    <w:rsid w:val="002125D6"/>
    <w:rsid w:val="00212E2A"/>
    <w:rsid w:val="002141B2"/>
    <w:rsid w:val="00214B50"/>
    <w:rsid w:val="00214BA3"/>
    <w:rsid w:val="002157BA"/>
    <w:rsid w:val="00215A82"/>
    <w:rsid w:val="00215E32"/>
    <w:rsid w:val="00215F36"/>
    <w:rsid w:val="00216771"/>
    <w:rsid w:val="00220735"/>
    <w:rsid w:val="002208B9"/>
    <w:rsid w:val="0022139A"/>
    <w:rsid w:val="00222261"/>
    <w:rsid w:val="00222C95"/>
    <w:rsid w:val="002239F2"/>
    <w:rsid w:val="00224106"/>
    <w:rsid w:val="00224133"/>
    <w:rsid w:val="00225508"/>
    <w:rsid w:val="00225570"/>
    <w:rsid w:val="00226E3D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840"/>
    <w:rsid w:val="00251446"/>
    <w:rsid w:val="002529A6"/>
    <w:rsid w:val="00252C29"/>
    <w:rsid w:val="00252D47"/>
    <w:rsid w:val="00252D91"/>
    <w:rsid w:val="002539AB"/>
    <w:rsid w:val="00253C6B"/>
    <w:rsid w:val="0025490A"/>
    <w:rsid w:val="00255A8B"/>
    <w:rsid w:val="00262D56"/>
    <w:rsid w:val="00263092"/>
    <w:rsid w:val="002662A5"/>
    <w:rsid w:val="002674D1"/>
    <w:rsid w:val="00270171"/>
    <w:rsid w:val="00270F98"/>
    <w:rsid w:val="002724CE"/>
    <w:rsid w:val="00273257"/>
    <w:rsid w:val="00273FA9"/>
    <w:rsid w:val="0027421D"/>
    <w:rsid w:val="00274A4A"/>
    <w:rsid w:val="002773F1"/>
    <w:rsid w:val="0028043B"/>
    <w:rsid w:val="00281013"/>
    <w:rsid w:val="002813EC"/>
    <w:rsid w:val="00281A5D"/>
    <w:rsid w:val="00282053"/>
    <w:rsid w:val="00282EFB"/>
    <w:rsid w:val="0028351B"/>
    <w:rsid w:val="00284C5E"/>
    <w:rsid w:val="00287B9F"/>
    <w:rsid w:val="00291A10"/>
    <w:rsid w:val="0029309B"/>
    <w:rsid w:val="00294B37"/>
    <w:rsid w:val="00296722"/>
    <w:rsid w:val="00297F3F"/>
    <w:rsid w:val="002A1396"/>
    <w:rsid w:val="002A195C"/>
    <w:rsid w:val="002A251F"/>
    <w:rsid w:val="002A3AAB"/>
    <w:rsid w:val="002A4A61"/>
    <w:rsid w:val="002A4C48"/>
    <w:rsid w:val="002A55B1"/>
    <w:rsid w:val="002A7D64"/>
    <w:rsid w:val="002B0983"/>
    <w:rsid w:val="002B1143"/>
    <w:rsid w:val="002B5901"/>
    <w:rsid w:val="002B5973"/>
    <w:rsid w:val="002C271D"/>
    <w:rsid w:val="002C2A2B"/>
    <w:rsid w:val="002C49D8"/>
    <w:rsid w:val="002C6B4F"/>
    <w:rsid w:val="002C6CFB"/>
    <w:rsid w:val="002C72E1"/>
    <w:rsid w:val="002C767C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3CA1"/>
    <w:rsid w:val="00305D6E"/>
    <w:rsid w:val="0030782E"/>
    <w:rsid w:val="00307F5F"/>
    <w:rsid w:val="00315556"/>
    <w:rsid w:val="00315B52"/>
    <w:rsid w:val="00315DE7"/>
    <w:rsid w:val="00317A7D"/>
    <w:rsid w:val="00320ED2"/>
    <w:rsid w:val="003214E2"/>
    <w:rsid w:val="003222DD"/>
    <w:rsid w:val="00324BB2"/>
    <w:rsid w:val="00325649"/>
    <w:rsid w:val="00325AB6"/>
    <w:rsid w:val="00325DF1"/>
    <w:rsid w:val="00326126"/>
    <w:rsid w:val="003267C0"/>
    <w:rsid w:val="0033057A"/>
    <w:rsid w:val="003308A8"/>
    <w:rsid w:val="00331749"/>
    <w:rsid w:val="00331AD9"/>
    <w:rsid w:val="00332A81"/>
    <w:rsid w:val="00334DEA"/>
    <w:rsid w:val="00336F5F"/>
    <w:rsid w:val="0033716D"/>
    <w:rsid w:val="00343554"/>
    <w:rsid w:val="003449F9"/>
    <w:rsid w:val="00344DA5"/>
    <w:rsid w:val="00344EA1"/>
    <w:rsid w:val="0034581F"/>
    <w:rsid w:val="0034592B"/>
    <w:rsid w:val="003479E4"/>
    <w:rsid w:val="00347C43"/>
    <w:rsid w:val="00350290"/>
    <w:rsid w:val="00350CA7"/>
    <w:rsid w:val="00351927"/>
    <w:rsid w:val="0035213C"/>
    <w:rsid w:val="00352DC1"/>
    <w:rsid w:val="00355254"/>
    <w:rsid w:val="0035591D"/>
    <w:rsid w:val="00356265"/>
    <w:rsid w:val="00356ACA"/>
    <w:rsid w:val="00357F36"/>
    <w:rsid w:val="00360C87"/>
    <w:rsid w:val="00360CD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AC6"/>
    <w:rsid w:val="00381F98"/>
    <w:rsid w:val="00382C54"/>
    <w:rsid w:val="00383766"/>
    <w:rsid w:val="00383C03"/>
    <w:rsid w:val="0038516A"/>
    <w:rsid w:val="00385390"/>
    <w:rsid w:val="00385654"/>
    <w:rsid w:val="00385FD6"/>
    <w:rsid w:val="0038601E"/>
    <w:rsid w:val="003869D5"/>
    <w:rsid w:val="003906A1"/>
    <w:rsid w:val="00391845"/>
    <w:rsid w:val="003924F8"/>
    <w:rsid w:val="003945E3"/>
    <w:rsid w:val="00395A50"/>
    <w:rsid w:val="0039673D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3794"/>
    <w:rsid w:val="003B4DAD"/>
    <w:rsid w:val="003B52F2"/>
    <w:rsid w:val="003B6329"/>
    <w:rsid w:val="003B6F60"/>
    <w:rsid w:val="003B76BD"/>
    <w:rsid w:val="003C2B82"/>
    <w:rsid w:val="003C315D"/>
    <w:rsid w:val="003C32E2"/>
    <w:rsid w:val="003C3C6E"/>
    <w:rsid w:val="003C4449"/>
    <w:rsid w:val="003C47A5"/>
    <w:rsid w:val="003C47D1"/>
    <w:rsid w:val="003C56D8"/>
    <w:rsid w:val="003C58AE"/>
    <w:rsid w:val="003C74FF"/>
    <w:rsid w:val="003D02B0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1501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4010D0"/>
    <w:rsid w:val="004014AE"/>
    <w:rsid w:val="00403271"/>
    <w:rsid w:val="00403645"/>
    <w:rsid w:val="004037C8"/>
    <w:rsid w:val="00403B13"/>
    <w:rsid w:val="00404A91"/>
    <w:rsid w:val="004051EE"/>
    <w:rsid w:val="00405544"/>
    <w:rsid w:val="00407C5B"/>
    <w:rsid w:val="00411042"/>
    <w:rsid w:val="004110BE"/>
    <w:rsid w:val="0041147F"/>
    <w:rsid w:val="00411A99"/>
    <w:rsid w:val="00411C03"/>
    <w:rsid w:val="00411E59"/>
    <w:rsid w:val="00414D9A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5513"/>
    <w:rsid w:val="00457028"/>
    <w:rsid w:val="00457E3B"/>
    <w:rsid w:val="00457FA3"/>
    <w:rsid w:val="00461C2E"/>
    <w:rsid w:val="00462172"/>
    <w:rsid w:val="00466714"/>
    <w:rsid w:val="00466B33"/>
    <w:rsid w:val="00466BD7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6146"/>
    <w:rsid w:val="004A7935"/>
    <w:rsid w:val="004B08A2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2F02"/>
    <w:rsid w:val="004F4564"/>
    <w:rsid w:val="004F4BBB"/>
    <w:rsid w:val="004F4F07"/>
    <w:rsid w:val="004F5A90"/>
    <w:rsid w:val="004F74F8"/>
    <w:rsid w:val="005004EC"/>
    <w:rsid w:val="0050128F"/>
    <w:rsid w:val="005013B5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165E"/>
    <w:rsid w:val="00513528"/>
    <w:rsid w:val="0051588E"/>
    <w:rsid w:val="00517A11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284D"/>
    <w:rsid w:val="0053566B"/>
    <w:rsid w:val="00536D00"/>
    <w:rsid w:val="0054062B"/>
    <w:rsid w:val="00540657"/>
    <w:rsid w:val="00540A28"/>
    <w:rsid w:val="0054235E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099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175F"/>
    <w:rsid w:val="0059242A"/>
    <w:rsid w:val="00596243"/>
    <w:rsid w:val="00596413"/>
    <w:rsid w:val="00596B6A"/>
    <w:rsid w:val="005A16CF"/>
    <w:rsid w:val="005A1A3D"/>
    <w:rsid w:val="005A23DB"/>
    <w:rsid w:val="005A2577"/>
    <w:rsid w:val="005A2ECA"/>
    <w:rsid w:val="005A4504"/>
    <w:rsid w:val="005A6BC3"/>
    <w:rsid w:val="005B0AAB"/>
    <w:rsid w:val="005B151D"/>
    <w:rsid w:val="005B2BA0"/>
    <w:rsid w:val="005B31EA"/>
    <w:rsid w:val="005B34A6"/>
    <w:rsid w:val="005B42FE"/>
    <w:rsid w:val="005B53A0"/>
    <w:rsid w:val="005B55BC"/>
    <w:rsid w:val="005B55FB"/>
    <w:rsid w:val="005B63C2"/>
    <w:rsid w:val="005B6C67"/>
    <w:rsid w:val="005B727A"/>
    <w:rsid w:val="005C0CBC"/>
    <w:rsid w:val="005C3A09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BFC"/>
    <w:rsid w:val="005D5C6E"/>
    <w:rsid w:val="005D67CE"/>
    <w:rsid w:val="005D74B0"/>
    <w:rsid w:val="005D7951"/>
    <w:rsid w:val="005E0D98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21B7"/>
    <w:rsid w:val="00610293"/>
    <w:rsid w:val="006104BB"/>
    <w:rsid w:val="006111B6"/>
    <w:rsid w:val="006117D4"/>
    <w:rsid w:val="00612605"/>
    <w:rsid w:val="006137A8"/>
    <w:rsid w:val="006152CD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5CD9"/>
    <w:rsid w:val="00626826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3417"/>
    <w:rsid w:val="0066483B"/>
    <w:rsid w:val="00664CCC"/>
    <w:rsid w:val="00667C21"/>
    <w:rsid w:val="0067069C"/>
    <w:rsid w:val="00671F29"/>
    <w:rsid w:val="0067305F"/>
    <w:rsid w:val="006738D0"/>
    <w:rsid w:val="00673E73"/>
    <w:rsid w:val="0067737F"/>
    <w:rsid w:val="006778D1"/>
    <w:rsid w:val="00680308"/>
    <w:rsid w:val="006813E4"/>
    <w:rsid w:val="0068276E"/>
    <w:rsid w:val="006828CE"/>
    <w:rsid w:val="0068429C"/>
    <w:rsid w:val="00685816"/>
    <w:rsid w:val="006861D2"/>
    <w:rsid w:val="00687476"/>
    <w:rsid w:val="0069038E"/>
    <w:rsid w:val="00690EB5"/>
    <w:rsid w:val="006925B5"/>
    <w:rsid w:val="0069296F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B473E"/>
    <w:rsid w:val="006B52C4"/>
    <w:rsid w:val="006C0178"/>
    <w:rsid w:val="006C063A"/>
    <w:rsid w:val="006C1785"/>
    <w:rsid w:val="006C1FA8"/>
    <w:rsid w:val="006C28D3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5E7B"/>
    <w:rsid w:val="007164A7"/>
    <w:rsid w:val="00716DFF"/>
    <w:rsid w:val="00721A60"/>
    <w:rsid w:val="007220CF"/>
    <w:rsid w:val="00722288"/>
    <w:rsid w:val="00723821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0654"/>
    <w:rsid w:val="00741D75"/>
    <w:rsid w:val="007421CA"/>
    <w:rsid w:val="007422BD"/>
    <w:rsid w:val="0074621F"/>
    <w:rsid w:val="007463FB"/>
    <w:rsid w:val="007513CD"/>
    <w:rsid w:val="00751F14"/>
    <w:rsid w:val="00752D8F"/>
    <w:rsid w:val="007546E8"/>
    <w:rsid w:val="00755D22"/>
    <w:rsid w:val="007571C4"/>
    <w:rsid w:val="00760099"/>
    <w:rsid w:val="0076019C"/>
    <w:rsid w:val="0076096A"/>
    <w:rsid w:val="00760E8D"/>
    <w:rsid w:val="0076196C"/>
    <w:rsid w:val="007640EC"/>
    <w:rsid w:val="00766B1A"/>
    <w:rsid w:val="00766DFE"/>
    <w:rsid w:val="0077119D"/>
    <w:rsid w:val="00772027"/>
    <w:rsid w:val="0077584D"/>
    <w:rsid w:val="0077797F"/>
    <w:rsid w:val="00783B46"/>
    <w:rsid w:val="00783C22"/>
    <w:rsid w:val="00783D1D"/>
    <w:rsid w:val="00784800"/>
    <w:rsid w:val="00786A15"/>
    <w:rsid w:val="00791349"/>
    <w:rsid w:val="007914E4"/>
    <w:rsid w:val="007914F3"/>
    <w:rsid w:val="00791F2A"/>
    <w:rsid w:val="007926D8"/>
    <w:rsid w:val="00792720"/>
    <w:rsid w:val="00793731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A7E78"/>
    <w:rsid w:val="007B058E"/>
    <w:rsid w:val="007B0864"/>
    <w:rsid w:val="007B0E05"/>
    <w:rsid w:val="007B2BDF"/>
    <w:rsid w:val="007B3678"/>
    <w:rsid w:val="007B5DB4"/>
    <w:rsid w:val="007C0795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319E"/>
    <w:rsid w:val="007E41CB"/>
    <w:rsid w:val="007E432E"/>
    <w:rsid w:val="007E5479"/>
    <w:rsid w:val="007E5F8E"/>
    <w:rsid w:val="007E79A4"/>
    <w:rsid w:val="007E7BF9"/>
    <w:rsid w:val="007F010B"/>
    <w:rsid w:val="007F072E"/>
    <w:rsid w:val="007F2366"/>
    <w:rsid w:val="007F6EC7"/>
    <w:rsid w:val="007F75A8"/>
    <w:rsid w:val="007F7EA7"/>
    <w:rsid w:val="00802FC5"/>
    <w:rsid w:val="008053B2"/>
    <w:rsid w:val="008077DC"/>
    <w:rsid w:val="0081078F"/>
    <w:rsid w:val="008117FD"/>
    <w:rsid w:val="00812782"/>
    <w:rsid w:val="00812AB9"/>
    <w:rsid w:val="008138C1"/>
    <w:rsid w:val="008143CA"/>
    <w:rsid w:val="00814E7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396D"/>
    <w:rsid w:val="0082437A"/>
    <w:rsid w:val="00824F8B"/>
    <w:rsid w:val="00830ACB"/>
    <w:rsid w:val="0083127F"/>
    <w:rsid w:val="008312B9"/>
    <w:rsid w:val="00831EDC"/>
    <w:rsid w:val="008321F3"/>
    <w:rsid w:val="00832700"/>
    <w:rsid w:val="00832898"/>
    <w:rsid w:val="00832DBA"/>
    <w:rsid w:val="0083348C"/>
    <w:rsid w:val="008338D6"/>
    <w:rsid w:val="00834AD2"/>
    <w:rsid w:val="00835499"/>
    <w:rsid w:val="00835A0A"/>
    <w:rsid w:val="00835ECD"/>
    <w:rsid w:val="008369E5"/>
    <w:rsid w:val="008377E3"/>
    <w:rsid w:val="008378E7"/>
    <w:rsid w:val="00840667"/>
    <w:rsid w:val="00842B83"/>
    <w:rsid w:val="00842C5E"/>
    <w:rsid w:val="00843A9B"/>
    <w:rsid w:val="00845A1B"/>
    <w:rsid w:val="00850365"/>
    <w:rsid w:val="00850566"/>
    <w:rsid w:val="00852B3C"/>
    <w:rsid w:val="008532E6"/>
    <w:rsid w:val="00853FF2"/>
    <w:rsid w:val="00855910"/>
    <w:rsid w:val="00855BF5"/>
    <w:rsid w:val="0085795D"/>
    <w:rsid w:val="00857AE4"/>
    <w:rsid w:val="00862936"/>
    <w:rsid w:val="0086745D"/>
    <w:rsid w:val="00870BF0"/>
    <w:rsid w:val="008716D8"/>
    <w:rsid w:val="0087408A"/>
    <w:rsid w:val="00875ABA"/>
    <w:rsid w:val="008771D6"/>
    <w:rsid w:val="008776B0"/>
    <w:rsid w:val="00880024"/>
    <w:rsid w:val="0088012D"/>
    <w:rsid w:val="00881C47"/>
    <w:rsid w:val="008828FA"/>
    <w:rsid w:val="008831D9"/>
    <w:rsid w:val="00884237"/>
    <w:rsid w:val="008858F8"/>
    <w:rsid w:val="00887583"/>
    <w:rsid w:val="00891445"/>
    <w:rsid w:val="00892781"/>
    <w:rsid w:val="00893873"/>
    <w:rsid w:val="008939BF"/>
    <w:rsid w:val="00893B19"/>
    <w:rsid w:val="00895A28"/>
    <w:rsid w:val="00897183"/>
    <w:rsid w:val="008A2992"/>
    <w:rsid w:val="008A5AFD"/>
    <w:rsid w:val="008A6C61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482"/>
    <w:rsid w:val="008C57E5"/>
    <w:rsid w:val="008C5AD6"/>
    <w:rsid w:val="008C5D4E"/>
    <w:rsid w:val="008C607E"/>
    <w:rsid w:val="008C7A4B"/>
    <w:rsid w:val="008D0C05"/>
    <w:rsid w:val="008D668D"/>
    <w:rsid w:val="008D71CE"/>
    <w:rsid w:val="008D7D58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8F7140"/>
    <w:rsid w:val="00904488"/>
    <w:rsid w:val="009057D2"/>
    <w:rsid w:val="00905A7F"/>
    <w:rsid w:val="00906247"/>
    <w:rsid w:val="009064A2"/>
    <w:rsid w:val="009065AD"/>
    <w:rsid w:val="00910F8F"/>
    <w:rsid w:val="0091118D"/>
    <w:rsid w:val="0091261A"/>
    <w:rsid w:val="00914479"/>
    <w:rsid w:val="00914B92"/>
    <w:rsid w:val="00915758"/>
    <w:rsid w:val="0092061C"/>
    <w:rsid w:val="00920771"/>
    <w:rsid w:val="00920878"/>
    <w:rsid w:val="00920C8A"/>
    <w:rsid w:val="009225A7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257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0940"/>
    <w:rsid w:val="0095165A"/>
    <w:rsid w:val="00951CE8"/>
    <w:rsid w:val="00952266"/>
    <w:rsid w:val="00952D70"/>
    <w:rsid w:val="00952D76"/>
    <w:rsid w:val="00953565"/>
    <w:rsid w:val="00953B22"/>
    <w:rsid w:val="00954C90"/>
    <w:rsid w:val="00955A7B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4EBE"/>
    <w:rsid w:val="0097724C"/>
    <w:rsid w:val="00977BD7"/>
    <w:rsid w:val="00980866"/>
    <w:rsid w:val="00980D24"/>
    <w:rsid w:val="00982037"/>
    <w:rsid w:val="009820AC"/>
    <w:rsid w:val="009824DF"/>
    <w:rsid w:val="0098270B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44FA"/>
    <w:rsid w:val="009A4689"/>
    <w:rsid w:val="009A64D6"/>
    <w:rsid w:val="009B09CD"/>
    <w:rsid w:val="009B2383"/>
    <w:rsid w:val="009B4356"/>
    <w:rsid w:val="009B51AE"/>
    <w:rsid w:val="009B7CBA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D6C00"/>
    <w:rsid w:val="009E0A62"/>
    <w:rsid w:val="009E1533"/>
    <w:rsid w:val="009E2715"/>
    <w:rsid w:val="009E272E"/>
    <w:rsid w:val="009E2785"/>
    <w:rsid w:val="009E2D2B"/>
    <w:rsid w:val="009E5870"/>
    <w:rsid w:val="009F08F6"/>
    <w:rsid w:val="009F0CDB"/>
    <w:rsid w:val="009F321D"/>
    <w:rsid w:val="009F39CB"/>
    <w:rsid w:val="009F3F07"/>
    <w:rsid w:val="009F7286"/>
    <w:rsid w:val="00A00EE5"/>
    <w:rsid w:val="00A02236"/>
    <w:rsid w:val="00A049E2"/>
    <w:rsid w:val="00A06AE1"/>
    <w:rsid w:val="00A070C0"/>
    <w:rsid w:val="00A077D4"/>
    <w:rsid w:val="00A1344B"/>
    <w:rsid w:val="00A13908"/>
    <w:rsid w:val="00A13B48"/>
    <w:rsid w:val="00A13D9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4AEC"/>
    <w:rsid w:val="00A3560F"/>
    <w:rsid w:val="00A35D4E"/>
    <w:rsid w:val="00A35DD1"/>
    <w:rsid w:val="00A36DC1"/>
    <w:rsid w:val="00A40884"/>
    <w:rsid w:val="00A413B5"/>
    <w:rsid w:val="00A41788"/>
    <w:rsid w:val="00A42C28"/>
    <w:rsid w:val="00A43B6B"/>
    <w:rsid w:val="00A45C7E"/>
    <w:rsid w:val="00A46AF0"/>
    <w:rsid w:val="00A46D09"/>
    <w:rsid w:val="00A477E6"/>
    <w:rsid w:val="00A4790E"/>
    <w:rsid w:val="00A47C1B"/>
    <w:rsid w:val="00A51BD6"/>
    <w:rsid w:val="00A532AC"/>
    <w:rsid w:val="00A5337D"/>
    <w:rsid w:val="00A55079"/>
    <w:rsid w:val="00A5564B"/>
    <w:rsid w:val="00A57569"/>
    <w:rsid w:val="00A57C2D"/>
    <w:rsid w:val="00A57CE8"/>
    <w:rsid w:val="00A61F48"/>
    <w:rsid w:val="00A62DE2"/>
    <w:rsid w:val="00A6389A"/>
    <w:rsid w:val="00A63DC8"/>
    <w:rsid w:val="00A66CBC"/>
    <w:rsid w:val="00A70990"/>
    <w:rsid w:val="00A75168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54B"/>
    <w:rsid w:val="00AA3C3D"/>
    <w:rsid w:val="00AA3F4D"/>
    <w:rsid w:val="00AA53B0"/>
    <w:rsid w:val="00AA63A9"/>
    <w:rsid w:val="00AA6F19"/>
    <w:rsid w:val="00AA7E07"/>
    <w:rsid w:val="00AB0B3D"/>
    <w:rsid w:val="00AB1112"/>
    <w:rsid w:val="00AB148A"/>
    <w:rsid w:val="00AB1607"/>
    <w:rsid w:val="00AB17F6"/>
    <w:rsid w:val="00AB4292"/>
    <w:rsid w:val="00AB4E03"/>
    <w:rsid w:val="00AC0237"/>
    <w:rsid w:val="00AC19FB"/>
    <w:rsid w:val="00AC1B7C"/>
    <w:rsid w:val="00AC3A4B"/>
    <w:rsid w:val="00AC5B01"/>
    <w:rsid w:val="00AC60C2"/>
    <w:rsid w:val="00AC76C6"/>
    <w:rsid w:val="00AD268D"/>
    <w:rsid w:val="00AD3749"/>
    <w:rsid w:val="00AD3F85"/>
    <w:rsid w:val="00AD6723"/>
    <w:rsid w:val="00AD6AE6"/>
    <w:rsid w:val="00AE7BCF"/>
    <w:rsid w:val="00AE7D6D"/>
    <w:rsid w:val="00AF1B15"/>
    <w:rsid w:val="00AF1C91"/>
    <w:rsid w:val="00AF1D18"/>
    <w:rsid w:val="00AF3191"/>
    <w:rsid w:val="00AF476B"/>
    <w:rsid w:val="00AF67D0"/>
    <w:rsid w:val="00AF794B"/>
    <w:rsid w:val="00B0051A"/>
    <w:rsid w:val="00B02952"/>
    <w:rsid w:val="00B03DB7"/>
    <w:rsid w:val="00B03F86"/>
    <w:rsid w:val="00B04957"/>
    <w:rsid w:val="00B04CB8"/>
    <w:rsid w:val="00B05435"/>
    <w:rsid w:val="00B07F24"/>
    <w:rsid w:val="00B116A0"/>
    <w:rsid w:val="00B11981"/>
    <w:rsid w:val="00B15372"/>
    <w:rsid w:val="00B16515"/>
    <w:rsid w:val="00B17F46"/>
    <w:rsid w:val="00B20519"/>
    <w:rsid w:val="00B205C7"/>
    <w:rsid w:val="00B21775"/>
    <w:rsid w:val="00B2191C"/>
    <w:rsid w:val="00B22C00"/>
    <w:rsid w:val="00B22E00"/>
    <w:rsid w:val="00B2361F"/>
    <w:rsid w:val="00B23B00"/>
    <w:rsid w:val="00B24286"/>
    <w:rsid w:val="00B25816"/>
    <w:rsid w:val="00B2692B"/>
    <w:rsid w:val="00B2718B"/>
    <w:rsid w:val="00B3040A"/>
    <w:rsid w:val="00B348D8"/>
    <w:rsid w:val="00B350FD"/>
    <w:rsid w:val="00B35ECD"/>
    <w:rsid w:val="00B40221"/>
    <w:rsid w:val="00B41FC5"/>
    <w:rsid w:val="00B42140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042"/>
    <w:rsid w:val="00B92315"/>
    <w:rsid w:val="00B9272C"/>
    <w:rsid w:val="00B936F0"/>
    <w:rsid w:val="00B9463D"/>
    <w:rsid w:val="00B94B98"/>
    <w:rsid w:val="00B94CAC"/>
    <w:rsid w:val="00B951D3"/>
    <w:rsid w:val="00B96C04"/>
    <w:rsid w:val="00BA06B3"/>
    <w:rsid w:val="00BA32BA"/>
    <w:rsid w:val="00BA32CA"/>
    <w:rsid w:val="00BA417A"/>
    <w:rsid w:val="00BA477A"/>
    <w:rsid w:val="00BA4E8A"/>
    <w:rsid w:val="00BA6C7C"/>
    <w:rsid w:val="00BA7016"/>
    <w:rsid w:val="00BA787B"/>
    <w:rsid w:val="00BB20F2"/>
    <w:rsid w:val="00BB5178"/>
    <w:rsid w:val="00BB67AE"/>
    <w:rsid w:val="00BB682B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3FF7"/>
    <w:rsid w:val="00BD65A2"/>
    <w:rsid w:val="00BD67A1"/>
    <w:rsid w:val="00BD686B"/>
    <w:rsid w:val="00BD73E6"/>
    <w:rsid w:val="00BE21A9"/>
    <w:rsid w:val="00BE263E"/>
    <w:rsid w:val="00BE3F11"/>
    <w:rsid w:val="00BE438D"/>
    <w:rsid w:val="00BE603A"/>
    <w:rsid w:val="00BE6CB3"/>
    <w:rsid w:val="00BE7042"/>
    <w:rsid w:val="00BF2436"/>
    <w:rsid w:val="00BF3055"/>
    <w:rsid w:val="00BF321B"/>
    <w:rsid w:val="00BF36A4"/>
    <w:rsid w:val="00BF3773"/>
    <w:rsid w:val="00BF3E14"/>
    <w:rsid w:val="00BF4644"/>
    <w:rsid w:val="00BF5479"/>
    <w:rsid w:val="00BF6269"/>
    <w:rsid w:val="00BF63AA"/>
    <w:rsid w:val="00C00D18"/>
    <w:rsid w:val="00C03B8D"/>
    <w:rsid w:val="00C0428C"/>
    <w:rsid w:val="00C04532"/>
    <w:rsid w:val="00C06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0715"/>
    <w:rsid w:val="00C7233D"/>
    <w:rsid w:val="00C723BC"/>
    <w:rsid w:val="00C73810"/>
    <w:rsid w:val="00C73F85"/>
    <w:rsid w:val="00C7480A"/>
    <w:rsid w:val="00C75749"/>
    <w:rsid w:val="00C76888"/>
    <w:rsid w:val="00C76A81"/>
    <w:rsid w:val="00C7728E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9D"/>
    <w:rsid w:val="00C82EAF"/>
    <w:rsid w:val="00C83C59"/>
    <w:rsid w:val="00C85C0F"/>
    <w:rsid w:val="00C86D46"/>
    <w:rsid w:val="00C87821"/>
    <w:rsid w:val="00C8795F"/>
    <w:rsid w:val="00C92726"/>
    <w:rsid w:val="00C9365B"/>
    <w:rsid w:val="00C94642"/>
    <w:rsid w:val="00C94AEE"/>
    <w:rsid w:val="00C95E91"/>
    <w:rsid w:val="00C95FF7"/>
    <w:rsid w:val="00C96AF0"/>
    <w:rsid w:val="00C975ED"/>
    <w:rsid w:val="00CA1130"/>
    <w:rsid w:val="00CA1F8F"/>
    <w:rsid w:val="00CA2591"/>
    <w:rsid w:val="00CA40A6"/>
    <w:rsid w:val="00CA6689"/>
    <w:rsid w:val="00CB147A"/>
    <w:rsid w:val="00CB285C"/>
    <w:rsid w:val="00CB5D36"/>
    <w:rsid w:val="00CB6234"/>
    <w:rsid w:val="00CB62CB"/>
    <w:rsid w:val="00CB7A46"/>
    <w:rsid w:val="00CC3806"/>
    <w:rsid w:val="00CC4281"/>
    <w:rsid w:val="00CC648A"/>
    <w:rsid w:val="00CC76CE"/>
    <w:rsid w:val="00CD0106"/>
    <w:rsid w:val="00CD0ABD"/>
    <w:rsid w:val="00CD1C45"/>
    <w:rsid w:val="00CD259C"/>
    <w:rsid w:val="00CD42A7"/>
    <w:rsid w:val="00CD699F"/>
    <w:rsid w:val="00CD6C2D"/>
    <w:rsid w:val="00CE09AE"/>
    <w:rsid w:val="00CE3549"/>
    <w:rsid w:val="00CE3B09"/>
    <w:rsid w:val="00CE3DDC"/>
    <w:rsid w:val="00CE3F65"/>
    <w:rsid w:val="00CE3FFA"/>
    <w:rsid w:val="00CE4BAA"/>
    <w:rsid w:val="00CE6250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24F4"/>
    <w:rsid w:val="00D02D70"/>
    <w:rsid w:val="00D04391"/>
    <w:rsid w:val="00D05F32"/>
    <w:rsid w:val="00D07ABE"/>
    <w:rsid w:val="00D10338"/>
    <w:rsid w:val="00D10E87"/>
    <w:rsid w:val="00D10F21"/>
    <w:rsid w:val="00D13972"/>
    <w:rsid w:val="00D152E1"/>
    <w:rsid w:val="00D15DEC"/>
    <w:rsid w:val="00D16730"/>
    <w:rsid w:val="00D17833"/>
    <w:rsid w:val="00D202C0"/>
    <w:rsid w:val="00D22352"/>
    <w:rsid w:val="00D2310E"/>
    <w:rsid w:val="00D237CE"/>
    <w:rsid w:val="00D247C1"/>
    <w:rsid w:val="00D2694A"/>
    <w:rsid w:val="00D26B5E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28F4"/>
    <w:rsid w:val="00D52AAA"/>
    <w:rsid w:val="00D52F5F"/>
    <w:rsid w:val="00D53033"/>
    <w:rsid w:val="00D53161"/>
    <w:rsid w:val="00D5432B"/>
    <w:rsid w:val="00D5494D"/>
    <w:rsid w:val="00D55BAA"/>
    <w:rsid w:val="00D574CA"/>
    <w:rsid w:val="00D57819"/>
    <w:rsid w:val="00D60332"/>
    <w:rsid w:val="00D6072C"/>
    <w:rsid w:val="00D60767"/>
    <w:rsid w:val="00D618A3"/>
    <w:rsid w:val="00D62195"/>
    <w:rsid w:val="00D62544"/>
    <w:rsid w:val="00D635F4"/>
    <w:rsid w:val="00D65117"/>
    <w:rsid w:val="00D65581"/>
    <w:rsid w:val="00D65620"/>
    <w:rsid w:val="00D65FF8"/>
    <w:rsid w:val="00D66D2B"/>
    <w:rsid w:val="00D66D92"/>
    <w:rsid w:val="00D6710D"/>
    <w:rsid w:val="00D72542"/>
    <w:rsid w:val="00D72906"/>
    <w:rsid w:val="00D72BC8"/>
    <w:rsid w:val="00D72BCE"/>
    <w:rsid w:val="00D73E07"/>
    <w:rsid w:val="00D74A52"/>
    <w:rsid w:val="00D74DE9"/>
    <w:rsid w:val="00D7707D"/>
    <w:rsid w:val="00D77E65"/>
    <w:rsid w:val="00D81DEC"/>
    <w:rsid w:val="00D826B4"/>
    <w:rsid w:val="00D84566"/>
    <w:rsid w:val="00D84A61"/>
    <w:rsid w:val="00D92951"/>
    <w:rsid w:val="00D93082"/>
    <w:rsid w:val="00D9485C"/>
    <w:rsid w:val="00D94B05"/>
    <w:rsid w:val="00D95494"/>
    <w:rsid w:val="00D9667F"/>
    <w:rsid w:val="00D97DF1"/>
    <w:rsid w:val="00DA122F"/>
    <w:rsid w:val="00DA3576"/>
    <w:rsid w:val="00DA3D06"/>
    <w:rsid w:val="00DA3D0C"/>
    <w:rsid w:val="00DA3EDB"/>
    <w:rsid w:val="00DA530F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4397"/>
    <w:rsid w:val="00DC4F38"/>
    <w:rsid w:val="00DC77AA"/>
    <w:rsid w:val="00DD09CF"/>
    <w:rsid w:val="00DD0BDC"/>
    <w:rsid w:val="00DD369B"/>
    <w:rsid w:val="00DD3BD5"/>
    <w:rsid w:val="00DD4535"/>
    <w:rsid w:val="00DD503C"/>
    <w:rsid w:val="00DD64AA"/>
    <w:rsid w:val="00DD6EB7"/>
    <w:rsid w:val="00DD70FA"/>
    <w:rsid w:val="00DE11C8"/>
    <w:rsid w:val="00DE2E19"/>
    <w:rsid w:val="00DE3141"/>
    <w:rsid w:val="00DE3143"/>
    <w:rsid w:val="00DE35F8"/>
    <w:rsid w:val="00DE37FD"/>
    <w:rsid w:val="00DE385C"/>
    <w:rsid w:val="00DE6B23"/>
    <w:rsid w:val="00DE6B30"/>
    <w:rsid w:val="00DE710B"/>
    <w:rsid w:val="00DE780F"/>
    <w:rsid w:val="00DF15D7"/>
    <w:rsid w:val="00DF3527"/>
    <w:rsid w:val="00DF3E12"/>
    <w:rsid w:val="00DF4AC1"/>
    <w:rsid w:val="00DF69A3"/>
    <w:rsid w:val="00DF6CC2"/>
    <w:rsid w:val="00E00285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4CD9"/>
    <w:rsid w:val="00E16539"/>
    <w:rsid w:val="00E16650"/>
    <w:rsid w:val="00E245D5"/>
    <w:rsid w:val="00E31C35"/>
    <w:rsid w:val="00E332E8"/>
    <w:rsid w:val="00E33B8F"/>
    <w:rsid w:val="00E40624"/>
    <w:rsid w:val="00E408BF"/>
    <w:rsid w:val="00E4329F"/>
    <w:rsid w:val="00E46D15"/>
    <w:rsid w:val="00E53938"/>
    <w:rsid w:val="00E53C1B"/>
    <w:rsid w:val="00E544C1"/>
    <w:rsid w:val="00E54D26"/>
    <w:rsid w:val="00E54E21"/>
    <w:rsid w:val="00E55DFC"/>
    <w:rsid w:val="00E5708C"/>
    <w:rsid w:val="00E57F35"/>
    <w:rsid w:val="00E610D6"/>
    <w:rsid w:val="00E62A4F"/>
    <w:rsid w:val="00E645B8"/>
    <w:rsid w:val="00E65013"/>
    <w:rsid w:val="00E651DE"/>
    <w:rsid w:val="00E654B6"/>
    <w:rsid w:val="00E70841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4F96"/>
    <w:rsid w:val="00EA6A6E"/>
    <w:rsid w:val="00EA6DCB"/>
    <w:rsid w:val="00EB17C5"/>
    <w:rsid w:val="00EB5ADB"/>
    <w:rsid w:val="00EB6218"/>
    <w:rsid w:val="00EB69EF"/>
    <w:rsid w:val="00EB7706"/>
    <w:rsid w:val="00EC4F39"/>
    <w:rsid w:val="00EC6022"/>
    <w:rsid w:val="00EC70E0"/>
    <w:rsid w:val="00EC7772"/>
    <w:rsid w:val="00EC79C5"/>
    <w:rsid w:val="00EC7A02"/>
    <w:rsid w:val="00ED2074"/>
    <w:rsid w:val="00ED21D2"/>
    <w:rsid w:val="00ED3E1B"/>
    <w:rsid w:val="00ED5F52"/>
    <w:rsid w:val="00ED6892"/>
    <w:rsid w:val="00ED6FC5"/>
    <w:rsid w:val="00ED75CA"/>
    <w:rsid w:val="00EE13AE"/>
    <w:rsid w:val="00EE1AA2"/>
    <w:rsid w:val="00EE25EA"/>
    <w:rsid w:val="00EE276D"/>
    <w:rsid w:val="00EE2AF3"/>
    <w:rsid w:val="00EE34B6"/>
    <w:rsid w:val="00EE394D"/>
    <w:rsid w:val="00EE55B2"/>
    <w:rsid w:val="00EE7D3D"/>
    <w:rsid w:val="00EE7DA9"/>
    <w:rsid w:val="00EF158D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05D4E"/>
    <w:rsid w:val="00F100D0"/>
    <w:rsid w:val="00F109FC"/>
    <w:rsid w:val="00F11DE3"/>
    <w:rsid w:val="00F13D95"/>
    <w:rsid w:val="00F16057"/>
    <w:rsid w:val="00F16324"/>
    <w:rsid w:val="00F1639B"/>
    <w:rsid w:val="00F233C0"/>
    <w:rsid w:val="00F2375B"/>
    <w:rsid w:val="00F24F93"/>
    <w:rsid w:val="00F2561F"/>
    <w:rsid w:val="00F25EEE"/>
    <w:rsid w:val="00F2611F"/>
    <w:rsid w:val="00F2637D"/>
    <w:rsid w:val="00F31334"/>
    <w:rsid w:val="00F3152E"/>
    <w:rsid w:val="00F33998"/>
    <w:rsid w:val="00F341EB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09E1"/>
    <w:rsid w:val="00F52E3C"/>
    <w:rsid w:val="00F5458D"/>
    <w:rsid w:val="00F54F3A"/>
    <w:rsid w:val="00F55028"/>
    <w:rsid w:val="00F5670E"/>
    <w:rsid w:val="00F575FD"/>
    <w:rsid w:val="00F577D9"/>
    <w:rsid w:val="00F60892"/>
    <w:rsid w:val="00F61E6F"/>
    <w:rsid w:val="00F6498A"/>
    <w:rsid w:val="00F65032"/>
    <w:rsid w:val="00F653A1"/>
    <w:rsid w:val="00F659E1"/>
    <w:rsid w:val="00F668FF"/>
    <w:rsid w:val="00F670F7"/>
    <w:rsid w:val="00F71FAA"/>
    <w:rsid w:val="00F729FA"/>
    <w:rsid w:val="00F73385"/>
    <w:rsid w:val="00F7677E"/>
    <w:rsid w:val="00F76F3C"/>
    <w:rsid w:val="00F808C5"/>
    <w:rsid w:val="00F81D0E"/>
    <w:rsid w:val="00F82538"/>
    <w:rsid w:val="00F832E1"/>
    <w:rsid w:val="00F846E0"/>
    <w:rsid w:val="00F85369"/>
    <w:rsid w:val="00F858DD"/>
    <w:rsid w:val="00F87EC7"/>
    <w:rsid w:val="00F93DC9"/>
    <w:rsid w:val="00F94872"/>
    <w:rsid w:val="00F9547F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406B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C6B3A"/>
    <w:rsid w:val="00FD084D"/>
    <w:rsid w:val="00FD34A6"/>
    <w:rsid w:val="00FD4602"/>
    <w:rsid w:val="00FD554D"/>
    <w:rsid w:val="00FD5B24"/>
    <w:rsid w:val="00FD6CC9"/>
    <w:rsid w:val="00FE1231"/>
    <w:rsid w:val="00FE2426"/>
    <w:rsid w:val="00FE30C5"/>
    <w:rsid w:val="00FE31E9"/>
    <w:rsid w:val="00FE362B"/>
    <w:rsid w:val="00FE37EF"/>
    <w:rsid w:val="00FE5C16"/>
    <w:rsid w:val="00FE6063"/>
    <w:rsid w:val="00FF0D93"/>
    <w:rsid w:val="00FF322C"/>
    <w:rsid w:val="00FF32B1"/>
    <w:rsid w:val="00FF373C"/>
    <w:rsid w:val="00FF42CB"/>
    <w:rsid w:val="00FF4439"/>
    <w:rsid w:val="00FF740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53B965-002C-471A-8B4C-FC09436D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semiHidden/>
    <w:unhideWhenUsed/>
    <w:qFormat/>
    <w:rsid w:val="00D635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6Char">
    <w:name w:val="제목 6 Char"/>
    <w:basedOn w:val="a0"/>
    <w:link w:val="6"/>
    <w:semiHidden/>
    <w:rsid w:val="00D635F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BodyText">
    <w:name w:val="BodyText"/>
    <w:basedOn w:val="a"/>
    <w:qFormat/>
    <w:rsid w:val="00AA354B"/>
    <w:pPr>
      <w:spacing w:before="120" w:after="120"/>
      <w:jc w:val="both"/>
    </w:pPr>
    <w:rPr>
      <w:sz w:val="22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A57569"/>
    <w:pPr>
      <w:spacing w:before="120" w:after="200"/>
      <w:jc w:val="center"/>
    </w:pPr>
    <w:rPr>
      <w:rFonts w:ascii="Arial" w:eastAsia="바탕" w:hAnsi="Arial"/>
      <w:b/>
      <w:iCs/>
      <w:szCs w:val="18"/>
    </w:rPr>
  </w:style>
  <w:style w:type="character" w:customStyle="1" w:styleId="Char2">
    <w:name w:val="캡션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1"/>
    <w:rsid w:val="00A57569"/>
    <w:rPr>
      <w:rFonts w:ascii="Arial" w:eastAsia="바탕" w:hAnsi="Arial"/>
      <w:b/>
      <w:iCs/>
      <w:sz w:val="18"/>
      <w:szCs w:val="18"/>
      <w:lang w:val="en-GB" w:eastAsia="en-US"/>
    </w:rPr>
  </w:style>
  <w:style w:type="character" w:customStyle="1" w:styleId="SC12323589">
    <w:name w:val="SC.12.323589"/>
    <w:uiPriority w:val="99"/>
    <w:rsid w:val="00A57569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2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0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8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59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0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0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ongki.kim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BEB0-1B23-4D6B-A624-06188594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Mediatek Inc.</Company>
  <LinksUpToDate>false</LinksUpToDate>
  <CharactersWithSpaces>5499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dc:description/>
  <cp:lastModifiedBy>김정기/책임연구원/차세대표준(연)IoT팀(jeongki.kim@lge.com)</cp:lastModifiedBy>
  <cp:revision>9</cp:revision>
  <cp:lastPrinted>2010-05-04T03:47:00Z</cp:lastPrinted>
  <dcterms:created xsi:type="dcterms:W3CDTF">2016-10-31T01:38:00Z</dcterms:created>
  <dcterms:modified xsi:type="dcterms:W3CDTF">2016-11-07T03:45:00Z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1466992294</vt:lpwstr>
  </property>
</Properties>
</file>