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1DDD1EB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671D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29335E08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r w:rsidR="00D021EE" w:rsidRPr="00D021EE">
        <w:rPr>
          <w:b/>
          <w:color w:val="000000" w:themeColor="text1"/>
          <w:sz w:val="22"/>
          <w:szCs w:val="22"/>
          <w:u w:val="single"/>
        </w:rPr>
        <w:t>26.3.9.10</w:t>
      </w:r>
      <w:r w:rsidR="00D021EE">
        <w:rPr>
          <w:b/>
          <w:color w:val="000000" w:themeColor="text1"/>
          <w:sz w:val="22"/>
          <w:szCs w:val="22"/>
          <w:u w:val="single"/>
        </w:rPr>
        <w:t xml:space="preserve"> HE-LTF</w:t>
      </w:r>
    </w:p>
    <w:p w14:paraId="22115CBA" w14:textId="5356D882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021EE">
        <w:rPr>
          <w:color w:val="000000" w:themeColor="text1"/>
          <w:sz w:val="22"/>
          <w:szCs w:val="22"/>
        </w:rPr>
        <w:t>In draft D0.5, t</w:t>
      </w:r>
      <w:r w:rsidRPr="00466253">
        <w:rPr>
          <w:color w:val="000000" w:themeColor="text1"/>
          <w:sz w:val="22"/>
          <w:szCs w:val="22"/>
        </w:rPr>
        <w:t xml:space="preserve">he </w:t>
      </w:r>
      <w:r w:rsidR="00D021EE">
        <w:rPr>
          <w:color w:val="000000" w:themeColor="text1"/>
          <w:sz w:val="22"/>
          <w:szCs w:val="22"/>
        </w:rPr>
        <w:t>existing P-matrix masked HE-LTF has the following issues need to be changed and updated. 1) 1x HE-LTF is not masked in UL-MUMIMO; 2) Per stream masking instead of per STA masking; 3) Tone mapping is not correct for 2x HE-LTF</w:t>
      </w:r>
      <w:r>
        <w:rPr>
          <w:sz w:val="22"/>
          <w:szCs w:val="22"/>
        </w:rPr>
        <w:t>.</w:t>
      </w:r>
    </w:p>
    <w:p w14:paraId="02B5CB43" w14:textId="1AB69C66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D53996">
        <w:rPr>
          <w:i/>
          <w:sz w:val="22"/>
          <w:szCs w:val="22"/>
          <w:highlight w:val="yellow"/>
        </w:rPr>
        <w:t xml:space="preserve">In page 255, replace equation (26-54) to line 42 </w:t>
      </w:r>
      <w:r w:rsidR="00E75D17" w:rsidRPr="00E75D17">
        <w:rPr>
          <w:i/>
          <w:sz w:val="22"/>
          <w:szCs w:val="22"/>
          <w:highlight w:val="yellow"/>
        </w:rPr>
        <w:t xml:space="preserve">in 26.3.9.10 HE-LTF </w:t>
      </w:r>
      <w:r w:rsidR="00D53996">
        <w:rPr>
          <w:i/>
          <w:sz w:val="22"/>
          <w:szCs w:val="22"/>
          <w:highlight w:val="yellow"/>
        </w:rPr>
        <w:t>with the following</w:t>
      </w:r>
      <w:ins w:id="1" w:author="Chen, Xiaogang C" w:date="2016-10-31T12:50:00Z">
        <w:r w:rsidR="00D53996">
          <w:rPr>
            <w:i/>
            <w:sz w:val="22"/>
            <w:szCs w:val="22"/>
            <w:highlight w:val="yellow"/>
          </w:rPr>
          <w:t xml:space="preserve"> highlighted</w:t>
        </w:r>
      </w:ins>
      <w:r w:rsidR="00D53996">
        <w:rPr>
          <w:i/>
          <w:sz w:val="22"/>
          <w:szCs w:val="22"/>
          <w:highlight w:val="yellow"/>
        </w:rPr>
        <w:t xml:space="preserve"> equations and text</w:t>
      </w:r>
      <w:r w:rsidR="00E75D17" w:rsidRPr="00E75D17">
        <w:rPr>
          <w:i/>
          <w:sz w:val="22"/>
          <w:szCs w:val="22"/>
          <w:highlight w:val="yellow"/>
        </w:rPr>
        <w:t>.</w:t>
      </w:r>
    </w:p>
    <w:p w14:paraId="5ECC1381" w14:textId="77777777" w:rsidR="00D53996" w:rsidRDefault="00D53996" w:rsidP="00D53996">
      <w:pPr>
        <w:spacing w:after="160" w:line="259" w:lineRule="auto"/>
        <w:jc w:val="both"/>
        <w:rPr>
          <w:rStyle w:val="fontstyle01"/>
        </w:rPr>
      </w:pPr>
      <w:r>
        <w:rPr>
          <w:rStyle w:val="fontstyle01"/>
        </w:rPr>
        <w:t>In an UL MU-MIMO transmission not using single stream pilots, the generation of the HE-LTF sequence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per frequency segment is to mask the non-zero elements in the common HE-LTF sequence repeatedly by 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distinct orthogonal code as defined by Equation (26-54).</w:t>
      </w:r>
    </w:p>
    <w:p w14:paraId="56151D32" w14:textId="77777777" w:rsidR="00D53996" w:rsidRDefault="00D53996" w:rsidP="00D53996">
      <w:pPr>
        <w:spacing w:after="160" w:line="259" w:lineRule="auto"/>
        <w:jc w:val="center"/>
        <w:rPr>
          <w:ins w:id="2" w:author="Chen, Xiaogang C" w:date="2016-10-31T12:49:00Z"/>
          <w:color w:val="000000" w:themeColor="text1"/>
          <w:sz w:val="22"/>
          <w:szCs w:val="22"/>
        </w:rPr>
      </w:pPr>
      <w:ins w:id="3" w:author="Chen, Xiaogang C" w:date="2016-10-31T12:49:00Z">
        <w:r>
          <w:rPr>
            <w:position w:val="-32"/>
          </w:rPr>
          <w:object w:dxaOrig="4944" w:dyaOrig="576" w14:anchorId="53F36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3pt;height:28.7pt" o:ole="">
              <v:imagedata r:id="rId8" o:title=""/>
            </v:shape>
            <o:OLEObject Type="Embed" ProgID="Equation.DSMT4" ShapeID="_x0000_i1025" DrawAspect="Content" ObjectID="_1539884905" r:id="rId9"/>
          </w:object>
        </w:r>
      </w:ins>
      <w:ins w:id="4" w:author="Chen, Xiaogang C" w:date="2016-10-31T12:49:00Z">
        <w:r>
          <w:t xml:space="preserve"> </w:t>
        </w:r>
        <w:r>
          <w:tab/>
        </w:r>
        <w:r>
          <w:tab/>
          <w:t>(26-54)</w:t>
        </w:r>
      </w:ins>
    </w:p>
    <w:p w14:paraId="030DDF22" w14:textId="77777777" w:rsidR="00D53996" w:rsidRPr="00D53996" w:rsidRDefault="00D53996" w:rsidP="00D53996">
      <w:pPr>
        <w:jc w:val="both"/>
        <w:rPr>
          <w:ins w:id="5" w:author="Chen, Xiaogang C" w:date="2016-10-31T12:49:00Z"/>
          <w:sz w:val="20"/>
        </w:rPr>
      </w:pPr>
      <w:ins w:id="6" w:author="Chen, Xiaogang C" w:date="2016-10-31T12:49:00Z">
        <w:r w:rsidRPr="00D53996">
          <w:rPr>
            <w:sz w:val="20"/>
          </w:rPr>
          <w:t xml:space="preserve">Where </w:t>
        </w:r>
      </w:ins>
      <w:ins w:id="7" w:author="Chen, Xiaogang C" w:date="2016-10-31T12:49:00Z">
        <w:r w:rsidRPr="00D53996">
          <w:rPr>
            <w:position w:val="-12"/>
            <w:sz w:val="20"/>
          </w:rPr>
          <w:object w:dxaOrig="888" w:dyaOrig="372" w14:anchorId="3AEEFA62">
            <v:shape id="_x0000_i1026" type="#_x0000_t75" style="width:44.55pt;height:18.45pt" o:ole="">
              <v:imagedata r:id="rId10" o:title=""/>
            </v:shape>
            <o:OLEObject Type="Embed" ProgID="Equation.DSMT4" ShapeID="_x0000_i1026" DrawAspect="Content" ObjectID="_1539884906" r:id="rId11"/>
          </w:object>
        </w:r>
      </w:ins>
      <w:ins w:id="8" w:author="Chen, Xiaogang C" w:date="2016-10-31T12:49:00Z">
        <w:r w:rsidRPr="00D53996">
          <w:rPr>
            <w:sz w:val="20"/>
          </w:rPr>
          <w:t xml:space="preserve">is the </w:t>
        </w:r>
        <w:r w:rsidRPr="00D53996">
          <w:rPr>
            <w:i/>
            <w:sz w:val="20"/>
          </w:rPr>
          <w:t>k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element of the common HE-LTF sequence generated by the one of the equations from (26-39) to (26-57) depends on the bandwidth and the HE-LTF mode (excluding the 1x HE-LTF). </w:t>
        </w:r>
      </w:ins>
      <w:ins w:id="9" w:author="Chen, Xiaogang C" w:date="2016-10-31T12:49:00Z">
        <w:r w:rsidRPr="00D53996">
          <w:rPr>
            <w:position w:val="-12"/>
            <w:sz w:val="20"/>
          </w:rPr>
          <w:object w:dxaOrig="576" w:dyaOrig="360" w14:anchorId="7D084782">
            <v:shape id="_x0000_i1027" type="#_x0000_t75" style="width:28.7pt;height:18pt" o:ole="">
              <v:imagedata r:id="rId12" o:title=""/>
            </v:shape>
            <o:OLEObject Type="Embed" ProgID="Equation.DSMT4" ShapeID="_x0000_i1027" DrawAspect="Content" ObjectID="_1539884907" r:id="rId13"/>
          </w:object>
        </w:r>
      </w:ins>
      <w:proofErr w:type="gramStart"/>
      <w:ins w:id="10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defined in equation (22-46). </w:t>
        </w:r>
      </w:ins>
      <w:ins w:id="11" w:author="Chen, Xiaogang C" w:date="2016-10-31T12:49:00Z">
        <w:r w:rsidRPr="00D53996">
          <w:rPr>
            <w:position w:val="-12"/>
            <w:sz w:val="20"/>
          </w:rPr>
          <w:object w:dxaOrig="660" w:dyaOrig="360" w14:anchorId="41AC3220">
            <v:shape id="_x0000_i1028" type="#_x0000_t75" style="width:33pt;height:18pt" o:ole="">
              <v:imagedata r:id="rId14" o:title=""/>
            </v:shape>
            <o:OLEObject Type="Embed" ProgID="Equation.DSMT4" ShapeID="_x0000_i1028" DrawAspect="Content" ObjectID="_1539884908" r:id="rId15"/>
          </w:object>
        </w:r>
      </w:ins>
      <w:proofErr w:type="gramStart"/>
      <w:ins w:id="12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the row of  the </w:t>
        </w:r>
      </w:ins>
      <w:ins w:id="13" w:author="Chen, Xiaogang C" w:date="2016-10-31T12:49:00Z">
        <w:r w:rsidRPr="00D53996">
          <w:rPr>
            <w:position w:val="-12"/>
            <w:sz w:val="20"/>
          </w:rPr>
          <w:object w:dxaOrig="576" w:dyaOrig="360" w14:anchorId="060BBEAF">
            <v:shape id="_x0000_i1029" type="#_x0000_t75" style="width:28.7pt;height:18pt" o:ole="">
              <v:imagedata r:id="rId12" o:title=""/>
            </v:shape>
            <o:OLEObject Type="Embed" ProgID="Equation.DSMT4" ShapeID="_x0000_i1029" DrawAspect="Content" ObjectID="_1539884909" r:id="rId16"/>
          </w:object>
        </w:r>
      </w:ins>
      <w:ins w:id="14" w:author="Chen, Xiaogang C" w:date="2016-10-31T12:49:00Z">
        <w:r w:rsidRPr="00D53996">
          <w:rPr>
            <w:sz w:val="20"/>
          </w:rPr>
          <w:t xml:space="preserve"> corresponding to the spatial time stream of user </w:t>
        </w:r>
        <w:r w:rsidRPr="00D53996">
          <w:rPr>
            <w:i/>
            <w:sz w:val="20"/>
          </w:rPr>
          <w:t>u</w:t>
        </w:r>
        <w:r w:rsidRPr="00D53996">
          <w:rPr>
            <w:sz w:val="20"/>
          </w:rPr>
          <w:t xml:space="preserve"> in the </w:t>
        </w:r>
        <w:r w:rsidRPr="00D53996">
          <w:rPr>
            <w:i/>
            <w:sz w:val="20"/>
          </w:rPr>
          <w:t>r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RU. Depending on the HE-LTF modes</w:t>
        </w:r>
      </w:ins>
      <w:ins w:id="15" w:author="Chen, Xiaogang C" w:date="2016-10-31T12:49:00Z">
        <w:r w:rsidRPr="00D53996">
          <w:rPr>
            <w:position w:val="-12"/>
            <w:sz w:val="24"/>
          </w:rPr>
          <w:object w:dxaOrig="900" w:dyaOrig="360" w14:anchorId="0B9EF6E0">
            <v:shape id="_x0000_i1030" type="#_x0000_t75" style="width:51.45pt;height:20.55pt" o:ole="">
              <v:imagedata r:id="rId17" o:title=""/>
            </v:shape>
            <o:OLEObject Type="Embed" ProgID="Equation.DSMT4" ShapeID="_x0000_i1030" DrawAspect="Content" ObjectID="_1539884910" r:id="rId18"/>
          </w:object>
        </w:r>
      </w:ins>
      <w:ins w:id="16" w:author="Chen, Xiaogang C" w:date="2016-10-31T12:49:00Z">
        <w:r w:rsidRPr="00D53996">
          <w:rPr>
            <w:sz w:val="20"/>
          </w:rPr>
          <w:t xml:space="preserve"> is </w:t>
        </w:r>
        <w:proofErr w:type="spellStart"/>
        <w:r w:rsidRPr="00D53996">
          <w:rPr>
            <w:sz w:val="20"/>
          </w:rPr>
          <w:t>defind</w:t>
        </w:r>
        <w:proofErr w:type="spellEnd"/>
        <w:r w:rsidRPr="00D53996">
          <w:rPr>
            <w:sz w:val="20"/>
          </w:rPr>
          <w:t xml:space="preserve"> in (26-55).</w:t>
        </w:r>
      </w:ins>
    </w:p>
    <w:p w14:paraId="4635D845" w14:textId="77777777" w:rsidR="00D53996" w:rsidRDefault="00D53996" w:rsidP="00D53996">
      <w:pPr>
        <w:jc w:val="center"/>
        <w:rPr>
          <w:ins w:id="17" w:author="Chen, Xiaogang C" w:date="2016-10-31T12:49:00Z"/>
        </w:rPr>
      </w:pPr>
      <w:ins w:id="18" w:author="Chen, Xiaogang C" w:date="2016-10-31T12:49:00Z">
        <w:r>
          <w:rPr>
            <w:position w:val="-30"/>
          </w:rPr>
          <w:object w:dxaOrig="3348" w:dyaOrig="720" w14:anchorId="6C71A4CC">
            <v:shape id="_x0000_i1031" type="#_x0000_t75" style="width:167.55pt;height:36pt" o:ole="">
              <v:imagedata r:id="rId19" o:title=""/>
            </v:shape>
            <o:OLEObject Type="Embed" ProgID="Equation.DSMT4" ShapeID="_x0000_i1031" DrawAspect="Content" ObjectID="_1539884911" r:id="rId20"/>
          </w:object>
        </w:r>
      </w:ins>
      <w:ins w:id="19" w:author="Chen, Xiaogang C" w:date="2016-10-31T12:49:00Z">
        <w:r>
          <w:tab/>
        </w:r>
        <w:r>
          <w:tab/>
        </w:r>
        <w:r>
          <w:tab/>
        </w:r>
        <w:r>
          <w:tab/>
          <w:t>(26-55)</w:t>
        </w:r>
      </w:ins>
    </w:p>
    <w:p w14:paraId="22487E57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F808B9F" w14:textId="5BF857A2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</w:t>
      </w:r>
      <w:r w:rsidR="00EF6243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EF6243">
        <w:rPr>
          <w:b/>
          <w:color w:val="000000" w:themeColor="text1"/>
          <w:sz w:val="22"/>
          <w:szCs w:val="22"/>
          <w:u w:val="single"/>
        </w:rPr>
        <w:t>178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EF6243">
        <w:rPr>
          <w:b/>
          <w:color w:val="000000" w:themeColor="text1"/>
          <w:sz w:val="22"/>
          <w:szCs w:val="22"/>
          <w:u w:val="single"/>
        </w:rPr>
        <w:t>6</w:t>
      </w:r>
      <w:r w:rsidR="0043715A">
        <w:rPr>
          <w:b/>
          <w:color w:val="000000" w:themeColor="text1"/>
          <w:sz w:val="22"/>
          <w:szCs w:val="22"/>
          <w:u w:val="single"/>
        </w:rPr>
        <w:t>3</w:t>
      </w:r>
    </w:p>
    <w:p w14:paraId="5FA47A2B" w14:textId="0363E36D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F6243">
        <w:rPr>
          <w:rFonts w:eastAsia="Times New Roman"/>
          <w:color w:val="000000"/>
          <w:sz w:val="22"/>
          <w:szCs w:val="22"/>
          <w:lang w:val="en-US"/>
        </w:rPr>
        <w:t>Replace “DFT size” by “PPDU BW” since “DFT size” is not defined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A4ECC42" w:rsidR="00B6339C" w:rsidRPr="00EF6243" w:rsidRDefault="00EF6243" w:rsidP="00D2745A">
      <w:pPr>
        <w:spacing w:after="160" w:line="259" w:lineRule="auto"/>
        <w:rPr>
          <w:rFonts w:eastAsia="Times New Roman"/>
          <w:color w:val="C0504D" w:themeColor="accent2"/>
          <w:sz w:val="22"/>
          <w:szCs w:val="22"/>
          <w:lang w:val="en-US"/>
        </w:rPr>
      </w:pPr>
      <w:r>
        <w:rPr>
          <w:rStyle w:val="fontstyle01"/>
        </w:rPr>
        <w:t xml:space="preserve">In OFDMA, an OFDM symbol is constructed of subcarriers, the number of which is a function of the </w:t>
      </w:r>
      <w:r w:rsidRPr="00EF6243">
        <w:rPr>
          <w:rStyle w:val="fontstyle01"/>
          <w:strike/>
          <w:color w:val="C0504D" w:themeColor="accent2"/>
        </w:rPr>
        <w:t xml:space="preserve">DFT size </w:t>
      </w:r>
      <w:r w:rsidRPr="00EF6243">
        <w:rPr>
          <w:rStyle w:val="fontstyle01"/>
          <w:color w:val="C0504D" w:themeColor="accent2"/>
        </w:rPr>
        <w:t>PPDU BW</w:t>
      </w:r>
      <w:r>
        <w:rPr>
          <w:rStyle w:val="fontstyle01"/>
          <w:color w:val="C0504D" w:themeColor="accent2"/>
        </w:rPr>
        <w:t>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5C82A3A5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3.3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32</w:t>
      </w:r>
    </w:p>
    <w:p w14:paraId="728DADF6" w14:textId="3198EFA5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suggest to change all "pilot tone" in this s</w:t>
      </w:r>
      <w:r w:rsidR="00C2781D">
        <w:rPr>
          <w:color w:val="000000" w:themeColor="text1"/>
          <w:sz w:val="22"/>
          <w:szCs w:val="22"/>
        </w:rPr>
        <w:t>ubsection to "pilot subcarrier"</w:t>
      </w:r>
      <w:r>
        <w:rPr>
          <w:color w:val="000000" w:themeColor="text1"/>
          <w:sz w:val="22"/>
          <w:szCs w:val="22"/>
        </w:rPr>
        <w:t>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60AE651D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254324" w:rsidRPr="00012868">
        <w:rPr>
          <w:i/>
          <w:sz w:val="22"/>
          <w:szCs w:val="22"/>
          <w:highlight w:val="yellow"/>
        </w:rPr>
        <w:t>make the following changes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00E9499A" w:rsidR="00F43D7E" w:rsidRDefault="00C2781D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Replace </w:t>
      </w:r>
      <w:r w:rsidRPr="00C2781D">
        <w:rPr>
          <w:color w:val="000000" w:themeColor="text1"/>
          <w:sz w:val="22"/>
          <w:szCs w:val="22"/>
        </w:rPr>
        <w:t xml:space="preserve">all </w:t>
      </w:r>
      <w:r w:rsidRPr="00C2781D">
        <w:rPr>
          <w:color w:val="C0504D" w:themeColor="accent2"/>
          <w:sz w:val="22"/>
          <w:szCs w:val="22"/>
        </w:rPr>
        <w:t>"pilot tone"</w:t>
      </w:r>
      <w:r w:rsidRPr="00C2781D">
        <w:rPr>
          <w:color w:val="000000" w:themeColor="text1"/>
          <w:sz w:val="22"/>
          <w:szCs w:val="22"/>
        </w:rPr>
        <w:t xml:space="preserve"> in this s</w:t>
      </w:r>
      <w:r>
        <w:rPr>
          <w:color w:val="000000" w:themeColor="text1"/>
          <w:sz w:val="22"/>
          <w:szCs w:val="22"/>
        </w:rPr>
        <w:t xml:space="preserve">ubsection to </w:t>
      </w:r>
      <w:r w:rsidRPr="00C2781D">
        <w:rPr>
          <w:color w:val="C0504D" w:themeColor="accent2"/>
          <w:sz w:val="22"/>
          <w:szCs w:val="22"/>
        </w:rPr>
        <w:t>"pilot subcarrier"</w:t>
      </w:r>
      <w:r w:rsidR="00F43D7E" w:rsidRPr="00C2781D">
        <w:rPr>
          <w:color w:val="C0504D" w:themeColor="accent2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072E0CD1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="003A7ECE">
        <w:rPr>
          <w:b/>
          <w:color w:val="000000" w:themeColor="text1"/>
          <w:sz w:val="22"/>
          <w:szCs w:val="22"/>
          <w:u w:val="single"/>
        </w:rPr>
        <w:t>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35</w:t>
      </w:r>
    </w:p>
    <w:p w14:paraId="66809006" w14:textId="0D7BB1B9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the statement of "If pilot tones are present in the HE-LTF field, the pilot tone locations in the HE-LTF field and Data field</w:t>
      </w:r>
      <w:r w:rsidR="00C2781D"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shall be the same" is not accurate, as the pilots in 1x HE-LTF is only a subset of the pilots in data</w:t>
      </w:r>
      <w:r w:rsidR="00C2781D">
        <w:rPr>
          <w:color w:val="000000" w:themeColor="text1"/>
          <w:sz w:val="22"/>
          <w:szCs w:val="22"/>
        </w:rPr>
        <w:t>.</w:t>
      </w: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02792AB3" w14:textId="11EDF1AA" w:rsidR="00C21602" w:rsidRPr="003A7ECE" w:rsidRDefault="000500B8" w:rsidP="00C2781D">
      <w:pPr>
        <w:rPr>
          <w:color w:val="000000" w:themeColor="text1"/>
          <w:sz w:val="22"/>
          <w:szCs w:val="22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="00C2781D" w:rsidRPr="003A7ECE">
        <w:rPr>
          <w:rStyle w:val="fontstyle01"/>
          <w:sz w:val="22"/>
          <w:szCs w:val="22"/>
        </w:rPr>
        <w:t>If pilot tones are present in the HE-LTF field, the pilot tone locations in the HE-LTF field and Data field</w:t>
      </w:r>
      <w:r w:rsidR="00C2781D" w:rsidRPr="003A7ECE">
        <w:rPr>
          <w:rFonts w:ascii="TimesNewRomanPSMT" w:hAnsi="TimesNewRomanPSMT"/>
          <w:color w:val="000000"/>
          <w:sz w:val="22"/>
          <w:szCs w:val="22"/>
        </w:rPr>
        <w:br/>
      </w:r>
      <w:r w:rsidR="00C2781D" w:rsidRPr="003A7ECE">
        <w:rPr>
          <w:rStyle w:val="fontstyle01"/>
          <w:sz w:val="22"/>
          <w:szCs w:val="22"/>
        </w:rPr>
        <w:t xml:space="preserve">shall be the same </w:t>
      </w:r>
      <w:r w:rsidR="00C2781D" w:rsidRPr="003A7ECE">
        <w:rPr>
          <w:rStyle w:val="fontstyle01"/>
          <w:color w:val="C0504D" w:themeColor="accent2"/>
          <w:sz w:val="22"/>
          <w:szCs w:val="22"/>
        </w:rPr>
        <w:t>except for 1x HE-LTF. In the 1x HE-LTF, the pilot locations are the pilot subcarrier indices that are multiples of 4 in the pilot subcarriers for data field</w:t>
      </w:r>
      <w:r w:rsidR="0027384D" w:rsidRPr="003A7ECE">
        <w:rPr>
          <w:rStyle w:val="fontstyle01"/>
          <w:color w:val="C0504D" w:themeColor="accent2"/>
          <w:sz w:val="22"/>
          <w:szCs w:val="22"/>
        </w:rPr>
        <w:t>.</w:t>
      </w: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0AA43C10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27384D">
        <w:rPr>
          <w:b/>
          <w:color w:val="000000" w:themeColor="text1"/>
          <w:sz w:val="22"/>
          <w:szCs w:val="22"/>
          <w:u w:val="single"/>
        </w:rPr>
        <w:t>3.5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27384D">
        <w:rPr>
          <w:b/>
          <w:color w:val="000000" w:themeColor="text1"/>
          <w:sz w:val="22"/>
          <w:szCs w:val="22"/>
          <w:u w:val="single"/>
        </w:rPr>
        <w:t>18</w:t>
      </w:r>
      <w:r w:rsidR="00867E36">
        <w:rPr>
          <w:b/>
          <w:color w:val="000000" w:themeColor="text1"/>
          <w:sz w:val="22"/>
          <w:szCs w:val="22"/>
          <w:u w:val="single"/>
        </w:rPr>
        <w:t xml:space="preserve">8, Line </w:t>
      </w:r>
      <w:r w:rsidR="0027384D">
        <w:rPr>
          <w:b/>
          <w:color w:val="000000" w:themeColor="text1"/>
          <w:sz w:val="22"/>
          <w:szCs w:val="22"/>
          <w:u w:val="single"/>
        </w:rPr>
        <w:t>1</w:t>
      </w:r>
    </w:p>
    <w:p w14:paraId="21A96D5C" w14:textId="489D00C9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 w:rsidR="0027384D" w:rsidRPr="0027384D">
        <w:rPr>
          <w:color w:val="000000" w:themeColor="text1"/>
          <w:sz w:val="22"/>
          <w:szCs w:val="22"/>
        </w:rPr>
        <w:t>The statement is informal and not accurate</w:t>
      </w:r>
      <w:r w:rsidR="0027384D">
        <w:rPr>
          <w:color w:val="000000" w:themeColor="text1"/>
          <w:sz w:val="22"/>
          <w:szCs w:val="22"/>
        </w:rPr>
        <w:t>.</w:t>
      </w:r>
    </w:p>
    <w:p w14:paraId="3EAA0CAA" w14:textId="0F23FB8E" w:rsidR="006E70D2" w:rsidRDefault="006E70D2" w:rsidP="006E70D2">
      <w:pPr>
        <w:rPr>
          <w:i/>
          <w:sz w:val="22"/>
          <w:szCs w:val="22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</w:t>
      </w:r>
    </w:p>
    <w:p w14:paraId="69BF3D9C" w14:textId="77777777" w:rsidR="0027384D" w:rsidRPr="006E70D2" w:rsidRDefault="0027384D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B9B25D" w14:textId="53E57D0D" w:rsidR="006E70D2" w:rsidRDefault="0027384D" w:rsidP="00C21602">
      <w:pPr>
        <w:spacing w:after="160" w:line="259" w:lineRule="auto"/>
        <w:rPr>
          <w:color w:val="000000" w:themeColor="text1"/>
          <w:sz w:val="22"/>
          <w:szCs w:val="22"/>
        </w:rPr>
      </w:pPr>
      <w:r w:rsidRPr="002B3318">
        <w:rPr>
          <w:rStyle w:val="fontstyle01"/>
          <w:strike/>
        </w:rPr>
        <w:t>It is indicated in the capability field, whether an HE STA is 20 MHz only, 80 MHz, 160MHz or 80+80MHz capable.</w:t>
      </w:r>
      <w:r>
        <w:rPr>
          <w:rStyle w:val="fontstyle01"/>
        </w:rPr>
        <w:t xml:space="preserve"> </w:t>
      </w:r>
      <w:r w:rsidRPr="002B3318">
        <w:rPr>
          <w:rStyle w:val="fontstyle01"/>
          <w:color w:val="C0504D" w:themeColor="accent2"/>
        </w:rPr>
        <w:t xml:space="preserve">The supported channel bandwidth is indicated in the </w:t>
      </w:r>
      <w:r w:rsidRPr="002B3318">
        <w:rPr>
          <w:rStyle w:val="fontstyle01"/>
          <w:i/>
          <w:color w:val="C0504D" w:themeColor="accent2"/>
        </w:rPr>
        <w:t>Channel width set</w:t>
      </w:r>
      <w:r w:rsidR="002B3318" w:rsidRPr="002B3318">
        <w:rPr>
          <w:rStyle w:val="fontstyle01"/>
          <w:color w:val="C0504D" w:themeColor="accent2"/>
        </w:rPr>
        <w:t xml:space="preserve"> </w:t>
      </w:r>
      <w:r w:rsidRPr="002B3318">
        <w:rPr>
          <w:rStyle w:val="fontstyle01"/>
          <w:color w:val="C0504D" w:themeColor="accent2"/>
        </w:rPr>
        <w:t>in the HE capabilities element.</w:t>
      </w:r>
    </w:p>
    <w:p w14:paraId="70137A3E" w14:textId="77777777" w:rsidR="003A7ECE" w:rsidRDefault="003A7EC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7D67CBCC" w14:textId="3F47029B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6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F93CC6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93CC6">
        <w:rPr>
          <w:b/>
          <w:color w:val="000000" w:themeColor="text1"/>
          <w:sz w:val="22"/>
          <w:szCs w:val="22"/>
          <w:u w:val="single"/>
        </w:rPr>
        <w:t>26.3.3.7.2</w:t>
      </w:r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93CC6">
        <w:rPr>
          <w:b/>
          <w:color w:val="000000" w:themeColor="text1"/>
          <w:sz w:val="22"/>
          <w:szCs w:val="22"/>
          <w:u w:val="single"/>
        </w:rPr>
        <w:t>188, Line 36</w:t>
      </w:r>
      <w:r w:rsidR="00E00C8E">
        <w:rPr>
          <w:b/>
          <w:color w:val="000000" w:themeColor="text1"/>
          <w:sz w:val="22"/>
          <w:szCs w:val="22"/>
          <w:u w:val="single"/>
        </w:rPr>
        <w:t>,</w:t>
      </w:r>
      <w:r w:rsidR="003A7EC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b/>
          <w:color w:val="000000" w:themeColor="text1"/>
          <w:sz w:val="22"/>
          <w:szCs w:val="22"/>
          <w:u w:val="single"/>
        </w:rPr>
        <w:t>40</w:t>
      </w:r>
    </w:p>
    <w:p w14:paraId="4F32F280" w14:textId="708DF542" w:rsidR="00604B29" w:rsidRPr="00604B29" w:rsidRDefault="00131C0B" w:rsidP="00604B29">
      <w:pPr>
        <w:spacing w:after="160" w:line="259" w:lineRule="auto"/>
        <w:rPr>
          <w:color w:val="000000" w:themeColor="text1"/>
          <w:sz w:val="22"/>
          <w:szCs w:val="22"/>
          <w:lang w:val="en-US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604B29" w:rsidRPr="00604B29">
        <w:rPr>
          <w:color w:val="000000" w:themeColor="text1"/>
          <w:sz w:val="22"/>
          <w:szCs w:val="22"/>
        </w:rPr>
        <w:t>Wrong capability is referred.</w:t>
      </w:r>
    </w:p>
    <w:p w14:paraId="7EEA3D65" w14:textId="3B5038C8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</w:t>
      </w:r>
      <w:r w:rsidR="00254324">
        <w:rPr>
          <w:i/>
          <w:sz w:val="22"/>
          <w:szCs w:val="22"/>
          <w:highlight w:val="yellow"/>
        </w:rPr>
        <w:t>s</w:t>
      </w:r>
      <w:r w:rsidRPr="005605DE">
        <w:rPr>
          <w:i/>
          <w:sz w:val="22"/>
          <w:szCs w:val="22"/>
          <w:highlight w:val="yellow"/>
        </w:rPr>
        <w:t xml:space="preserve"> 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49F9D5B" w:rsidR="005605DE" w:rsidRPr="00E00C8E" w:rsidRDefault="00E00C8E" w:rsidP="00E00C8E">
      <w:pPr>
        <w:rPr>
          <w:rStyle w:val="fontstyle01"/>
          <w:sz w:val="22"/>
        </w:rPr>
      </w:pP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maximum number of space-time streams (per user) equal to minimum of 4 and the maximum number of space-time streams supported for reception of HE SU PPDUs. The maximum number of space-time streams supported for reception of HE SU PPDUs is indicated for various bandwidths in </w:t>
      </w:r>
      <w:r w:rsidRPr="00E00C8E">
        <w:rPr>
          <w:rStyle w:val="fontstyle01"/>
          <w:strike/>
          <w:color w:val="C0504D" w:themeColor="accent2"/>
          <w:sz w:val="22"/>
        </w:rPr>
        <w:t xml:space="preserve">'HE-MCS and </w:t>
      </w:r>
      <w:proofErr w:type="spellStart"/>
      <w:r w:rsidRPr="00E00C8E">
        <w:rPr>
          <w:rStyle w:val="fontstyle01"/>
          <w:strike/>
          <w:color w:val="C0504D" w:themeColor="accent2"/>
          <w:sz w:val="22"/>
        </w:rPr>
        <w:t>Nss</w:t>
      </w:r>
      <w:proofErr w:type="spellEnd"/>
      <w:r w:rsidRPr="00E00C8E">
        <w:rPr>
          <w:rStyle w:val="fontstyle01"/>
          <w:strike/>
          <w:color w:val="C0504D" w:themeColor="accent2"/>
          <w:sz w:val="22"/>
        </w:rPr>
        <w:t xml:space="preserve"> Map'</w:t>
      </w:r>
      <w:r w:rsidRPr="00E00C8E">
        <w:rPr>
          <w:rStyle w:val="fontstyle01"/>
          <w:color w:val="C0504D" w:themeColor="accent2"/>
          <w:sz w:val="22"/>
        </w:rPr>
        <w:t xml:space="preserve"> '</w:t>
      </w:r>
      <w:proofErr w:type="spellStart"/>
      <w:r w:rsidRPr="00E00C8E">
        <w:rPr>
          <w:rStyle w:val="fontstyle01"/>
          <w:color w:val="C0504D" w:themeColor="accent2"/>
          <w:sz w:val="22"/>
        </w:rPr>
        <w:t>Tx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Rx HE MCS Support' </w:t>
      </w:r>
      <w:r w:rsidRPr="00E00C8E">
        <w:rPr>
          <w:rStyle w:val="fontstyle01"/>
          <w:sz w:val="22"/>
        </w:rPr>
        <w:t>field in the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>HE Capabilities element.</w:t>
      </w:r>
      <w:r w:rsidRPr="00E00C8E">
        <w:rPr>
          <w:rStyle w:val="fontstyle01"/>
          <w:sz w:val="22"/>
        </w:rPr>
        <w:br/>
      </w: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the total number of space-time streams (across NUM_USERS) less than or equal to a maximum value indicated by the </w:t>
      </w:r>
      <w:proofErr w:type="spellStart"/>
      <w:r w:rsidRPr="00E00C8E">
        <w:rPr>
          <w:rStyle w:val="fontstyle01"/>
          <w:strike/>
          <w:sz w:val="22"/>
        </w:rPr>
        <w:t>Beamformee</w:t>
      </w:r>
      <w:proofErr w:type="spellEnd"/>
      <w:r w:rsidRPr="00E00C8E">
        <w:rPr>
          <w:rStyle w:val="fontstyle01"/>
          <w:strike/>
          <w:sz w:val="22"/>
        </w:rPr>
        <w:t xml:space="preserve"> STS Capability in the HE Capabilities </w:t>
      </w:r>
      <w:proofErr w:type="gramStart"/>
      <w:r w:rsidRPr="00E00C8E">
        <w:rPr>
          <w:rStyle w:val="fontstyle01"/>
          <w:strike/>
          <w:sz w:val="22"/>
        </w:rPr>
        <w:t>element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 xml:space="preserve"> </w:t>
      </w:r>
      <w:r w:rsidRPr="00E00C8E">
        <w:rPr>
          <w:rStyle w:val="fontstyle01"/>
          <w:color w:val="C0504D" w:themeColor="accent2"/>
          <w:sz w:val="22"/>
        </w:rPr>
        <w:t>'</w:t>
      </w:r>
      <w:proofErr w:type="spellStart"/>
      <w:r w:rsidRPr="00E00C8E">
        <w:rPr>
          <w:rStyle w:val="fontstyle01"/>
          <w:color w:val="C0504D" w:themeColor="accent2"/>
          <w:sz w:val="22"/>
        </w:rPr>
        <w:t>Nsts</w:t>
      </w:r>
      <w:proofErr w:type="gramEnd"/>
      <w:r w:rsidRPr="00E00C8E">
        <w:rPr>
          <w:rStyle w:val="fontstyle01"/>
          <w:color w:val="C0504D" w:themeColor="accent2"/>
          <w:sz w:val="22"/>
        </w:rPr>
        <w:t>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&lt;= 80 MHz' and '</w:t>
      </w:r>
      <w:proofErr w:type="spellStart"/>
      <w:r w:rsidRPr="00E00C8E">
        <w:rPr>
          <w:rStyle w:val="fontstyle01"/>
          <w:color w:val="C0504D" w:themeColor="accent2"/>
          <w:sz w:val="22"/>
        </w:rPr>
        <w:t>Nsts_Total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&gt; 80 MHz' in the HE capabilities element.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6607EFB8" w14:textId="22F1AA98" w:rsidR="007B71AD" w:rsidRDefault="007B71AD" w:rsidP="005605DE">
      <w:pPr>
        <w:rPr>
          <w:sz w:val="22"/>
          <w:szCs w:val="22"/>
        </w:rPr>
      </w:pP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68B43841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7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825E6">
        <w:rPr>
          <w:b/>
          <w:color w:val="000000" w:themeColor="text1"/>
          <w:sz w:val="22"/>
          <w:szCs w:val="22"/>
          <w:u w:val="single"/>
        </w:rPr>
        <w:t>26.3.3.7, Page 188</w:t>
      </w:r>
    </w:p>
    <w:p w14:paraId="6C6DE19D" w14:textId="20B7975A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B711B" w:rsidRPr="00EB711B">
        <w:rPr>
          <w:color w:val="000000" w:themeColor="text1"/>
          <w:sz w:val="22"/>
          <w:szCs w:val="22"/>
        </w:rPr>
        <w:t>11-16/866r4 not correctly implemented</w:t>
      </w:r>
    </w:p>
    <w:p w14:paraId="616DBA5C" w14:textId="299465A0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 w:rsidR="00EB711B">
        <w:rPr>
          <w:i/>
          <w:sz w:val="22"/>
          <w:szCs w:val="22"/>
          <w:highlight w:val="yellow"/>
        </w:rPr>
        <w:t xml:space="preserve">itor: make the following </w:t>
      </w:r>
      <w:r w:rsidR="00EB711B" w:rsidRPr="00254324">
        <w:rPr>
          <w:i/>
          <w:sz w:val="22"/>
          <w:szCs w:val="22"/>
          <w:highlight w:val="yellow"/>
        </w:rPr>
        <w:t>change</w:t>
      </w:r>
      <w:r w:rsidR="00254324">
        <w:rPr>
          <w:i/>
          <w:sz w:val="22"/>
          <w:szCs w:val="22"/>
          <w:highlight w:val="yellow"/>
        </w:rPr>
        <w:t>s</w:t>
      </w:r>
      <w:r w:rsidR="00254324" w:rsidRPr="00254324">
        <w:rPr>
          <w:i/>
          <w:sz w:val="22"/>
          <w:szCs w:val="22"/>
          <w:highlight w:val="yellow"/>
        </w:rPr>
        <w:t xml:space="preserve"> to </w:t>
      </w:r>
      <w:proofErr w:type="spellStart"/>
      <w:r w:rsidR="00254324" w:rsidRPr="00254324">
        <w:rPr>
          <w:i/>
          <w:sz w:val="22"/>
          <w:szCs w:val="22"/>
          <w:highlight w:val="yellow"/>
        </w:rPr>
        <w:t>subclause</w:t>
      </w:r>
      <w:proofErr w:type="spellEnd"/>
      <w:r w:rsidR="00254324" w:rsidRPr="00254324">
        <w:rPr>
          <w:i/>
          <w:sz w:val="22"/>
          <w:szCs w:val="22"/>
          <w:highlight w:val="yellow"/>
        </w:rPr>
        <w:t xml:space="preserve"> 26.3.3.7.3 and 26.3.3.7.4</w:t>
      </w:r>
    </w:p>
    <w:p w14:paraId="49934B70" w14:textId="7EF6B540" w:rsidR="00975DD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 xml:space="preserve">Delete 26.3.3.7.3 since the information in this section is covered in 26.3.3.7.2. </w:t>
      </w:r>
    </w:p>
    <w:p w14:paraId="59944665" w14:textId="48AC735A" w:rsidR="00EB711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>Rename the title of 26.3.3.7.4 to be “Resource indication and STA self-identification in an HE MU PPDU”</w:t>
      </w:r>
      <w:r w:rsidR="001F67D2">
        <w:rPr>
          <w:color w:val="C0504D" w:themeColor="accent2"/>
          <w:sz w:val="22"/>
          <w:szCs w:val="22"/>
        </w:rPr>
        <w:t>.</w:t>
      </w:r>
    </w:p>
    <w:p w14:paraId="46745E6C" w14:textId="5E9DD3AF" w:rsidR="000A37B1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="00D7242A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MU MIMO</w:t>
      </w:r>
      <w:r w:rsidR="00D7242A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in </w:t>
      </w:r>
      <w:r w:rsidR="00D7242A">
        <w:rPr>
          <w:color w:val="000000" w:themeColor="text1"/>
          <w:sz w:val="22"/>
          <w:szCs w:val="22"/>
        </w:rPr>
        <w:t>2</w:t>
      </w:r>
      <w:r w:rsidR="00D7242A" w:rsidRPr="00D7242A">
        <w:rPr>
          <w:color w:val="000000" w:themeColor="text1"/>
          <w:sz w:val="22"/>
          <w:szCs w:val="22"/>
          <w:vertAlign w:val="superscript"/>
        </w:rPr>
        <w:t>nd</w:t>
      </w:r>
      <w:r w:rsidR="00D7242A">
        <w:rPr>
          <w:color w:val="000000" w:themeColor="text1"/>
          <w:sz w:val="22"/>
          <w:szCs w:val="22"/>
        </w:rPr>
        <w:t xml:space="preserve"> line of </w:t>
      </w:r>
      <w:r>
        <w:rPr>
          <w:color w:val="000000" w:themeColor="text1"/>
          <w:sz w:val="22"/>
          <w:szCs w:val="22"/>
        </w:rPr>
        <w:t xml:space="preserve">26.3.3.7.4 with </w:t>
      </w:r>
      <w:r w:rsidRPr="00D7242A">
        <w:rPr>
          <w:color w:val="C0504D" w:themeColor="accent2"/>
          <w:sz w:val="22"/>
          <w:szCs w:val="22"/>
        </w:rPr>
        <w:t>“MU-MIMO”.</w:t>
      </w:r>
    </w:p>
    <w:p w14:paraId="0D69225F" w14:textId="67CEDBD4" w:rsidR="001F67D2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Replace the typo “</w:t>
      </w:r>
      <w:r w:rsidR="00D7242A">
        <w:rPr>
          <w:rStyle w:val="fontstyle01"/>
        </w:rPr>
        <w:t xml:space="preserve">User </w:t>
      </w:r>
      <w:proofErr w:type="spellStart"/>
      <w:r w:rsidR="00D7242A" w:rsidRPr="00D7242A">
        <w:rPr>
          <w:rStyle w:val="fontstyle01"/>
          <w:color w:val="C0504D" w:themeColor="accent2"/>
        </w:rPr>
        <w:t>fblock</w:t>
      </w:r>
      <w:proofErr w:type="spellEnd"/>
      <w:r w:rsidR="00D7242A">
        <w:rPr>
          <w:rStyle w:val="fontstyle01"/>
        </w:rPr>
        <w:t xml:space="preserve"> fields</w:t>
      </w:r>
      <w:r>
        <w:rPr>
          <w:color w:val="000000" w:themeColor="text1"/>
          <w:sz w:val="22"/>
          <w:szCs w:val="22"/>
        </w:rPr>
        <w:t xml:space="preserve">” in </w:t>
      </w:r>
      <w:r w:rsidR="00D7242A">
        <w:rPr>
          <w:color w:val="000000" w:themeColor="text1"/>
          <w:sz w:val="22"/>
          <w:szCs w:val="22"/>
        </w:rPr>
        <w:t xml:space="preserve">page 189, line 10 of </w:t>
      </w:r>
      <w:r>
        <w:rPr>
          <w:color w:val="000000" w:themeColor="text1"/>
          <w:sz w:val="22"/>
          <w:szCs w:val="22"/>
        </w:rPr>
        <w:t>26.3.3.7.4 with “</w:t>
      </w:r>
      <w:r w:rsidR="00D7242A" w:rsidRPr="00D7242A">
        <w:rPr>
          <w:rStyle w:val="fontstyle01"/>
          <w:color w:val="C0504D" w:themeColor="accent2"/>
        </w:rPr>
        <w:t>User block fields</w:t>
      </w:r>
      <w:r>
        <w:rPr>
          <w:color w:val="000000" w:themeColor="text1"/>
          <w:sz w:val="22"/>
          <w:szCs w:val="22"/>
        </w:rPr>
        <w:t>”.</w:t>
      </w:r>
    </w:p>
    <w:p w14:paraId="1A9BE9EB" w14:textId="77777777" w:rsidR="003A7ECE" w:rsidRPr="000A37B1" w:rsidRDefault="003A7ECE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5F246D8" w14:textId="5AC56215" w:rsidR="00D7242A" w:rsidRDefault="00D7242A" w:rsidP="00D7242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26.3.3.9.4, Page 190, Line 30</w:t>
      </w:r>
    </w:p>
    <w:p w14:paraId="4A94A5C8" w14:textId="20CADCBF" w:rsidR="00D7242A" w:rsidRDefault="00D7242A" w:rsidP="00D7242A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D7242A">
        <w:rPr>
          <w:color w:val="000000" w:themeColor="text1"/>
          <w:sz w:val="22"/>
          <w:szCs w:val="22"/>
        </w:rPr>
        <w:t>Wrong capability is referred.</w:t>
      </w:r>
    </w:p>
    <w:p w14:paraId="677A56E0" w14:textId="3D0B76F4" w:rsidR="001F50E9" w:rsidRDefault="00D7242A" w:rsidP="00D7242A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873C99C" w14:textId="77777777" w:rsidR="00D7242A" w:rsidRDefault="00D7242A" w:rsidP="00D7242A">
      <w:pPr>
        <w:rPr>
          <w:i/>
          <w:sz w:val="22"/>
          <w:szCs w:val="22"/>
        </w:rPr>
      </w:pPr>
    </w:p>
    <w:p w14:paraId="218343A9" w14:textId="4F3B18E5" w:rsidR="00D7242A" w:rsidRDefault="00D7242A" w:rsidP="00D7242A">
      <w:pPr>
        <w:rPr>
          <w:rStyle w:val="fontstyle01"/>
        </w:rPr>
      </w:pPr>
      <w:r>
        <w:rPr>
          <w:rStyle w:val="fontstyle01"/>
        </w:rPr>
        <w:t>The maximum number of space-time streams supported for transmission of HE SU PPDUs is indicated for various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bandwidths in </w:t>
      </w:r>
      <w:r w:rsidRPr="00D7242A">
        <w:rPr>
          <w:rStyle w:val="fontstyle01"/>
          <w:color w:val="C0504D" w:themeColor="accent2"/>
        </w:rPr>
        <w:t>'</w:t>
      </w:r>
      <w:r w:rsidRPr="00D7242A">
        <w:rPr>
          <w:rStyle w:val="fontstyle01"/>
          <w:strike/>
          <w:color w:val="C0504D" w:themeColor="accent2"/>
        </w:rPr>
        <w:t xml:space="preserve">HE-MCS and </w:t>
      </w:r>
      <w:proofErr w:type="spellStart"/>
      <w:r w:rsidRPr="00D7242A">
        <w:rPr>
          <w:rStyle w:val="fontstyle01"/>
          <w:strike/>
          <w:color w:val="C0504D" w:themeColor="accent2"/>
        </w:rPr>
        <w:t>Nss</w:t>
      </w:r>
      <w:proofErr w:type="spellEnd"/>
      <w:r w:rsidRPr="00D7242A">
        <w:rPr>
          <w:rStyle w:val="fontstyle01"/>
          <w:strike/>
          <w:color w:val="C0504D" w:themeColor="accent2"/>
        </w:rPr>
        <w:t xml:space="preserve"> Map</w:t>
      </w:r>
      <w:r w:rsidRPr="00D7242A">
        <w:rPr>
          <w:rStyle w:val="fontstyle01"/>
          <w:color w:val="C0504D" w:themeColor="accent2"/>
        </w:rPr>
        <w:t xml:space="preserve"> </w:t>
      </w:r>
      <w:proofErr w:type="spellStart"/>
      <w:proofErr w:type="gramStart"/>
      <w:r w:rsidRPr="00D7242A">
        <w:rPr>
          <w:rStyle w:val="fontstyle01"/>
          <w:color w:val="C0504D" w:themeColor="accent2"/>
        </w:rPr>
        <w:t>Tx</w:t>
      </w:r>
      <w:proofErr w:type="spellEnd"/>
      <w:proofErr w:type="gramEnd"/>
      <w:r w:rsidRPr="00D7242A">
        <w:rPr>
          <w:rStyle w:val="fontstyle01"/>
          <w:color w:val="C0504D" w:themeColor="accent2"/>
        </w:rPr>
        <w:t xml:space="preserve"> Rx HE MCS Support </w:t>
      </w:r>
      <w:r>
        <w:rPr>
          <w:rStyle w:val="fontstyle01"/>
        </w:rPr>
        <w:t>' field in the HE Capabilities element.</w:t>
      </w:r>
    </w:p>
    <w:p w14:paraId="6A6998B0" w14:textId="77777777" w:rsidR="003A7ECE" w:rsidRDefault="003A7ECE" w:rsidP="00D7242A">
      <w:pPr>
        <w:rPr>
          <w:rStyle w:val="fontstyle01"/>
        </w:rPr>
      </w:pPr>
    </w:p>
    <w:p w14:paraId="02E55AFC" w14:textId="77777777" w:rsidR="003D2A64" w:rsidRDefault="003D2A64" w:rsidP="00D7242A">
      <w:pPr>
        <w:rPr>
          <w:rStyle w:val="fontstyle01"/>
        </w:rPr>
      </w:pPr>
    </w:p>
    <w:p w14:paraId="75DAE889" w14:textId="0A72B650" w:rsidR="003D2A64" w:rsidRDefault="00C86D0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9</w:t>
      </w:r>
      <w:r w:rsidR="003D2A64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3D2A64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3D2A64">
        <w:rPr>
          <w:b/>
          <w:color w:val="000000" w:themeColor="text1"/>
          <w:sz w:val="22"/>
          <w:szCs w:val="22"/>
          <w:u w:val="single"/>
        </w:rPr>
        <w:t xml:space="preserve"> 26.3.5, Page 19</w:t>
      </w:r>
      <w:r w:rsidR="00BC3917">
        <w:rPr>
          <w:b/>
          <w:color w:val="000000" w:themeColor="text1"/>
          <w:sz w:val="22"/>
          <w:szCs w:val="22"/>
          <w:u w:val="single"/>
        </w:rPr>
        <w:t>4</w:t>
      </w:r>
      <w:r w:rsidR="003D2A64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BC3917">
        <w:rPr>
          <w:b/>
          <w:color w:val="000000" w:themeColor="text1"/>
          <w:sz w:val="22"/>
          <w:szCs w:val="22"/>
          <w:u w:val="single"/>
        </w:rPr>
        <w:t>43</w:t>
      </w:r>
    </w:p>
    <w:p w14:paraId="58ED362F" w14:textId="77777777" w:rsidR="00FC1B41" w:rsidRDefault="00FC1B41" w:rsidP="00D7242A">
      <w:pPr>
        <w:rPr>
          <w:b/>
          <w:color w:val="000000" w:themeColor="text1"/>
          <w:sz w:val="22"/>
          <w:szCs w:val="22"/>
          <w:u w:val="single"/>
        </w:rPr>
      </w:pPr>
    </w:p>
    <w:p w14:paraId="766E7D4A" w14:textId="3AC8B88B" w:rsidR="00FC1B41" w:rsidRDefault="00FC1B41" w:rsidP="00FC1B4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color w:val="000000" w:themeColor="text1"/>
          <w:sz w:val="22"/>
          <w:szCs w:val="22"/>
        </w:rPr>
        <w:t>Clarification needed</w:t>
      </w:r>
      <w:r w:rsidRPr="00D7242A">
        <w:rPr>
          <w:color w:val="000000" w:themeColor="text1"/>
          <w:sz w:val="22"/>
          <w:szCs w:val="22"/>
        </w:rPr>
        <w:t>.</w:t>
      </w:r>
    </w:p>
    <w:p w14:paraId="07C98482" w14:textId="7BDF4195" w:rsidR="00FC1B41" w:rsidRDefault="00FC1B41" w:rsidP="00FC1B4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1706AED9" w14:textId="77777777" w:rsidR="00FC1B41" w:rsidRDefault="00FC1B41" w:rsidP="00D7242A">
      <w:pPr>
        <w:rPr>
          <w:rStyle w:val="fontstyle01"/>
        </w:rPr>
      </w:pPr>
    </w:p>
    <w:p w14:paraId="33E01F0F" w14:textId="04681D86" w:rsidR="003D2A64" w:rsidRDefault="003D2A64" w:rsidP="00D7242A">
      <w:pPr>
        <w:rPr>
          <w:rStyle w:val="fontstyle01"/>
        </w:rPr>
      </w:pPr>
      <w:r>
        <w:rPr>
          <w:rStyle w:val="fontstyle01"/>
        </w:rPr>
        <w:t xml:space="preserve">In the HE trigger-based PPDU, the pre-HE-STF preamble, which includes legacy preamble, RL-SIG and HE-SIG-A fields, is sent only on the 20 MHz channels where </w:t>
      </w:r>
      <w:r w:rsidR="00C86D0B" w:rsidRPr="00C86D0B">
        <w:rPr>
          <w:rStyle w:val="fontstyle01"/>
          <w:color w:val="C0504D" w:themeColor="accent2"/>
        </w:rPr>
        <w:t>the STA’s</w:t>
      </w:r>
      <w:r w:rsidR="00FC1B41" w:rsidRPr="00FC1B4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HE modulated fields are located.</w:t>
      </w:r>
    </w:p>
    <w:p w14:paraId="3DCBF6ED" w14:textId="77777777" w:rsidR="00425E31" w:rsidRDefault="00425E31" w:rsidP="00D7242A">
      <w:pPr>
        <w:rPr>
          <w:rStyle w:val="fontstyle01"/>
        </w:rPr>
      </w:pPr>
    </w:p>
    <w:p w14:paraId="4ED9A645" w14:textId="2D26A2A2" w:rsidR="00425E31" w:rsidRDefault="00C86D0B" w:rsidP="0042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10</w:t>
      </w:r>
      <w:r w:rsidR="00425E31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425E31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25E31">
        <w:rPr>
          <w:b/>
          <w:color w:val="000000" w:themeColor="text1"/>
          <w:sz w:val="22"/>
          <w:szCs w:val="22"/>
          <w:u w:val="single"/>
        </w:rPr>
        <w:t xml:space="preserve"> 26.3.5, Page 193, Line 38 and Page 194, Line 9</w:t>
      </w:r>
    </w:p>
    <w:p w14:paraId="0ECC8D72" w14:textId="77777777" w:rsidR="00425E31" w:rsidRDefault="00425E31" w:rsidP="00425E31">
      <w:pPr>
        <w:rPr>
          <w:b/>
          <w:color w:val="000000" w:themeColor="text1"/>
          <w:sz w:val="22"/>
          <w:szCs w:val="22"/>
          <w:u w:val="single"/>
        </w:rPr>
      </w:pPr>
    </w:p>
    <w:p w14:paraId="585B02DD" w14:textId="657A956C" w:rsidR="00425E31" w:rsidRDefault="00425E31" w:rsidP="00425E3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</w:rPr>
        <w:t>C</w:t>
      </w:r>
      <w:r w:rsidRPr="00425E31">
        <w:rPr>
          <w:color w:val="000000" w:themeColor="text1"/>
          <w:sz w:val="22"/>
          <w:szCs w:val="22"/>
        </w:rPr>
        <w:t>onstellation mapper is not needed for L-STF/LTF generation either</w:t>
      </w:r>
      <w:r w:rsidRPr="00D7242A">
        <w:rPr>
          <w:color w:val="000000" w:themeColor="text1"/>
          <w:sz w:val="22"/>
          <w:szCs w:val="22"/>
        </w:rPr>
        <w:t>.</w:t>
      </w:r>
    </w:p>
    <w:p w14:paraId="3689B7D2" w14:textId="3EE3F441" w:rsidR="00425E31" w:rsidRDefault="00425E31" w:rsidP="00425E3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C5DBD77" w14:textId="77777777" w:rsidR="00425E31" w:rsidRDefault="00425E31" w:rsidP="00425E31">
      <w:pPr>
        <w:rPr>
          <w:rStyle w:val="fontstyle01"/>
        </w:rPr>
      </w:pPr>
    </w:p>
    <w:p w14:paraId="133A77B1" w14:textId="05549ED3" w:rsidR="00425E31" w:rsidRDefault="00425E31" w:rsidP="00425E31">
      <w:pPr>
        <w:rPr>
          <w:rStyle w:val="fontstyle01"/>
        </w:rPr>
      </w:pPr>
      <w:r>
        <w:rPr>
          <w:rStyle w:val="fontstyle01"/>
        </w:rPr>
        <w:t>In particular, Figure 26-9 (Transmitter block diagram for the L-SIG, RL-SIG and HE-SIG-A fields for an 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SU PPDU and HE extended range SU PPDU when the Beam Change field is 1 and the HE MU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PPDU(#1659)) shows the transmit 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 using one frequency segment, when the Beam Change subfield in HE-SIG-A field is set to 1. These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transmit blocks are also used to generate the L-STF and L-LTF fields</w:t>
      </w:r>
      <w:r>
        <w:rPr>
          <w:rStyle w:val="fontstyle01"/>
          <w:color w:val="218A21"/>
        </w:rPr>
        <w:t xml:space="preserve">(#470) </w:t>
      </w:r>
      <w:r>
        <w:rPr>
          <w:rStyle w:val="fontstyle01"/>
        </w:rPr>
        <w:t>of the HE PPDU when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Beam Change subfield in HE-SIG-A field is set to 1, with the following exceptions</w:t>
      </w:r>
      <w:r>
        <w:rPr>
          <w:rStyle w:val="fontstyle01"/>
          <w:color w:val="218A21"/>
        </w:rPr>
        <w:t>(#Ed)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54CCC620" w14:textId="766D9023" w:rsidR="00425E31" w:rsidRDefault="00425E31" w:rsidP="00D7242A">
      <w:pPr>
        <w:rPr>
          <w:rStyle w:val="fontstyle01"/>
        </w:rPr>
      </w:pPr>
      <w:r>
        <w:rPr>
          <w:rStyle w:val="fontstyle01"/>
        </w:rPr>
        <w:t>…..</w:t>
      </w:r>
    </w:p>
    <w:p w14:paraId="54525AAD" w14:textId="77777777" w:rsidR="00425E31" w:rsidRDefault="00425E31" w:rsidP="00D7242A">
      <w:pPr>
        <w:rPr>
          <w:rStyle w:val="fontstyle01"/>
        </w:rPr>
      </w:pPr>
    </w:p>
    <w:p w14:paraId="643F8121" w14:textId="77777777" w:rsidR="00425E31" w:rsidRDefault="00425E31" w:rsidP="00D7242A">
      <w:pPr>
        <w:rPr>
          <w:rStyle w:val="fontstyle01"/>
        </w:rPr>
      </w:pPr>
    </w:p>
    <w:p w14:paraId="7349B6E9" w14:textId="19158A7D" w:rsidR="00425E31" w:rsidRDefault="00425E31" w:rsidP="00D7242A">
      <w:pPr>
        <w:rPr>
          <w:rStyle w:val="fontstyle01"/>
        </w:rPr>
      </w:pPr>
      <w:r>
        <w:rPr>
          <w:rStyle w:val="fontstyle01"/>
        </w:rPr>
        <w:t>Figure 26-10 (Transmitter block diagram for the L-SIG, RL-SIG and HE-SIG-A fields for an HE SU PPDU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and HE extended range SU PPDU when the Beam Change field is 0(#2360)(#1659)) shows the transmit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 PPDU using one frequency segment,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when the Beam Change subfield in HE-SIG-A field is set to 0. These transmit blocks are also used to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generate the L-STF and L-LTF fields</w:t>
      </w:r>
      <w:r>
        <w:rPr>
          <w:rStyle w:val="fontstyle01"/>
          <w:color w:val="218A21"/>
        </w:rPr>
        <w:t xml:space="preserve">(#471) </w:t>
      </w:r>
      <w:r>
        <w:rPr>
          <w:rStyle w:val="fontstyle01"/>
        </w:rPr>
        <w:t>of the HE PPDU when the Beam Change subfield in HE-SIG-A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field is set to 0, with the following exceptions: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39F08CC9" w14:textId="77777777" w:rsidR="00147106" w:rsidRDefault="00147106" w:rsidP="00D7242A">
      <w:pPr>
        <w:rPr>
          <w:rStyle w:val="fontstyle01"/>
        </w:rPr>
      </w:pPr>
    </w:p>
    <w:p w14:paraId="3036E292" w14:textId="3D6B7FB5" w:rsidR="008D07C8" w:rsidRDefault="00C86D0B" w:rsidP="008D07C8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11</w:t>
      </w:r>
      <w:r w:rsidR="008D07C8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8D07C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8D07C8">
        <w:rPr>
          <w:b/>
          <w:color w:val="000000" w:themeColor="text1"/>
          <w:sz w:val="22"/>
          <w:szCs w:val="22"/>
          <w:u w:val="single"/>
        </w:rPr>
        <w:t xml:space="preserve"> 26.3.3, Page 180, Line 1</w:t>
      </w:r>
    </w:p>
    <w:p w14:paraId="449ED986" w14:textId="77777777" w:rsidR="008D07C8" w:rsidRDefault="008D07C8" w:rsidP="008D07C8">
      <w:pPr>
        <w:rPr>
          <w:b/>
          <w:color w:val="000000" w:themeColor="text1"/>
          <w:sz w:val="22"/>
          <w:szCs w:val="22"/>
          <w:u w:val="single"/>
        </w:rPr>
      </w:pPr>
    </w:p>
    <w:p w14:paraId="1D0BC565" w14:textId="07D303F8" w:rsidR="008D07C8" w:rsidRDefault="008D07C8" w:rsidP="008D07C8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>The statement creates ambiguity about if the central RU26 in 80MHz allowed to assign to OFDMA user not, which is not within RU242 boundary</w:t>
      </w:r>
      <w:r w:rsidRPr="00D7242A">
        <w:rPr>
          <w:color w:val="000000" w:themeColor="text1"/>
          <w:sz w:val="22"/>
          <w:szCs w:val="22"/>
        </w:rPr>
        <w:t>.</w:t>
      </w:r>
    </w:p>
    <w:p w14:paraId="1DF1825C" w14:textId="4A1E36A8" w:rsidR="008D07C8" w:rsidRDefault="008D07C8" w:rsidP="008D07C8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454BE7C2" w14:textId="77777777" w:rsidR="008D07C8" w:rsidRDefault="008D07C8" w:rsidP="008D07C8">
      <w:pPr>
        <w:rPr>
          <w:i/>
          <w:sz w:val="22"/>
          <w:szCs w:val="22"/>
        </w:rPr>
      </w:pPr>
    </w:p>
    <w:p w14:paraId="0C06CCD4" w14:textId="42697CD3" w:rsidR="008D07C8" w:rsidRDefault="008D07C8" w:rsidP="008D07C8">
      <w:pPr>
        <w:rPr>
          <w:i/>
          <w:sz w:val="22"/>
          <w:szCs w:val="22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MU PPDU using OFDMA transmission can carry a mixture of 26-, 52- and 106-tone RUs </w:t>
      </w:r>
      <w:r w:rsidRPr="004079DE">
        <w:rPr>
          <w:rStyle w:val="fontstyle01"/>
          <w:strike/>
          <w:color w:val="C0504D" w:themeColor="accent2"/>
        </w:rPr>
        <w:t>within any</w:t>
      </w:r>
      <w:r w:rsidRPr="004079DE">
        <w:rPr>
          <w:rFonts w:ascii="TimesNewRomanPSMT" w:hAnsi="TimesNewRomanPSMT"/>
          <w:strike/>
          <w:color w:val="C0504D" w:themeColor="accent2"/>
          <w:sz w:val="20"/>
        </w:rPr>
        <w:br/>
      </w:r>
      <w:r w:rsidRPr="004079DE">
        <w:rPr>
          <w:rStyle w:val="fontstyle01"/>
          <w:strike/>
          <w:color w:val="C0504D" w:themeColor="accent2"/>
        </w:rPr>
        <w:t>of the 242-tone RU(#838) boundaries(#888)</w:t>
      </w:r>
      <w:r>
        <w:rPr>
          <w:rStyle w:val="fontstyle01"/>
        </w:rPr>
        <w:t>.</w:t>
      </w:r>
    </w:p>
    <w:p w14:paraId="7BECA233" w14:textId="77777777" w:rsidR="008D07C8" w:rsidRDefault="008D07C8" w:rsidP="008D07C8">
      <w:pPr>
        <w:rPr>
          <w:i/>
          <w:sz w:val="22"/>
          <w:szCs w:val="22"/>
        </w:rPr>
      </w:pPr>
    </w:p>
    <w:p w14:paraId="0CD0CD04" w14:textId="77777777" w:rsidR="00E229B6" w:rsidRPr="00E229B6" w:rsidRDefault="00E229B6" w:rsidP="00D7242A">
      <w:pPr>
        <w:rPr>
          <w:color w:val="000000" w:themeColor="text1"/>
          <w:sz w:val="22"/>
          <w:szCs w:val="22"/>
        </w:rPr>
      </w:pPr>
    </w:p>
    <w:sectPr w:rsidR="00E229B6" w:rsidRPr="00E229B6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8DC7" w14:textId="77777777" w:rsidR="00A97FBA" w:rsidRDefault="00A97FBA">
      <w:r>
        <w:separator/>
      </w:r>
    </w:p>
  </w:endnote>
  <w:endnote w:type="continuationSeparator" w:id="0">
    <w:p w14:paraId="070849A4" w14:textId="77777777" w:rsidR="00A97FBA" w:rsidRDefault="00A9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F6717A" w:rsidRDefault="006E0B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75671D">
      <w:rPr>
        <w:noProof/>
      </w:rPr>
      <w:t>4</w:t>
    </w:r>
    <w:r w:rsidR="00F6717A">
      <w:rPr>
        <w:noProof/>
      </w:rPr>
      <w:fldChar w:fldCharType="end"/>
    </w:r>
    <w:r w:rsidR="00F6717A">
      <w:tab/>
    </w:r>
    <w:r w:rsidR="00D021EE">
      <w:rPr>
        <w:lang w:eastAsia="ko-KR"/>
      </w:rPr>
      <w:t>Xiaogang Chen, Intel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F6EBD" w14:textId="77777777" w:rsidR="00A97FBA" w:rsidRDefault="00A97FBA">
      <w:r>
        <w:separator/>
      </w:r>
    </w:p>
  </w:footnote>
  <w:footnote w:type="continuationSeparator" w:id="0">
    <w:p w14:paraId="45DBA7FE" w14:textId="77777777" w:rsidR="00A97FBA" w:rsidRDefault="00A9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2AB02D3" w:rsidR="00F6717A" w:rsidRDefault="0075671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544FA9">
        <w:t>doc.: IEEE 802.11-16/</w:t>
      </w:r>
      <w:r>
        <w:t>1407</w:t>
      </w:r>
      <w:r w:rsidR="00F6717A">
        <w:rPr>
          <w:lang w:eastAsia="ko-KR"/>
        </w:rPr>
        <w:t>r</w:t>
      </w:r>
    </w:fldSimple>
    <w:r w:rsidR="00544FA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4241"/>
    <w:rsid w:val="00C247D2"/>
    <w:rsid w:val="00C24968"/>
    <w:rsid w:val="00C24A70"/>
    <w:rsid w:val="00C2781D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814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7F28-E750-4EE8-8EF1-CBBAEFF0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7956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27</cp:revision>
  <cp:lastPrinted>2010-05-04T03:47:00Z</cp:lastPrinted>
  <dcterms:created xsi:type="dcterms:W3CDTF">2016-10-31T19:21:00Z</dcterms:created>
  <dcterms:modified xsi:type="dcterms:W3CDTF">2016-11-06T04:02:00Z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