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E6098" w:rsidRPr="00183F4C" w:rsidRDefault="00D53325" w:rsidP="001E609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1E6098">
              <w:rPr>
                <w:lang w:eastAsia="ko-KR"/>
              </w:rPr>
              <w:t>CID 2624 and 2738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916CA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916CAD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16CAD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034CE"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440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034CE">
              <w:rPr>
                <w:rFonts w:hint="eastAsia"/>
                <w:b w:val="0"/>
                <w:sz w:val="18"/>
                <w:szCs w:val="18"/>
                <w:lang w:eastAsia="ko-KR"/>
              </w:rPr>
              <w:t>N</w:t>
            </w:r>
            <w:r w:rsidRPr="00B034CE">
              <w:rPr>
                <w:b w:val="0"/>
                <w:sz w:val="18"/>
                <w:szCs w:val="18"/>
                <w:lang w:eastAsia="ko-KR"/>
              </w:rPr>
              <w:t>ewracom</w:t>
            </w:r>
            <w:proofErr w:type="spellEnd"/>
          </w:p>
        </w:tc>
        <w:tc>
          <w:tcPr>
            <w:tcW w:w="2610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034CE">
              <w:rPr>
                <w:b w:val="0"/>
                <w:sz w:val="18"/>
                <w:szCs w:val="18"/>
                <w:lang w:eastAsia="ko-KR"/>
              </w:rPr>
              <w:t xml:space="preserve">9008 Research </w:t>
            </w:r>
            <w:proofErr w:type="spellStart"/>
            <w:r w:rsidRPr="00B034CE">
              <w:rPr>
                <w:b w:val="0"/>
                <w:sz w:val="18"/>
                <w:szCs w:val="18"/>
                <w:lang w:eastAsia="ko-KR"/>
              </w:rPr>
              <w:t>Dr.</w:t>
            </w:r>
            <w:proofErr w:type="spellEnd"/>
            <w:r w:rsidRPr="00B034CE">
              <w:rPr>
                <w:b w:val="0"/>
                <w:sz w:val="18"/>
                <w:szCs w:val="18"/>
                <w:lang w:eastAsia="ko-KR"/>
              </w:rPr>
              <w:t>, Irvine, CA 92618</w:t>
            </w:r>
          </w:p>
        </w:tc>
        <w:tc>
          <w:tcPr>
            <w:tcW w:w="1620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034CE">
              <w:rPr>
                <w:b w:val="0"/>
                <w:sz w:val="18"/>
                <w:szCs w:val="18"/>
                <w:lang w:eastAsia="ko-KR"/>
              </w:rPr>
              <w:t>younghoon.kwon@newracom.com</w:t>
            </w: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4A201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3753B" w:rsidRDefault="00B3753B" w:rsidP="001E6098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clause </w:t>
                            </w:r>
                            <w:r w:rsidR="001E6098">
                              <w:rPr>
                                <w:lang w:eastAsia="ko-KR"/>
                              </w:rPr>
                              <w:t>25.2.1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D53325"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53325">
                              <w:rPr>
                                <w:lang w:eastAsia="ko-KR"/>
                              </w:rPr>
                              <w:t>0.</w:t>
                            </w:r>
                            <w:r w:rsidR="001E6098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 xml:space="preserve"> with </w:t>
                            </w:r>
                            <w:r w:rsidR="001E6098">
                              <w:rPr>
                                <w:lang w:eastAsia="ko-KR"/>
                              </w:rPr>
                              <w:t>CIDs 2624 and 2738.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C3023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  <w:r w:rsidR="00C3023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3753B" w:rsidRDefault="00B3753B" w:rsidP="001E6098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clause </w:t>
                      </w:r>
                      <w:r w:rsidR="001E6098">
                        <w:rPr>
                          <w:lang w:eastAsia="ko-KR"/>
                        </w:rPr>
                        <w:t>25.2.1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D53325">
                        <w:rPr>
                          <w:rFonts w:hint="eastAsia"/>
                          <w:lang w:eastAsia="ko-KR"/>
                        </w:rPr>
                        <w:t>TGax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53325">
                        <w:rPr>
                          <w:lang w:eastAsia="ko-KR"/>
                        </w:rPr>
                        <w:t>0.</w:t>
                      </w:r>
                      <w:r w:rsidR="001E6098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 xml:space="preserve"> with </w:t>
                      </w:r>
                      <w:r w:rsidR="001E6098">
                        <w:rPr>
                          <w:lang w:eastAsia="ko-KR"/>
                        </w:rPr>
                        <w:t>CIDs 2624 and 2738.</w:t>
                      </w:r>
                    </w:p>
                    <w:p w:rsidR="00B3753B" w:rsidRDefault="00B3753B" w:rsidP="006A40FB">
                      <w:pPr>
                        <w:jc w:val="both"/>
                      </w:pPr>
                      <w:bookmarkStart w:id="1" w:name="_GoBack"/>
                      <w:bookmarkEnd w:id="1"/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C3023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  <w:r w:rsidR="00C3023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3C3A0C" w:rsidRDefault="003C3A0C" w:rsidP="00F2637D">
      <w:pPr>
        <w:rPr>
          <w:b/>
          <w:bCs/>
          <w:i/>
          <w:iCs/>
          <w:lang w:eastAsia="ko-KR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85"/>
        <w:gridCol w:w="824"/>
        <w:gridCol w:w="2866"/>
        <w:gridCol w:w="2430"/>
        <w:gridCol w:w="2520"/>
      </w:tblGrid>
      <w:tr w:rsidR="00C30238" w:rsidRPr="00C30238" w:rsidTr="00C30238">
        <w:trPr>
          <w:trHeight w:val="206"/>
        </w:trPr>
        <w:tc>
          <w:tcPr>
            <w:tcW w:w="580" w:type="dxa"/>
            <w:shd w:val="clear" w:color="auto" w:fill="auto"/>
            <w:hideMark/>
          </w:tcPr>
          <w:p w:rsidR="00C30238" w:rsidRPr="00C30238" w:rsidRDefault="00C30238" w:rsidP="00C30238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</w:pPr>
            <w:r w:rsidRPr="00C30238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585" w:type="dxa"/>
            <w:shd w:val="clear" w:color="auto" w:fill="auto"/>
            <w:hideMark/>
          </w:tcPr>
          <w:p w:rsidR="00C30238" w:rsidRPr="00C30238" w:rsidRDefault="00C30238" w:rsidP="00C30238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</w:pPr>
            <w:r w:rsidRPr="00C30238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  <w:t>Page</w:t>
            </w:r>
          </w:p>
        </w:tc>
        <w:tc>
          <w:tcPr>
            <w:tcW w:w="824" w:type="dxa"/>
            <w:shd w:val="clear" w:color="auto" w:fill="auto"/>
            <w:hideMark/>
          </w:tcPr>
          <w:p w:rsidR="00C30238" w:rsidRPr="00C30238" w:rsidRDefault="00C30238" w:rsidP="00C30238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</w:pPr>
            <w:r w:rsidRPr="00C30238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2866" w:type="dxa"/>
            <w:shd w:val="clear" w:color="auto" w:fill="auto"/>
            <w:hideMark/>
          </w:tcPr>
          <w:p w:rsidR="00C30238" w:rsidRPr="00C30238" w:rsidRDefault="00C30238" w:rsidP="00C30238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</w:pPr>
            <w:r w:rsidRPr="00C30238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430" w:type="dxa"/>
            <w:shd w:val="clear" w:color="auto" w:fill="auto"/>
            <w:hideMark/>
          </w:tcPr>
          <w:p w:rsidR="00C30238" w:rsidRPr="00C30238" w:rsidRDefault="00C30238" w:rsidP="00C30238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</w:pPr>
            <w:r w:rsidRPr="00C30238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520" w:type="dxa"/>
            <w:shd w:val="clear" w:color="auto" w:fill="auto"/>
            <w:hideMark/>
          </w:tcPr>
          <w:p w:rsidR="00C30238" w:rsidRPr="00C30238" w:rsidRDefault="00C30238" w:rsidP="00C30238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</w:pPr>
            <w:r w:rsidRPr="00C30238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1E6098" w:rsidRPr="00C30238" w:rsidTr="00C30238">
        <w:trPr>
          <w:trHeight w:val="4040"/>
        </w:trPr>
        <w:tc>
          <w:tcPr>
            <w:tcW w:w="580" w:type="dxa"/>
            <w:shd w:val="clear" w:color="auto" w:fill="auto"/>
            <w:hideMark/>
          </w:tcPr>
          <w:p w:rsidR="001E6098" w:rsidRPr="001E609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1E6098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2624</w:t>
            </w:r>
          </w:p>
        </w:tc>
        <w:tc>
          <w:tcPr>
            <w:tcW w:w="585" w:type="dxa"/>
            <w:shd w:val="clear" w:color="auto" w:fill="auto"/>
            <w:hideMark/>
          </w:tcPr>
          <w:p w:rsidR="001E6098" w:rsidRPr="001E609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1E6098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53.42</w:t>
            </w:r>
          </w:p>
        </w:tc>
        <w:tc>
          <w:tcPr>
            <w:tcW w:w="824" w:type="dxa"/>
            <w:shd w:val="clear" w:color="auto" w:fill="auto"/>
            <w:hideMark/>
          </w:tcPr>
          <w:p w:rsidR="001E6098" w:rsidRPr="001E609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1E6098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25.2.1</w:t>
            </w:r>
          </w:p>
        </w:tc>
        <w:tc>
          <w:tcPr>
            <w:tcW w:w="2866" w:type="dxa"/>
            <w:shd w:val="clear" w:color="auto" w:fill="auto"/>
            <w:hideMark/>
          </w:tcPr>
          <w:p w:rsidR="001E6098" w:rsidRPr="001E609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1E6098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As CTS frame and ACK frame have RA only and do not have TA field, a STA may set regular NAV even though these frames are from the same BSS. To minimize the chance of this wrong NAV setting, it is needed for a STA to check the soliciting frame's BSS in case of receiving these frames in deciding intra-BSS vs inter-BSS.</w:t>
            </w:r>
          </w:p>
        </w:tc>
        <w:tc>
          <w:tcPr>
            <w:tcW w:w="2430" w:type="dxa"/>
            <w:shd w:val="clear" w:color="auto" w:fill="auto"/>
            <w:hideMark/>
          </w:tcPr>
          <w:p w:rsidR="001E6098" w:rsidRPr="001E609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1E6098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Add the following sentence: "A STA that receives a valid control response frame that does not have TA field can update its intra-BSS NAV and shall not update its regular NAV with the information from the Duration field if a successfully received immediately preceding frame is sent from intra-BSS and the remaining TXOP duration of the control response frame is the same with that of the immediately preceding frame. Also, A STA that receives a valid control response frame that does not have TA field can update its intra-BSS NAV and shall not update its regular NAV with the information from the Duration field if an immediately following frame is sent from intra-BSS and the remaining TXOP duration of the control response frame is the same with that of the control response frame."</w:t>
            </w:r>
          </w:p>
        </w:tc>
        <w:tc>
          <w:tcPr>
            <w:tcW w:w="2520" w:type="dxa"/>
            <w:shd w:val="clear" w:color="auto" w:fill="auto"/>
            <w:hideMark/>
          </w:tcPr>
          <w:p w:rsidR="001E609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REVISED</w:t>
            </w:r>
          </w:p>
          <w:p w:rsidR="001E609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</w:p>
          <w:p w:rsidR="001E609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Agreed to the comment. </w:t>
            </w:r>
            <w:r w:rsidR="00A64C17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Based on current intra-BSS/inter-BSS frame detection rule, CTS frame that is sent by the serving AP is classified as an inter-BSS frame. To avoid this problem, when a control response frame that does not have TA field is received, a receiving STA needs to check the soliciting frame’s classification.</w:t>
            </w:r>
          </w:p>
          <w:p w:rsidR="001E609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</w:p>
          <w:p w:rsidR="001E6098" w:rsidRPr="00C30238" w:rsidRDefault="001E6098" w:rsidP="001E6098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proofErr w:type="spellStart"/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TGax</w:t>
            </w:r>
            <w:proofErr w:type="spellEnd"/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 editor to make</w:t>
            </w:r>
            <w:r w:rsidR="00916CAD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 the changes shown in 11-16/1392</w:t>
            </w:r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r0 under all headings for CID 2624.</w:t>
            </w:r>
          </w:p>
        </w:tc>
      </w:tr>
      <w:tr w:rsidR="0024655F" w:rsidRPr="00C30238" w:rsidTr="00C30238">
        <w:trPr>
          <w:trHeight w:val="1070"/>
        </w:trPr>
        <w:tc>
          <w:tcPr>
            <w:tcW w:w="580" w:type="dxa"/>
            <w:shd w:val="clear" w:color="auto" w:fill="auto"/>
            <w:hideMark/>
          </w:tcPr>
          <w:p w:rsidR="0024655F" w:rsidRPr="001E6098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1E6098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2738</w:t>
            </w:r>
          </w:p>
        </w:tc>
        <w:tc>
          <w:tcPr>
            <w:tcW w:w="585" w:type="dxa"/>
            <w:shd w:val="clear" w:color="auto" w:fill="auto"/>
            <w:hideMark/>
          </w:tcPr>
          <w:p w:rsidR="0024655F" w:rsidRPr="001E6098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1E6098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46.25</w:t>
            </w:r>
          </w:p>
        </w:tc>
        <w:tc>
          <w:tcPr>
            <w:tcW w:w="824" w:type="dxa"/>
            <w:shd w:val="clear" w:color="auto" w:fill="auto"/>
            <w:hideMark/>
          </w:tcPr>
          <w:p w:rsidR="0024655F" w:rsidRPr="001E6098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1E6098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10.22.2.9</w:t>
            </w:r>
          </w:p>
        </w:tc>
        <w:tc>
          <w:tcPr>
            <w:tcW w:w="2866" w:type="dxa"/>
            <w:shd w:val="clear" w:color="auto" w:fill="auto"/>
            <w:hideMark/>
          </w:tcPr>
          <w:p w:rsidR="0024655F" w:rsidRPr="0024737A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24737A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NAV </w:t>
            </w:r>
            <w:proofErr w:type="spellStart"/>
            <w:r w:rsidRPr="0024737A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confiured</w:t>
            </w:r>
            <w:proofErr w:type="spellEnd"/>
            <w:r w:rsidRPr="0024737A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 by RTS from associated AP is considered "intra-BSS NAV". NAV configured by CTS from a STA that is associated with the same BSS is considered a "regular NAV".</w:t>
            </w:r>
            <w:r w:rsidRPr="0024737A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br/>
              <w:t>STA in the same BSS, overhearing RTS and CTS exchange is configured with both intra-BSS NAV (by RTS) and regular NAV (by CTS). CF-End from the AP only reset the intra-BSS NAV and regular NAV is not reset, even though it a NAV set by the same TXOP source</w:t>
            </w:r>
            <w:r w:rsidRPr="0024737A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br/>
              <w:t>This is an wrongful and unintended behavior for CF-End sent by the AP.</w:t>
            </w:r>
          </w:p>
        </w:tc>
        <w:tc>
          <w:tcPr>
            <w:tcW w:w="2430" w:type="dxa"/>
            <w:shd w:val="clear" w:color="auto" w:fill="auto"/>
            <w:hideMark/>
          </w:tcPr>
          <w:p w:rsidR="0024655F" w:rsidRPr="0024737A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 w:rsidRPr="0024737A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Correct the TXOP truncation behavior based on submitted contribution in </w:t>
            </w:r>
            <w:proofErr w:type="spellStart"/>
            <w:r w:rsidRPr="0024737A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TGax</w:t>
            </w:r>
            <w:proofErr w:type="spellEnd"/>
            <w:r w:rsidRPr="0024737A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.</w:t>
            </w:r>
          </w:p>
        </w:tc>
        <w:tc>
          <w:tcPr>
            <w:tcW w:w="2520" w:type="dxa"/>
            <w:shd w:val="clear" w:color="auto" w:fill="auto"/>
            <w:hideMark/>
          </w:tcPr>
          <w:p w:rsidR="0024655F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REVISED</w:t>
            </w:r>
          </w:p>
          <w:p w:rsidR="0024655F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</w:p>
          <w:p w:rsidR="0024655F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Agreed to the comment. This problem can be avoided if the CTS frame that is sent by the serving AP is </w:t>
            </w:r>
            <w:proofErr w:type="spellStart"/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calssified</w:t>
            </w:r>
            <w:proofErr w:type="spellEnd"/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 as an intra-BSS frame. For this purpose, when a control response frame that does not have TA field is received, a receiving STA needs to check the soliciting frame’s classification.</w:t>
            </w:r>
          </w:p>
          <w:p w:rsidR="0024655F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</w:p>
          <w:p w:rsidR="0024655F" w:rsidRPr="00C30238" w:rsidRDefault="0024655F" w:rsidP="0024655F">
            <w:pP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</w:pPr>
            <w:proofErr w:type="spellStart"/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TGax</w:t>
            </w:r>
            <w:proofErr w:type="spellEnd"/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 editor to make</w:t>
            </w:r>
            <w:r w:rsidR="00916CAD"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 xml:space="preserve"> the changes shown in 11-16/1392</w:t>
            </w:r>
            <w:r>
              <w:rPr>
                <w:rFonts w:ascii="Calibri" w:eastAsia="Times New Roman" w:hAnsi="Calibri" w:cs="Arial"/>
                <w:sz w:val="16"/>
                <w:szCs w:val="16"/>
                <w:lang w:val="en-US" w:eastAsia="ko-KR"/>
              </w:rPr>
              <w:t>r0 under all headings for CID 2624.</w:t>
            </w:r>
          </w:p>
        </w:tc>
      </w:tr>
    </w:tbl>
    <w:p w:rsidR="00C30238" w:rsidRPr="00C30238" w:rsidRDefault="00C30238" w:rsidP="00F2637D">
      <w:pPr>
        <w:rPr>
          <w:b/>
          <w:bCs/>
          <w:i/>
          <w:iCs/>
          <w:lang w:val="en-US" w:eastAsia="ko-KR"/>
        </w:rPr>
      </w:pPr>
    </w:p>
    <w:p w:rsidR="005A4504" w:rsidRPr="00916CAD" w:rsidRDefault="005A4504" w:rsidP="005A4504">
      <w:pPr>
        <w:rPr>
          <w:szCs w:val="22"/>
          <w:lang w:val="en-US" w:eastAsia="ko-KR"/>
        </w:rPr>
      </w:pPr>
    </w:p>
    <w:p w:rsidR="00C30238" w:rsidRDefault="00C30238" w:rsidP="003E1A2F">
      <w:pPr>
        <w:rPr>
          <w:b/>
          <w:u w:val="single"/>
        </w:rPr>
      </w:pPr>
    </w:p>
    <w:p w:rsidR="005A4504" w:rsidRPr="008E006D" w:rsidRDefault="005A4504" w:rsidP="003E1A2F">
      <w:pPr>
        <w:rPr>
          <w:i/>
          <w:u w:val="single"/>
        </w:rPr>
      </w:pPr>
      <w:r w:rsidRPr="008E006D">
        <w:rPr>
          <w:b/>
          <w:u w:val="single"/>
        </w:rPr>
        <w:t>Discussion:</w:t>
      </w:r>
      <w:r w:rsidR="0043413E" w:rsidRPr="008E006D">
        <w:rPr>
          <w:i/>
          <w:u w:val="single"/>
        </w:rPr>
        <w:t xml:space="preserve"> None.</w:t>
      </w:r>
    </w:p>
    <w:p w:rsidR="00FF0E49" w:rsidRPr="008E006D" w:rsidRDefault="00FF0E49" w:rsidP="001F0465">
      <w:pPr>
        <w:rPr>
          <w:rFonts w:ascii="TimesNewRomanPSMT" w:hAnsi="TimesNewRomanPSMT"/>
          <w:sz w:val="20"/>
        </w:rPr>
      </w:pPr>
    </w:p>
    <w:p w:rsidR="00FF0E49" w:rsidRPr="008E006D" w:rsidRDefault="00FF0E49" w:rsidP="001F0465">
      <w:pPr>
        <w:rPr>
          <w:rFonts w:ascii="TimesNewRomanPSMT" w:hAnsi="TimesNewRomanPSMT"/>
          <w:sz w:val="20"/>
        </w:rPr>
      </w:pPr>
    </w:p>
    <w:p w:rsidR="001E6098" w:rsidRDefault="00B83186" w:rsidP="001E6098">
      <w:pPr>
        <w:rPr>
          <w:b/>
          <w:i/>
          <w:lang w:eastAsia="ko-KR"/>
        </w:rPr>
      </w:pPr>
      <w:proofErr w:type="spellStart"/>
      <w:r w:rsidRPr="00312694">
        <w:rPr>
          <w:b/>
          <w:i/>
          <w:lang w:eastAsia="ko-KR"/>
        </w:rPr>
        <w:t>TGax</w:t>
      </w:r>
      <w:proofErr w:type="spellEnd"/>
      <w:r w:rsidRPr="00312694">
        <w:rPr>
          <w:b/>
          <w:i/>
          <w:lang w:eastAsia="ko-KR"/>
        </w:rPr>
        <w:t xml:space="preserve"> editor: </w:t>
      </w:r>
      <w:r w:rsidR="001E6098">
        <w:rPr>
          <w:b/>
          <w:i/>
          <w:lang w:eastAsia="ko-KR"/>
        </w:rPr>
        <w:t>Add the following text to the second paragraph</w:t>
      </w:r>
      <w:r w:rsidR="00916CAD">
        <w:rPr>
          <w:b/>
          <w:i/>
          <w:lang w:eastAsia="ko-KR"/>
        </w:rPr>
        <w:t xml:space="preserve"> in sub-clause 25.2.1 on Page 117 Line44</w:t>
      </w:r>
      <w:r w:rsidR="001E6098">
        <w:rPr>
          <w:b/>
          <w:i/>
          <w:lang w:eastAsia="ko-KR"/>
        </w:rPr>
        <w:t xml:space="preserve"> of Draft P802.11ax_D0.</w:t>
      </w:r>
      <w:r w:rsidR="00916CAD">
        <w:rPr>
          <w:b/>
          <w:i/>
          <w:lang w:eastAsia="ko-KR"/>
        </w:rPr>
        <w:t>5</w:t>
      </w:r>
      <w:r w:rsidR="001E6098">
        <w:rPr>
          <w:b/>
          <w:i/>
          <w:lang w:eastAsia="ko-KR"/>
        </w:rPr>
        <w:t xml:space="preserve"> as CIDs 2624 and 2738:</w:t>
      </w:r>
    </w:p>
    <w:p w:rsidR="00B83186" w:rsidRDefault="00B83186" w:rsidP="00B83186">
      <w:pPr>
        <w:rPr>
          <w:b/>
          <w:i/>
          <w:lang w:eastAsia="ko-KR"/>
        </w:rPr>
      </w:pPr>
    </w:p>
    <w:p w:rsidR="003C3A0C" w:rsidRPr="003C3A0C" w:rsidRDefault="001E6098" w:rsidP="00E27A3F">
      <w:pPr>
        <w:ind w:left="-720"/>
        <w:rPr>
          <w:rFonts w:ascii="TimesNewRomanPSMT" w:hAnsi="TimesNewRomanPSMT"/>
          <w:strike/>
          <w:color w:val="FF0000"/>
          <w:szCs w:val="22"/>
        </w:rPr>
      </w:pPr>
      <w:r>
        <w:rPr>
          <w:rFonts w:ascii="Arial-BoldMT" w:hAnsi="Arial-BoldMT"/>
          <w:b/>
          <w:bCs/>
          <w:color w:val="000000"/>
          <w:szCs w:val="22"/>
        </w:rPr>
        <w:t>25.2.1 Intra-BSS and inter-BSS frame detection</w:t>
      </w:r>
      <w:r w:rsidR="003C3A0C" w:rsidRPr="003C3A0C">
        <w:rPr>
          <w:rFonts w:ascii="Arial-BoldMT" w:hAnsi="Arial-BoldMT"/>
          <w:color w:val="000000"/>
          <w:szCs w:val="22"/>
        </w:rPr>
        <w:t xml:space="preserve"> </w:t>
      </w:r>
      <w:r w:rsidR="00546F69" w:rsidRPr="003C3A0C">
        <w:rPr>
          <w:rFonts w:ascii="Arial-BoldMT" w:hAnsi="Arial-BoldMT"/>
          <w:color w:val="000000"/>
          <w:szCs w:val="22"/>
        </w:rPr>
        <w:br/>
      </w:r>
    </w:p>
    <w:p w:rsidR="003C3A0C" w:rsidRDefault="003C3A0C" w:rsidP="00E27A3F">
      <w:pPr>
        <w:ind w:left="-720"/>
        <w:rPr>
          <w:lang w:val="en-US" w:eastAsia="ko-KR"/>
        </w:rPr>
      </w:pPr>
      <w:r>
        <w:rPr>
          <w:lang w:val="en-US" w:eastAsia="ko-KR"/>
        </w:rPr>
        <w:t>…</w:t>
      </w:r>
    </w:p>
    <w:p w:rsidR="003C3A0C" w:rsidRDefault="003C3A0C" w:rsidP="003C3A0C">
      <w:pPr>
        <w:rPr>
          <w:lang w:val="en-US" w:eastAsia="ko-KR"/>
        </w:rPr>
      </w:pPr>
    </w:p>
    <w:p w:rsidR="001E6098" w:rsidRDefault="001E6098" w:rsidP="002B366B">
      <w:pPr>
        <w:ind w:left="-720"/>
        <w:rPr>
          <w:sz w:val="20"/>
        </w:rPr>
      </w:pPr>
      <w:r>
        <w:rPr>
          <w:sz w:val="20"/>
        </w:rPr>
        <w:t>A frame received by the STA is an intra-BSS frame if one of the following conditions is true:</w:t>
      </w:r>
    </w:p>
    <w:p w:rsidR="00916CAD" w:rsidRDefault="00916CAD" w:rsidP="00A64C17">
      <w:pPr>
        <w:ind w:left="-90" w:hanging="360"/>
        <w:rPr>
          <w:sz w:val="20"/>
        </w:rPr>
      </w:pPr>
      <w:r>
        <w:rPr>
          <w:sz w:val="20"/>
        </w:rPr>
        <w:t xml:space="preserve">— </w:t>
      </w:r>
      <w:r>
        <w:rPr>
          <w:sz w:val="20"/>
        </w:rPr>
        <w:tab/>
      </w:r>
      <w:r>
        <w:rPr>
          <w:sz w:val="20"/>
        </w:rPr>
        <w:t>The RXV</w:t>
      </w:r>
      <w:r>
        <w:rPr>
          <w:sz w:val="20"/>
        </w:rPr>
        <w:t>ECTOR parameter BSS_COLOR</w:t>
      </w:r>
      <w:r>
        <w:rPr>
          <w:sz w:val="20"/>
        </w:rPr>
        <w:t xml:space="preserve"> in the receive</w:t>
      </w:r>
      <w:r>
        <w:rPr>
          <w:sz w:val="20"/>
        </w:rPr>
        <w:t>d PPDU carrying the frame</w:t>
      </w:r>
      <w:r>
        <w:rPr>
          <w:sz w:val="20"/>
        </w:rPr>
        <w:t xml:space="preserve"> is the same as the BSS </w:t>
      </w:r>
      <w:proofErr w:type="spellStart"/>
      <w:r>
        <w:rPr>
          <w:sz w:val="20"/>
        </w:rPr>
        <w:t>color</w:t>
      </w:r>
      <w:proofErr w:type="spellEnd"/>
      <w:r>
        <w:rPr>
          <w:sz w:val="20"/>
        </w:rPr>
        <w:t xml:space="preserve"> announced by the AP to which the STA is associated </w:t>
      </w:r>
    </w:p>
    <w:p w:rsidR="00916CAD" w:rsidRDefault="00916CAD" w:rsidP="00A64C17">
      <w:pPr>
        <w:ind w:left="-90" w:hanging="360"/>
        <w:rPr>
          <w:sz w:val="20"/>
        </w:rPr>
      </w:pPr>
      <w:r>
        <w:rPr>
          <w:sz w:val="20"/>
        </w:rPr>
        <w:t xml:space="preserve">— </w:t>
      </w:r>
      <w:r>
        <w:rPr>
          <w:sz w:val="20"/>
        </w:rPr>
        <w:tab/>
      </w:r>
      <w:r>
        <w:rPr>
          <w:sz w:val="20"/>
        </w:rPr>
        <w:t>The RA field, TA fi</w:t>
      </w:r>
      <w:r>
        <w:rPr>
          <w:sz w:val="20"/>
        </w:rPr>
        <w:t>eld or BSSID field</w:t>
      </w:r>
      <w:r>
        <w:rPr>
          <w:sz w:val="20"/>
        </w:rPr>
        <w:t xml:space="preserve"> of the received frame with the Individual/Group</w:t>
      </w:r>
      <w:r>
        <w:rPr>
          <w:sz w:val="20"/>
        </w:rPr>
        <w:t xml:space="preserve"> bit forced to the value 0</w:t>
      </w:r>
      <w:r>
        <w:rPr>
          <w:sz w:val="20"/>
        </w:rPr>
        <w:t xml:space="preserve"> is the same as the BSSID of AP to w</w:t>
      </w:r>
      <w:r>
        <w:rPr>
          <w:sz w:val="20"/>
        </w:rPr>
        <w:t>hich the STA is associated</w:t>
      </w:r>
    </w:p>
    <w:p w:rsidR="00916CAD" w:rsidRDefault="00916CAD" w:rsidP="00A64C17">
      <w:pPr>
        <w:ind w:left="-90" w:hanging="360"/>
        <w:rPr>
          <w:sz w:val="20"/>
        </w:rPr>
      </w:pPr>
      <w:r>
        <w:rPr>
          <w:sz w:val="20"/>
        </w:rPr>
        <w:t xml:space="preserve">— </w:t>
      </w:r>
      <w:r>
        <w:rPr>
          <w:sz w:val="20"/>
        </w:rPr>
        <w:tab/>
      </w:r>
      <w:r>
        <w:rPr>
          <w:sz w:val="20"/>
        </w:rPr>
        <w:t xml:space="preserve">The AP to which the STA is associated is a member of a Multiple BSSID Set with two or more </w:t>
      </w:r>
      <w:r>
        <w:rPr>
          <w:sz w:val="20"/>
        </w:rPr>
        <w:t>m</w:t>
      </w:r>
      <w:r>
        <w:rPr>
          <w:sz w:val="20"/>
        </w:rPr>
        <w:t>embers and the RA field, TA field or BSSID field of the received frame with the Individual/Group</w:t>
      </w:r>
      <w:r>
        <w:rPr>
          <w:sz w:val="20"/>
        </w:rPr>
        <w:t xml:space="preserve"> bit forced to the value 0</w:t>
      </w:r>
      <w:r>
        <w:rPr>
          <w:sz w:val="20"/>
        </w:rPr>
        <w:t xml:space="preserve"> is same as the BSSID of any member of the Multiple BSSID Set </w:t>
      </w:r>
    </w:p>
    <w:p w:rsidR="00916CAD" w:rsidRDefault="00916CAD" w:rsidP="00A64C17">
      <w:pPr>
        <w:ind w:left="-90" w:hanging="360"/>
        <w:rPr>
          <w:sz w:val="20"/>
        </w:rPr>
      </w:pPr>
      <w:r>
        <w:rPr>
          <w:sz w:val="20"/>
        </w:rPr>
        <w:t xml:space="preserve">— </w:t>
      </w:r>
      <w:r>
        <w:rPr>
          <w:sz w:val="20"/>
        </w:rPr>
        <w:tab/>
      </w:r>
      <w:r>
        <w:rPr>
          <w:sz w:val="20"/>
        </w:rPr>
        <w:t>The RXVECTOR parameter PARTIAL_AID in the received VHT PPDU with the RXVECTOR parameter GROUP_ID equal to 0 is the same as the BSSID[39:47] of the AP to wh</w:t>
      </w:r>
      <w:r>
        <w:rPr>
          <w:sz w:val="20"/>
        </w:rPr>
        <w:t>ich the STA is associated</w:t>
      </w:r>
      <w:r>
        <w:rPr>
          <w:sz w:val="20"/>
        </w:rPr>
        <w:t xml:space="preserve"> </w:t>
      </w:r>
    </w:p>
    <w:p w:rsidR="00916CAD" w:rsidRDefault="00916CAD" w:rsidP="00916CAD">
      <w:pPr>
        <w:ind w:left="-90" w:hanging="360"/>
        <w:rPr>
          <w:sz w:val="20"/>
        </w:rPr>
      </w:pPr>
      <w:r>
        <w:rPr>
          <w:sz w:val="20"/>
        </w:rPr>
        <w:t xml:space="preserve">— </w:t>
      </w:r>
      <w:r>
        <w:rPr>
          <w:sz w:val="20"/>
        </w:rPr>
        <w:tab/>
      </w:r>
      <w:r>
        <w:rPr>
          <w:sz w:val="20"/>
        </w:rPr>
        <w:t xml:space="preserve">The value of RXVECTOR parameter PARTIAL_AID [5:8] in the received VHT PPDU with the RXVECTOR parameter GROUP_ID equal to 63 is the same as the partial BSS </w:t>
      </w:r>
      <w:proofErr w:type="spellStart"/>
      <w:r>
        <w:rPr>
          <w:sz w:val="20"/>
        </w:rPr>
        <w:t>color</w:t>
      </w:r>
      <w:proofErr w:type="spellEnd"/>
      <w:r>
        <w:rPr>
          <w:sz w:val="20"/>
        </w:rPr>
        <w:t xml:space="preserve"> announced by the AP to which the STA is associated when the Partial BSS </w:t>
      </w:r>
      <w:proofErr w:type="spellStart"/>
      <w:r>
        <w:rPr>
          <w:sz w:val="20"/>
        </w:rPr>
        <w:t>Color</w:t>
      </w:r>
      <w:proofErr w:type="spellEnd"/>
      <w:r>
        <w:rPr>
          <w:sz w:val="20"/>
        </w:rPr>
        <w:t xml:space="preserve"> field in the most recently received HE Operation element is 1.</w:t>
      </w:r>
      <w:r w:rsidRPr="00916CAD">
        <w:rPr>
          <w:sz w:val="20"/>
        </w:rPr>
        <w:t xml:space="preserve"> </w:t>
      </w:r>
    </w:p>
    <w:p w:rsidR="009C27FA" w:rsidRPr="00916CAD" w:rsidRDefault="00916CAD" w:rsidP="00916CAD">
      <w:pPr>
        <w:ind w:left="-90" w:hanging="360"/>
        <w:rPr>
          <w:color w:val="FF0000"/>
          <w:sz w:val="20"/>
          <w:u w:val="single"/>
        </w:rPr>
      </w:pPr>
      <w:r w:rsidRPr="00916CAD">
        <w:rPr>
          <w:color w:val="FF0000"/>
          <w:sz w:val="20"/>
          <w:u w:val="single"/>
        </w:rPr>
        <w:t>—</w:t>
      </w:r>
      <w:r w:rsidRPr="00916CAD">
        <w:rPr>
          <w:color w:val="FF0000"/>
          <w:sz w:val="20"/>
          <w:u w:val="single"/>
        </w:rPr>
        <w:t xml:space="preserve"> </w:t>
      </w:r>
      <w:r w:rsidRPr="00916CAD">
        <w:rPr>
          <w:color w:val="FF0000"/>
          <w:sz w:val="20"/>
          <w:u w:val="single"/>
        </w:rPr>
        <w:tab/>
      </w:r>
      <w:r w:rsidR="009C27FA" w:rsidRPr="00916CAD">
        <w:rPr>
          <w:color w:val="FF0000"/>
          <w:sz w:val="20"/>
          <w:u w:val="single"/>
        </w:rPr>
        <w:t>The frame is a control frame that does not have TA field, and the RA address is matching the saved TXOP holder address for the BSS in which it is associated.</w:t>
      </w:r>
    </w:p>
    <w:p w:rsidR="00A64C17" w:rsidRPr="00916CAD" w:rsidRDefault="00A64C17" w:rsidP="00916CAD">
      <w:pPr>
        <w:ind w:left="-90" w:hanging="360"/>
        <w:rPr>
          <w:sz w:val="20"/>
        </w:rPr>
      </w:pPr>
    </w:p>
    <w:p w:rsidR="00A64C17" w:rsidRDefault="00A64C17" w:rsidP="00A64C17">
      <w:pPr>
        <w:ind w:left="-720"/>
        <w:rPr>
          <w:lang w:val="en-US" w:eastAsia="ko-KR"/>
        </w:rPr>
      </w:pPr>
      <w:r>
        <w:rPr>
          <w:lang w:val="en-US" w:eastAsia="ko-KR"/>
        </w:rPr>
        <w:t>…</w:t>
      </w:r>
      <w:bookmarkStart w:id="0" w:name="_GoBack"/>
      <w:bookmarkEnd w:id="0"/>
    </w:p>
    <w:p w:rsidR="00A64C17" w:rsidRPr="00A64C17" w:rsidRDefault="00A64C17" w:rsidP="00A64C17">
      <w:pPr>
        <w:ind w:left="-720"/>
        <w:rPr>
          <w:color w:val="FF0000"/>
          <w:u w:val="single"/>
          <w:lang w:eastAsia="ko-KR"/>
        </w:rPr>
      </w:pPr>
    </w:p>
    <w:sectPr w:rsidR="00A64C17" w:rsidRPr="00A64C1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1F" w:rsidRDefault="00AB7E1F">
      <w:r>
        <w:separator/>
      </w:r>
    </w:p>
  </w:endnote>
  <w:endnote w:type="continuationSeparator" w:id="0">
    <w:p w:rsidR="00AB7E1F" w:rsidRDefault="00AB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AB7E1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683AD6">
      <w:fldChar w:fldCharType="begin"/>
    </w:r>
    <w:r w:rsidR="00B3753B">
      <w:instrText xml:space="preserve">page </w:instrText>
    </w:r>
    <w:r w:rsidR="00683AD6">
      <w:fldChar w:fldCharType="separate"/>
    </w:r>
    <w:r w:rsidR="00E27A3F">
      <w:rPr>
        <w:noProof/>
      </w:rPr>
      <w:t>3</w:t>
    </w:r>
    <w:r w:rsidR="00683AD6">
      <w:rPr>
        <w:noProof/>
      </w:rPr>
      <w:fldChar w:fldCharType="end"/>
    </w:r>
    <w:r w:rsidR="00B3753B">
      <w:tab/>
    </w:r>
    <w:r w:rsidR="00AF6CF1">
      <w:rPr>
        <w:lang w:eastAsia="ko-KR"/>
      </w:rPr>
      <w:t>Young Hoon Kwon</w:t>
    </w:r>
    <w:r w:rsidR="00B3753B">
      <w:t xml:space="preserve">, </w:t>
    </w:r>
    <w:proofErr w:type="spellStart"/>
    <w:r w:rsidR="00AF6CF1">
      <w:t>Newracom</w:t>
    </w:r>
    <w:proofErr w:type="spellEnd"/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1F" w:rsidRDefault="00AB7E1F">
      <w:r>
        <w:separator/>
      </w:r>
    </w:p>
  </w:footnote>
  <w:footnote w:type="continuationSeparator" w:id="0">
    <w:p w:rsidR="00AB7E1F" w:rsidRDefault="00AB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916CA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November</w:t>
    </w:r>
    <w:r w:rsidR="00B3753B">
      <w:rPr>
        <w:lang w:eastAsia="ko-KR"/>
      </w:rPr>
      <w:t xml:space="preserve"> </w:t>
    </w:r>
    <w:r w:rsidR="00B3753B">
      <w:t>201</w:t>
    </w:r>
    <w:r w:rsidR="00D53325">
      <w:rPr>
        <w:lang w:eastAsia="ko-KR"/>
      </w:rPr>
      <w:t>6</w:t>
    </w:r>
    <w:r w:rsidR="00B3753B">
      <w:tab/>
    </w:r>
    <w:r w:rsidR="00B3753B">
      <w:tab/>
    </w:r>
    <w:r w:rsidR="00AB7E1F">
      <w:fldChar w:fldCharType="begin"/>
    </w:r>
    <w:r w:rsidR="00AB7E1F">
      <w:instrText xml:space="preserve"> TITLE  \* MERGEFORMAT </w:instrText>
    </w:r>
    <w:r w:rsidR="00AB7E1F">
      <w:fldChar w:fldCharType="separate"/>
    </w:r>
    <w:r w:rsidR="00D53325">
      <w:t>doc.: IEEE 802.11-16</w:t>
    </w:r>
    <w:r w:rsidR="00B3753B">
      <w:t>/</w:t>
    </w:r>
    <w:r>
      <w:t>1392</w:t>
    </w:r>
    <w:r w:rsidR="00B3753B">
      <w:t>r</w:t>
    </w:r>
    <w:r w:rsidR="00AB7E1F">
      <w:fldChar w:fldCharType="end"/>
    </w:r>
    <w:r w:rsidR="00C3023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A0265E9"/>
    <w:multiLevelType w:val="hybridMultilevel"/>
    <w:tmpl w:val="6DA02206"/>
    <w:lvl w:ilvl="0" w:tplc="064CCCC6">
      <w:numFmt w:val="bullet"/>
      <w:lvlText w:val="—"/>
      <w:lvlJc w:val="left"/>
      <w:pPr>
        <w:ind w:left="-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28201AE1"/>
    <w:multiLevelType w:val="hybridMultilevel"/>
    <w:tmpl w:val="1CA8D1AA"/>
    <w:lvl w:ilvl="0" w:tplc="72AC969A">
      <w:start w:val="25"/>
      <w:numFmt w:val="bullet"/>
      <w:lvlText w:val="—"/>
      <w:lvlJc w:val="left"/>
      <w:pPr>
        <w:ind w:left="180" w:hanging="360"/>
      </w:pPr>
      <w:rPr>
        <w:rFonts w:ascii="Times New Roman" w:eastAsiaTheme="minorEastAsia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55350895"/>
    <w:multiLevelType w:val="hybridMultilevel"/>
    <w:tmpl w:val="BFEC4AA4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30CA2"/>
    <w:multiLevelType w:val="hybridMultilevel"/>
    <w:tmpl w:val="9AFAFE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0B52DE1"/>
    <w:multiLevelType w:val="hybridMultilevel"/>
    <w:tmpl w:val="67405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12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4"/>
  </w:num>
  <w:num w:numId="31">
    <w:abstractNumId w:val="10"/>
  </w:num>
  <w:num w:numId="32">
    <w:abstractNumId w:val="10"/>
  </w:num>
  <w:num w:numId="33">
    <w:abstractNumId w:val="11"/>
  </w:num>
  <w:num w:numId="34">
    <w:abstractNumId w:val="13"/>
  </w:num>
  <w:num w:numId="35">
    <w:abstractNumId w:val="8"/>
  </w:num>
  <w:num w:numId="36">
    <w:abstractNumId w:val="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13F"/>
    <w:rsid w:val="00013F87"/>
    <w:rsid w:val="000157CC"/>
    <w:rsid w:val="00017D25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6AD7"/>
    <w:rsid w:val="00047A89"/>
    <w:rsid w:val="00050835"/>
    <w:rsid w:val="00052123"/>
    <w:rsid w:val="0006183F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2849"/>
    <w:rsid w:val="000A2C67"/>
    <w:rsid w:val="000A3D0D"/>
    <w:rsid w:val="000B4559"/>
    <w:rsid w:val="000C573A"/>
    <w:rsid w:val="000D174A"/>
    <w:rsid w:val="000D276A"/>
    <w:rsid w:val="000D2F1B"/>
    <w:rsid w:val="000D3EA2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664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3F4C"/>
    <w:rsid w:val="0018437B"/>
    <w:rsid w:val="00186D69"/>
    <w:rsid w:val="00186E70"/>
    <w:rsid w:val="00187129"/>
    <w:rsid w:val="0019164F"/>
    <w:rsid w:val="00192C6E"/>
    <w:rsid w:val="00193C39"/>
    <w:rsid w:val="001943F7"/>
    <w:rsid w:val="001958DA"/>
    <w:rsid w:val="001A0EDB"/>
    <w:rsid w:val="001A2240"/>
    <w:rsid w:val="001A6C7D"/>
    <w:rsid w:val="001B2326"/>
    <w:rsid w:val="001B252D"/>
    <w:rsid w:val="001B2904"/>
    <w:rsid w:val="001B63BC"/>
    <w:rsid w:val="001B7222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2E2A"/>
    <w:rsid w:val="001E6098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056E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24D7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655F"/>
    <w:rsid w:val="002470AC"/>
    <w:rsid w:val="00252D47"/>
    <w:rsid w:val="00255A8B"/>
    <w:rsid w:val="002569BF"/>
    <w:rsid w:val="00261940"/>
    <w:rsid w:val="00263092"/>
    <w:rsid w:val="002662A5"/>
    <w:rsid w:val="00273257"/>
    <w:rsid w:val="00274970"/>
    <w:rsid w:val="00274BC1"/>
    <w:rsid w:val="00277F6F"/>
    <w:rsid w:val="00281A5D"/>
    <w:rsid w:val="00281D56"/>
    <w:rsid w:val="00282053"/>
    <w:rsid w:val="002825B1"/>
    <w:rsid w:val="002840C6"/>
    <w:rsid w:val="00284C5E"/>
    <w:rsid w:val="002864E8"/>
    <w:rsid w:val="00291A10"/>
    <w:rsid w:val="00291AEF"/>
    <w:rsid w:val="00294B37"/>
    <w:rsid w:val="002A195C"/>
    <w:rsid w:val="002A4A61"/>
    <w:rsid w:val="002B366B"/>
    <w:rsid w:val="002C0375"/>
    <w:rsid w:val="002C61FC"/>
    <w:rsid w:val="002C66AA"/>
    <w:rsid w:val="002C6B4F"/>
    <w:rsid w:val="002C72E1"/>
    <w:rsid w:val="002D1D40"/>
    <w:rsid w:val="002D518F"/>
    <w:rsid w:val="002D7ED5"/>
    <w:rsid w:val="002E1B18"/>
    <w:rsid w:val="002E24A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4ED"/>
    <w:rsid w:val="00305D6E"/>
    <w:rsid w:val="0030782E"/>
    <w:rsid w:val="00307F5F"/>
    <w:rsid w:val="00312694"/>
    <w:rsid w:val="003214E2"/>
    <w:rsid w:val="00325AB6"/>
    <w:rsid w:val="003308A8"/>
    <w:rsid w:val="00332B0D"/>
    <w:rsid w:val="00334991"/>
    <w:rsid w:val="0034133D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3A0C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7CD"/>
    <w:rsid w:val="003F0DA2"/>
    <w:rsid w:val="003F2D6C"/>
    <w:rsid w:val="003F3ECD"/>
    <w:rsid w:val="003F496B"/>
    <w:rsid w:val="004014AE"/>
    <w:rsid w:val="00403645"/>
    <w:rsid w:val="004051D5"/>
    <w:rsid w:val="004051EE"/>
    <w:rsid w:val="00407C5B"/>
    <w:rsid w:val="004142D0"/>
    <w:rsid w:val="00421159"/>
    <w:rsid w:val="00430648"/>
    <w:rsid w:val="0043413E"/>
    <w:rsid w:val="00436C7E"/>
    <w:rsid w:val="00440FF1"/>
    <w:rsid w:val="004417F2"/>
    <w:rsid w:val="00442799"/>
    <w:rsid w:val="00443FBF"/>
    <w:rsid w:val="00444677"/>
    <w:rsid w:val="004452DF"/>
    <w:rsid w:val="004507E7"/>
    <w:rsid w:val="00450CC0"/>
    <w:rsid w:val="00452A74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201A"/>
    <w:rsid w:val="004A3EA8"/>
    <w:rsid w:val="004B493F"/>
    <w:rsid w:val="004B50E4"/>
    <w:rsid w:val="004C0F0A"/>
    <w:rsid w:val="004C12FF"/>
    <w:rsid w:val="004C1B0C"/>
    <w:rsid w:val="004C3C2A"/>
    <w:rsid w:val="004C7919"/>
    <w:rsid w:val="004C7A05"/>
    <w:rsid w:val="004C7CE0"/>
    <w:rsid w:val="004D031C"/>
    <w:rsid w:val="004D03A1"/>
    <w:rsid w:val="004D071D"/>
    <w:rsid w:val="004D2D75"/>
    <w:rsid w:val="004D6BE8"/>
    <w:rsid w:val="004D7188"/>
    <w:rsid w:val="004E164B"/>
    <w:rsid w:val="004E46DF"/>
    <w:rsid w:val="004E5DBC"/>
    <w:rsid w:val="004E63E6"/>
    <w:rsid w:val="004F0CB7"/>
    <w:rsid w:val="004F3903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1D3"/>
    <w:rsid w:val="0053254A"/>
    <w:rsid w:val="005400AC"/>
    <w:rsid w:val="0054235E"/>
    <w:rsid w:val="0054425D"/>
    <w:rsid w:val="00546F69"/>
    <w:rsid w:val="00547CC9"/>
    <w:rsid w:val="0055459B"/>
    <w:rsid w:val="00554995"/>
    <w:rsid w:val="00554EEF"/>
    <w:rsid w:val="00557272"/>
    <w:rsid w:val="00562721"/>
    <w:rsid w:val="00564AE2"/>
    <w:rsid w:val="005670C3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0B8C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25F7"/>
    <w:rsid w:val="005C4204"/>
    <w:rsid w:val="005C6823"/>
    <w:rsid w:val="005D13D7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5617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937"/>
    <w:rsid w:val="00631EB7"/>
    <w:rsid w:val="00635200"/>
    <w:rsid w:val="006362D2"/>
    <w:rsid w:val="00644E29"/>
    <w:rsid w:val="006469A1"/>
    <w:rsid w:val="006504A1"/>
    <w:rsid w:val="0065064C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305F"/>
    <w:rsid w:val="006762D5"/>
    <w:rsid w:val="00677427"/>
    <w:rsid w:val="00680308"/>
    <w:rsid w:val="00683AD6"/>
    <w:rsid w:val="0068429C"/>
    <w:rsid w:val="00687476"/>
    <w:rsid w:val="0069038E"/>
    <w:rsid w:val="006910BB"/>
    <w:rsid w:val="006976B8"/>
    <w:rsid w:val="006A1726"/>
    <w:rsid w:val="006A3A0E"/>
    <w:rsid w:val="006A3D2B"/>
    <w:rsid w:val="006A3EB3"/>
    <w:rsid w:val="006A40D8"/>
    <w:rsid w:val="006A40FB"/>
    <w:rsid w:val="006A503E"/>
    <w:rsid w:val="006A59BC"/>
    <w:rsid w:val="006A7F86"/>
    <w:rsid w:val="006B1D71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1385"/>
    <w:rsid w:val="006D3377"/>
    <w:rsid w:val="006D3E5E"/>
    <w:rsid w:val="006D5362"/>
    <w:rsid w:val="006E181A"/>
    <w:rsid w:val="006E2D44"/>
    <w:rsid w:val="006F3DD4"/>
    <w:rsid w:val="00703D26"/>
    <w:rsid w:val="00707A74"/>
    <w:rsid w:val="00711E05"/>
    <w:rsid w:val="00714D39"/>
    <w:rsid w:val="007156C7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3651D"/>
    <w:rsid w:val="0074006F"/>
    <w:rsid w:val="00740147"/>
    <w:rsid w:val="0074073F"/>
    <w:rsid w:val="00740FFD"/>
    <w:rsid w:val="00741D75"/>
    <w:rsid w:val="0074621F"/>
    <w:rsid w:val="007463FB"/>
    <w:rsid w:val="007513CD"/>
    <w:rsid w:val="00751BA2"/>
    <w:rsid w:val="0076196C"/>
    <w:rsid w:val="00763833"/>
    <w:rsid w:val="00766B1A"/>
    <w:rsid w:val="00766DFE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A6CCD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22AF"/>
    <w:rsid w:val="007E43A0"/>
    <w:rsid w:val="007E5479"/>
    <w:rsid w:val="007F2243"/>
    <w:rsid w:val="007F2366"/>
    <w:rsid w:val="007F6EC7"/>
    <w:rsid w:val="007F75A8"/>
    <w:rsid w:val="00802FC5"/>
    <w:rsid w:val="00806EFB"/>
    <w:rsid w:val="0081078F"/>
    <w:rsid w:val="00810B7A"/>
    <w:rsid w:val="008138C1"/>
    <w:rsid w:val="00813DC5"/>
    <w:rsid w:val="008158F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77E3"/>
    <w:rsid w:val="008378E7"/>
    <w:rsid w:val="00840654"/>
    <w:rsid w:val="00840667"/>
    <w:rsid w:val="00850566"/>
    <w:rsid w:val="00852B3C"/>
    <w:rsid w:val="008532E6"/>
    <w:rsid w:val="0085795D"/>
    <w:rsid w:val="00865DAE"/>
    <w:rsid w:val="0086745D"/>
    <w:rsid w:val="008739D8"/>
    <w:rsid w:val="00874227"/>
    <w:rsid w:val="00875B51"/>
    <w:rsid w:val="00877665"/>
    <w:rsid w:val="008776B0"/>
    <w:rsid w:val="0088012D"/>
    <w:rsid w:val="00881C47"/>
    <w:rsid w:val="008820C7"/>
    <w:rsid w:val="00883CD9"/>
    <w:rsid w:val="00883FD4"/>
    <w:rsid w:val="00884237"/>
    <w:rsid w:val="008847CE"/>
    <w:rsid w:val="008873C7"/>
    <w:rsid w:val="00887583"/>
    <w:rsid w:val="008902E8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06D"/>
    <w:rsid w:val="008E0C7F"/>
    <w:rsid w:val="008E0E94"/>
    <w:rsid w:val="008E4011"/>
    <w:rsid w:val="008E444B"/>
    <w:rsid w:val="008E4EF3"/>
    <w:rsid w:val="008F039B"/>
    <w:rsid w:val="008F1C67"/>
    <w:rsid w:val="008F238D"/>
    <w:rsid w:val="008F3288"/>
    <w:rsid w:val="008F7E73"/>
    <w:rsid w:val="00905A7F"/>
    <w:rsid w:val="00910F8F"/>
    <w:rsid w:val="0091118D"/>
    <w:rsid w:val="00913CB3"/>
    <w:rsid w:val="00916CAD"/>
    <w:rsid w:val="00917AB8"/>
    <w:rsid w:val="0092168F"/>
    <w:rsid w:val="009225A7"/>
    <w:rsid w:val="0092372A"/>
    <w:rsid w:val="00925427"/>
    <w:rsid w:val="00927FEB"/>
    <w:rsid w:val="00933947"/>
    <w:rsid w:val="009362E0"/>
    <w:rsid w:val="00936D66"/>
    <w:rsid w:val="0094091B"/>
    <w:rsid w:val="00944131"/>
    <w:rsid w:val="00944591"/>
    <w:rsid w:val="00944CAA"/>
    <w:rsid w:val="00951CE8"/>
    <w:rsid w:val="0095350F"/>
    <w:rsid w:val="00953565"/>
    <w:rsid w:val="009535A6"/>
    <w:rsid w:val="00954C90"/>
    <w:rsid w:val="00962886"/>
    <w:rsid w:val="00967966"/>
    <w:rsid w:val="009723A1"/>
    <w:rsid w:val="00973614"/>
    <w:rsid w:val="0097724C"/>
    <w:rsid w:val="00980866"/>
    <w:rsid w:val="00980D24"/>
    <w:rsid w:val="00980FD0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27FA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F08F6"/>
    <w:rsid w:val="009F1D97"/>
    <w:rsid w:val="009F3F07"/>
    <w:rsid w:val="009F55D8"/>
    <w:rsid w:val="00A00483"/>
    <w:rsid w:val="00A00EE5"/>
    <w:rsid w:val="00A049E2"/>
    <w:rsid w:val="00A1014B"/>
    <w:rsid w:val="00A11029"/>
    <w:rsid w:val="00A1344B"/>
    <w:rsid w:val="00A15E41"/>
    <w:rsid w:val="00A20E71"/>
    <w:rsid w:val="00A219E7"/>
    <w:rsid w:val="00A23A53"/>
    <w:rsid w:val="00A2417A"/>
    <w:rsid w:val="00A26D8D"/>
    <w:rsid w:val="00A33AE4"/>
    <w:rsid w:val="00A35180"/>
    <w:rsid w:val="00A3747F"/>
    <w:rsid w:val="00A40884"/>
    <w:rsid w:val="00A429DD"/>
    <w:rsid w:val="00A42C28"/>
    <w:rsid w:val="00A43B6B"/>
    <w:rsid w:val="00A44521"/>
    <w:rsid w:val="00A45C7E"/>
    <w:rsid w:val="00A477E6"/>
    <w:rsid w:val="00A47C1B"/>
    <w:rsid w:val="00A5303B"/>
    <w:rsid w:val="00A5337D"/>
    <w:rsid w:val="00A5374C"/>
    <w:rsid w:val="00A57CE8"/>
    <w:rsid w:val="00A6194D"/>
    <w:rsid w:val="00A64C17"/>
    <w:rsid w:val="00A66CBC"/>
    <w:rsid w:val="00A70990"/>
    <w:rsid w:val="00A717AE"/>
    <w:rsid w:val="00A724FE"/>
    <w:rsid w:val="00A77C8F"/>
    <w:rsid w:val="00A80E2F"/>
    <w:rsid w:val="00A8128E"/>
    <w:rsid w:val="00A844CE"/>
    <w:rsid w:val="00A861A1"/>
    <w:rsid w:val="00A90385"/>
    <w:rsid w:val="00A91EAA"/>
    <w:rsid w:val="00A9264B"/>
    <w:rsid w:val="00A96DCC"/>
    <w:rsid w:val="00AA188F"/>
    <w:rsid w:val="00AA351D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B7E1F"/>
    <w:rsid w:val="00AC2EDB"/>
    <w:rsid w:val="00AC6B72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AF6CF1"/>
    <w:rsid w:val="00B0051A"/>
    <w:rsid w:val="00B034CE"/>
    <w:rsid w:val="00B03DB7"/>
    <w:rsid w:val="00B04957"/>
    <w:rsid w:val="00B04CB8"/>
    <w:rsid w:val="00B06446"/>
    <w:rsid w:val="00B11981"/>
    <w:rsid w:val="00B14841"/>
    <w:rsid w:val="00B16515"/>
    <w:rsid w:val="00B170D8"/>
    <w:rsid w:val="00B214A3"/>
    <w:rsid w:val="00B2361F"/>
    <w:rsid w:val="00B3753B"/>
    <w:rsid w:val="00B447D8"/>
    <w:rsid w:val="00B45A5E"/>
    <w:rsid w:val="00B46A00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04EA"/>
    <w:rsid w:val="00B722B7"/>
    <w:rsid w:val="00B73C63"/>
    <w:rsid w:val="00B74E3D"/>
    <w:rsid w:val="00B753D1"/>
    <w:rsid w:val="00B77BB8"/>
    <w:rsid w:val="00B83186"/>
    <w:rsid w:val="00B83455"/>
    <w:rsid w:val="00B844E8"/>
    <w:rsid w:val="00B84847"/>
    <w:rsid w:val="00B856F7"/>
    <w:rsid w:val="00B9272C"/>
    <w:rsid w:val="00B94B98"/>
    <w:rsid w:val="00B94CAC"/>
    <w:rsid w:val="00B96898"/>
    <w:rsid w:val="00BA06B3"/>
    <w:rsid w:val="00BA49FC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953"/>
    <w:rsid w:val="00BD4AF5"/>
    <w:rsid w:val="00BD73E6"/>
    <w:rsid w:val="00BE0818"/>
    <w:rsid w:val="00BE64A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36FD"/>
    <w:rsid w:val="00C14AFC"/>
    <w:rsid w:val="00C151D0"/>
    <w:rsid w:val="00C1770E"/>
    <w:rsid w:val="00C237F5"/>
    <w:rsid w:val="00C24241"/>
    <w:rsid w:val="00C247D2"/>
    <w:rsid w:val="00C24A70"/>
    <w:rsid w:val="00C24CC7"/>
    <w:rsid w:val="00C27F1D"/>
    <w:rsid w:val="00C30238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1CD1"/>
    <w:rsid w:val="00C62190"/>
    <w:rsid w:val="00C67159"/>
    <w:rsid w:val="00C72018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19D"/>
    <w:rsid w:val="00CC35B4"/>
    <w:rsid w:val="00CC3806"/>
    <w:rsid w:val="00CC76CE"/>
    <w:rsid w:val="00CD09F2"/>
    <w:rsid w:val="00CD0ABD"/>
    <w:rsid w:val="00CD259C"/>
    <w:rsid w:val="00CD6072"/>
    <w:rsid w:val="00CE3DDC"/>
    <w:rsid w:val="00CE63EE"/>
    <w:rsid w:val="00CF0C85"/>
    <w:rsid w:val="00CF16FB"/>
    <w:rsid w:val="00CF2295"/>
    <w:rsid w:val="00CF3BDE"/>
    <w:rsid w:val="00CF7043"/>
    <w:rsid w:val="00D06106"/>
    <w:rsid w:val="00D07ABE"/>
    <w:rsid w:val="00D13A03"/>
    <w:rsid w:val="00D14538"/>
    <w:rsid w:val="00D17203"/>
    <w:rsid w:val="00D22431"/>
    <w:rsid w:val="00D22E7D"/>
    <w:rsid w:val="00D24793"/>
    <w:rsid w:val="00D24B64"/>
    <w:rsid w:val="00D305D7"/>
    <w:rsid w:val="00D307A6"/>
    <w:rsid w:val="00D33C0B"/>
    <w:rsid w:val="00D36C35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57E10"/>
    <w:rsid w:val="00D6072C"/>
    <w:rsid w:val="00D618A3"/>
    <w:rsid w:val="00D72906"/>
    <w:rsid w:val="00D72BC8"/>
    <w:rsid w:val="00D73E07"/>
    <w:rsid w:val="00D74FB2"/>
    <w:rsid w:val="00D80B8A"/>
    <w:rsid w:val="00D826B4"/>
    <w:rsid w:val="00D84566"/>
    <w:rsid w:val="00D87ED5"/>
    <w:rsid w:val="00D92951"/>
    <w:rsid w:val="00D94B05"/>
    <w:rsid w:val="00D9667F"/>
    <w:rsid w:val="00DA1AD0"/>
    <w:rsid w:val="00DA3D06"/>
    <w:rsid w:val="00DA4885"/>
    <w:rsid w:val="00DB17F3"/>
    <w:rsid w:val="00DB2B10"/>
    <w:rsid w:val="00DB4BC5"/>
    <w:rsid w:val="00DB5542"/>
    <w:rsid w:val="00DB6B0C"/>
    <w:rsid w:val="00DB7D1B"/>
    <w:rsid w:val="00DC0CA2"/>
    <w:rsid w:val="00DC176F"/>
    <w:rsid w:val="00DC2B1D"/>
    <w:rsid w:val="00DC77AA"/>
    <w:rsid w:val="00DD0854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25B34"/>
    <w:rsid w:val="00E27A3F"/>
    <w:rsid w:val="00E33B8F"/>
    <w:rsid w:val="00E34D55"/>
    <w:rsid w:val="00E4679F"/>
    <w:rsid w:val="00E51072"/>
    <w:rsid w:val="00E53C1B"/>
    <w:rsid w:val="00E546AA"/>
    <w:rsid w:val="00E54D26"/>
    <w:rsid w:val="00E5708C"/>
    <w:rsid w:val="00E610D6"/>
    <w:rsid w:val="00E636B8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AF9"/>
    <w:rsid w:val="00EA2CE4"/>
    <w:rsid w:val="00EA48D0"/>
    <w:rsid w:val="00EA6DCB"/>
    <w:rsid w:val="00EB158A"/>
    <w:rsid w:val="00EB5ADB"/>
    <w:rsid w:val="00EB6312"/>
    <w:rsid w:val="00EC2B99"/>
    <w:rsid w:val="00EC4322"/>
    <w:rsid w:val="00EC662D"/>
    <w:rsid w:val="00EC700C"/>
    <w:rsid w:val="00ED1BAF"/>
    <w:rsid w:val="00ED6FC5"/>
    <w:rsid w:val="00EE2AF3"/>
    <w:rsid w:val="00EE55B2"/>
    <w:rsid w:val="00EE7DA9"/>
    <w:rsid w:val="00EF34D3"/>
    <w:rsid w:val="00EF369E"/>
    <w:rsid w:val="00EF3E19"/>
    <w:rsid w:val="00EF6B9E"/>
    <w:rsid w:val="00F02637"/>
    <w:rsid w:val="00F037F8"/>
    <w:rsid w:val="00F03BFD"/>
    <w:rsid w:val="00F04FF6"/>
    <w:rsid w:val="00F109FC"/>
    <w:rsid w:val="00F125ED"/>
    <w:rsid w:val="00F1711A"/>
    <w:rsid w:val="00F22112"/>
    <w:rsid w:val="00F2476E"/>
    <w:rsid w:val="00F2561F"/>
    <w:rsid w:val="00F2637D"/>
    <w:rsid w:val="00F342FD"/>
    <w:rsid w:val="00F34E9E"/>
    <w:rsid w:val="00F41684"/>
    <w:rsid w:val="00F44755"/>
    <w:rsid w:val="00F4556C"/>
    <w:rsid w:val="00F455E0"/>
    <w:rsid w:val="00F45E7C"/>
    <w:rsid w:val="00F50FC0"/>
    <w:rsid w:val="00F5115F"/>
    <w:rsid w:val="00F5458D"/>
    <w:rsid w:val="00F54F3A"/>
    <w:rsid w:val="00F61833"/>
    <w:rsid w:val="00F659E1"/>
    <w:rsid w:val="00F6611A"/>
    <w:rsid w:val="00F662BD"/>
    <w:rsid w:val="00F67EB1"/>
    <w:rsid w:val="00F808C5"/>
    <w:rsid w:val="00F832E1"/>
    <w:rsid w:val="00F85369"/>
    <w:rsid w:val="00F93DC9"/>
    <w:rsid w:val="00F94872"/>
    <w:rsid w:val="00F967E0"/>
    <w:rsid w:val="00F96A6A"/>
    <w:rsid w:val="00FA1A25"/>
    <w:rsid w:val="00FA5C91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1E86"/>
    <w:rsid w:val="00FD554D"/>
    <w:rsid w:val="00FD5B24"/>
    <w:rsid w:val="00FE2CB4"/>
    <w:rsid w:val="00FE31E9"/>
    <w:rsid w:val="00FE362B"/>
    <w:rsid w:val="00FE37EF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D8971E-A33C-4A06-8BED-D231CA0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SP11131117">
    <w:name w:val="SP.11.131117"/>
    <w:basedOn w:val="Normal"/>
    <w:next w:val="Normal"/>
    <w:uiPriority w:val="99"/>
    <w:rsid w:val="0031269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31159">
    <w:name w:val="SP.11.131159"/>
    <w:basedOn w:val="Normal"/>
    <w:next w:val="Normal"/>
    <w:uiPriority w:val="99"/>
    <w:rsid w:val="0031269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31137">
    <w:name w:val="SP.11.131137"/>
    <w:basedOn w:val="Normal"/>
    <w:next w:val="Normal"/>
    <w:uiPriority w:val="99"/>
    <w:rsid w:val="0031269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323600">
    <w:name w:val="SC.11.323600"/>
    <w:uiPriority w:val="99"/>
    <w:rsid w:val="00312694"/>
    <w:rPr>
      <w:color w:val="000000"/>
      <w:sz w:val="20"/>
      <w:szCs w:val="20"/>
    </w:rPr>
  </w:style>
  <w:style w:type="paragraph" w:customStyle="1" w:styleId="BodyText">
    <w:name w:val="BodyText"/>
    <w:basedOn w:val="Normal"/>
    <w:uiPriority w:val="99"/>
    <w:qFormat/>
    <w:rsid w:val="002B366B"/>
    <w:pPr>
      <w:spacing w:before="120" w:after="120"/>
      <w:jc w:val="both"/>
    </w:pPr>
    <w:rPr>
      <w:rFonts w:eastAsia="Batang"/>
    </w:rPr>
  </w:style>
  <w:style w:type="paragraph" w:customStyle="1" w:styleId="SP11131119">
    <w:name w:val="SP.11.131119"/>
    <w:basedOn w:val="Normal"/>
    <w:next w:val="Normal"/>
    <w:uiPriority w:val="99"/>
    <w:rsid w:val="003C3A0C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31146">
    <w:name w:val="SP.11.131146"/>
    <w:basedOn w:val="Normal"/>
    <w:next w:val="Normal"/>
    <w:uiPriority w:val="99"/>
    <w:rsid w:val="003C3A0C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FD48-0695-4CCA-899F-3E6FF727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LB200</vt:lpstr>
    </vt:vector>
  </TitlesOfParts>
  <Company>Cisco Systems</Company>
  <LinksUpToDate>false</LinksUpToDate>
  <CharactersWithSpaces>5121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Young Hoon Kwon</cp:lastModifiedBy>
  <cp:revision>11</cp:revision>
  <cp:lastPrinted>2010-05-04T03:47:00Z</cp:lastPrinted>
  <dcterms:created xsi:type="dcterms:W3CDTF">2016-07-27T00:17:00Z</dcterms:created>
  <dcterms:modified xsi:type="dcterms:W3CDTF">2016-11-05T18:17:00Z</dcterms:modified>
</cp:coreProperties>
</file>