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1E6098" w:rsidRPr="00183F4C" w:rsidRDefault="00D53325" w:rsidP="0083265C">
            <w:pPr>
              <w:pStyle w:val="T2"/>
              <w:rPr>
                <w:lang w:eastAsia="ko-KR"/>
              </w:rPr>
            </w:pPr>
            <w:r>
              <w:rPr>
                <w:lang w:eastAsia="ko-KR"/>
              </w:rPr>
              <w:t>11ax D0.1</w:t>
            </w:r>
            <w:r w:rsidR="00C723BC">
              <w:rPr>
                <w:rFonts w:hint="eastAsia"/>
                <w:lang w:eastAsia="ko-KR"/>
              </w:rPr>
              <w:t xml:space="preserve"> </w:t>
            </w:r>
            <w:r>
              <w:rPr>
                <w:lang w:eastAsia="ko-KR"/>
              </w:rPr>
              <w:t xml:space="preserve">Comment Resolution for </w:t>
            </w:r>
            <w:r w:rsidR="001E6098">
              <w:rPr>
                <w:lang w:eastAsia="ko-KR"/>
              </w:rPr>
              <w:t xml:space="preserve">CID </w:t>
            </w:r>
            <w:r w:rsidR="0083265C">
              <w:rPr>
                <w:lang w:eastAsia="ko-KR"/>
              </w:rPr>
              <w:t>59, 2652, and 2653</w:t>
            </w:r>
          </w:p>
        </w:tc>
      </w:tr>
      <w:tr w:rsidR="00C723BC" w:rsidRPr="00183F4C" w:rsidTr="00B034CE">
        <w:trPr>
          <w:trHeight w:val="359"/>
          <w:jc w:val="center"/>
        </w:trPr>
        <w:tc>
          <w:tcPr>
            <w:tcW w:w="9576" w:type="dxa"/>
            <w:gridSpan w:val="5"/>
            <w:vAlign w:val="center"/>
          </w:tcPr>
          <w:p w:rsidR="00C723BC" w:rsidRPr="00183F4C" w:rsidRDefault="00C723BC" w:rsidP="00C30238">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83265C">
              <w:rPr>
                <w:b w:val="0"/>
                <w:sz w:val="20"/>
                <w:lang w:eastAsia="ko-KR"/>
              </w:rPr>
              <w:t>11</w:t>
            </w:r>
            <w:r>
              <w:rPr>
                <w:rFonts w:hint="eastAsia"/>
                <w:b w:val="0"/>
                <w:sz w:val="20"/>
                <w:lang w:eastAsia="ko-KR"/>
              </w:rPr>
              <w:t>-</w:t>
            </w:r>
            <w:r w:rsidR="0083265C">
              <w:rPr>
                <w:b w:val="0"/>
                <w:sz w:val="20"/>
                <w:lang w:eastAsia="ko-KR"/>
              </w:rPr>
              <w:t>07</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proofErr w:type="spellStart"/>
            <w:r w:rsidRPr="00B034CE">
              <w:rPr>
                <w:rFonts w:hint="eastAsia"/>
                <w:b w:val="0"/>
                <w:sz w:val="18"/>
                <w:szCs w:val="18"/>
                <w:lang w:eastAsia="ko-KR"/>
              </w:rPr>
              <w:t>N</w:t>
            </w:r>
            <w:r w:rsidRPr="00B034CE">
              <w:rPr>
                <w:b w:val="0"/>
                <w:sz w:val="18"/>
                <w:szCs w:val="18"/>
                <w:lang w:eastAsia="ko-KR"/>
              </w:rPr>
              <w:t>ewracom</w:t>
            </w:r>
            <w:proofErr w:type="spellEnd"/>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 xml:space="preserve">9008 Research </w:t>
            </w:r>
            <w:proofErr w:type="spellStart"/>
            <w:r w:rsidRPr="00B034CE">
              <w:rPr>
                <w:b w:val="0"/>
                <w:sz w:val="18"/>
                <w:szCs w:val="18"/>
                <w:lang w:eastAsia="ko-KR"/>
              </w:rPr>
              <w:t>Dr.</w:t>
            </w:r>
            <w:proofErr w:type="spellEnd"/>
            <w:r w:rsidRPr="00B034CE">
              <w:rPr>
                <w:b w:val="0"/>
                <w:sz w:val="18"/>
                <w:szCs w:val="18"/>
                <w:lang w:eastAsia="ko-KR"/>
              </w:rPr>
              <w:t>,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4A201A">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1E6098">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1E6098">
                              <w:rPr>
                                <w:lang w:eastAsia="ko-KR"/>
                              </w:rPr>
                              <w:t>25.</w:t>
                            </w:r>
                            <w:r w:rsidR="0083265C">
                              <w:rPr>
                                <w:lang w:eastAsia="ko-KR"/>
                              </w:rPr>
                              <w:t>5.2.6</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w:t>
                            </w:r>
                            <w:r w:rsidR="0083265C">
                              <w:rPr>
                                <w:lang w:eastAsia="ko-KR"/>
                              </w:rPr>
                              <w:t>1</w:t>
                            </w:r>
                            <w:r>
                              <w:rPr>
                                <w:lang w:eastAsia="ko-KR"/>
                              </w:rPr>
                              <w:t xml:space="preserve"> with </w:t>
                            </w:r>
                            <w:r w:rsidR="001E6098">
                              <w:rPr>
                                <w:lang w:eastAsia="ko-KR"/>
                              </w:rPr>
                              <w:t xml:space="preserve">CIDs </w:t>
                            </w:r>
                            <w:r w:rsidR="0083265C">
                              <w:rPr>
                                <w:lang w:eastAsia="ko-KR"/>
                              </w:rPr>
                              <w:t>59, 2652, and 2653</w:t>
                            </w:r>
                            <w:r w:rsidR="001E6098">
                              <w:rPr>
                                <w:lang w:eastAsia="ko-KR"/>
                              </w:rPr>
                              <w:t>.</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1E6098">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1E6098">
                        <w:rPr>
                          <w:lang w:eastAsia="ko-KR"/>
                        </w:rPr>
                        <w:t>25.</w:t>
                      </w:r>
                      <w:r w:rsidR="0083265C">
                        <w:rPr>
                          <w:lang w:eastAsia="ko-KR"/>
                        </w:rPr>
                        <w:t>5.2.6</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w:t>
                      </w:r>
                      <w:r w:rsidR="0083265C">
                        <w:rPr>
                          <w:lang w:eastAsia="ko-KR"/>
                        </w:rPr>
                        <w:t>1</w:t>
                      </w:r>
                      <w:r>
                        <w:rPr>
                          <w:lang w:eastAsia="ko-KR"/>
                        </w:rPr>
                        <w:t xml:space="preserve"> with </w:t>
                      </w:r>
                      <w:r w:rsidR="001E6098">
                        <w:rPr>
                          <w:lang w:eastAsia="ko-KR"/>
                        </w:rPr>
                        <w:t xml:space="preserve">CIDs </w:t>
                      </w:r>
                      <w:r w:rsidR="0083265C">
                        <w:rPr>
                          <w:lang w:eastAsia="ko-KR"/>
                        </w:rPr>
                        <w:t>59, 2652, and 2653</w:t>
                      </w:r>
                      <w:r w:rsidR="001E6098">
                        <w:rPr>
                          <w:lang w:eastAsia="ko-KR"/>
                        </w:rPr>
                        <w:t>.</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3C3A0C" w:rsidRDefault="003C3A0C" w:rsidP="00F2637D">
      <w:pPr>
        <w:rPr>
          <w:b/>
          <w:bCs/>
          <w:i/>
          <w:iCs/>
          <w:lang w:eastAsia="ko-K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85"/>
        <w:gridCol w:w="824"/>
        <w:gridCol w:w="2866"/>
        <w:gridCol w:w="2430"/>
        <w:gridCol w:w="2520"/>
      </w:tblGrid>
      <w:tr w:rsidR="00C30238" w:rsidRPr="00C30238" w:rsidTr="00C30238">
        <w:trPr>
          <w:trHeight w:val="206"/>
        </w:trPr>
        <w:tc>
          <w:tcPr>
            <w:tcW w:w="58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CID</w:t>
            </w:r>
          </w:p>
        </w:tc>
        <w:tc>
          <w:tcPr>
            <w:tcW w:w="585" w:type="dxa"/>
            <w:shd w:val="clear" w:color="auto" w:fill="auto"/>
            <w:hideMark/>
          </w:tcPr>
          <w:p w:rsidR="00C30238" w:rsidRPr="00C30238" w:rsidRDefault="00C30238" w:rsidP="0083265C">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w:t>
            </w:r>
            <w:r w:rsidR="0083265C">
              <w:rPr>
                <w:rFonts w:ascii="Calibri" w:eastAsia="Times New Roman" w:hAnsi="Calibri" w:cs="Arial"/>
                <w:b/>
                <w:bCs/>
                <w:sz w:val="16"/>
                <w:szCs w:val="16"/>
                <w:lang w:val="en-US" w:eastAsia="ko-KR"/>
              </w:rPr>
              <w:t>.L</w:t>
            </w:r>
          </w:p>
        </w:tc>
        <w:tc>
          <w:tcPr>
            <w:tcW w:w="824"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Clause</w:t>
            </w:r>
          </w:p>
        </w:tc>
        <w:tc>
          <w:tcPr>
            <w:tcW w:w="2866"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Comment</w:t>
            </w:r>
          </w:p>
        </w:tc>
        <w:tc>
          <w:tcPr>
            <w:tcW w:w="243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Proposed Change</w:t>
            </w:r>
          </w:p>
        </w:tc>
        <w:tc>
          <w:tcPr>
            <w:tcW w:w="252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Resolution</w:t>
            </w:r>
          </w:p>
        </w:tc>
      </w:tr>
      <w:tr w:rsidR="0083265C" w:rsidRPr="00C30238" w:rsidTr="0083265C">
        <w:trPr>
          <w:trHeight w:val="647"/>
        </w:trPr>
        <w:tc>
          <w:tcPr>
            <w:tcW w:w="580"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59</w:t>
            </w:r>
          </w:p>
        </w:tc>
        <w:tc>
          <w:tcPr>
            <w:tcW w:w="585"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60.1</w:t>
            </w:r>
          </w:p>
        </w:tc>
        <w:tc>
          <w:tcPr>
            <w:tcW w:w="824"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25.5.2.6</w:t>
            </w:r>
          </w:p>
        </w:tc>
        <w:tc>
          <w:tcPr>
            <w:tcW w:w="2866" w:type="dxa"/>
            <w:shd w:val="clear" w:color="auto" w:fill="auto"/>
          </w:tcPr>
          <w:p w:rsidR="0083265C" w:rsidRPr="0083265C" w:rsidRDefault="0083265C" w:rsidP="0083265C">
            <w:pPr>
              <w:rPr>
                <w:rFonts w:ascii="Calibri" w:eastAsia="Times New Roman" w:hAnsi="Calibri" w:cs="Arial"/>
                <w:sz w:val="16"/>
                <w:szCs w:val="16"/>
                <w:lang w:val="en-US" w:eastAsia="ko-KR"/>
              </w:rPr>
            </w:pPr>
            <w:r w:rsidRPr="0083265C">
              <w:rPr>
                <w:rFonts w:ascii="Calibri" w:eastAsia="Times New Roman" w:hAnsi="Calibri" w:cs="Arial"/>
                <w:sz w:val="16"/>
                <w:szCs w:val="16"/>
                <w:lang w:val="en-US" w:eastAsia="ko-KR"/>
              </w:rPr>
              <w:t xml:space="preserve">Specify what group-addresses should be used to identify the RUs </w:t>
            </w:r>
            <w:proofErr w:type="spellStart"/>
            <w:r w:rsidRPr="0083265C">
              <w:rPr>
                <w:rFonts w:ascii="Calibri" w:eastAsia="Times New Roman" w:hAnsi="Calibri" w:cs="Arial"/>
                <w:sz w:val="16"/>
                <w:szCs w:val="16"/>
                <w:lang w:val="en-US" w:eastAsia="ko-KR"/>
              </w:rPr>
              <w:t>availabe</w:t>
            </w:r>
            <w:proofErr w:type="spellEnd"/>
            <w:r w:rsidRPr="0083265C">
              <w:rPr>
                <w:rFonts w:ascii="Calibri" w:eastAsia="Times New Roman" w:hAnsi="Calibri" w:cs="Arial"/>
                <w:sz w:val="16"/>
                <w:szCs w:val="16"/>
                <w:lang w:val="en-US" w:eastAsia="ko-KR"/>
              </w:rPr>
              <w:t xml:space="preserve"> for random access. Also related to 9.3.1.23.</w:t>
            </w:r>
          </w:p>
        </w:tc>
        <w:tc>
          <w:tcPr>
            <w:tcW w:w="2430" w:type="dxa"/>
            <w:shd w:val="clear" w:color="auto" w:fill="auto"/>
          </w:tcPr>
          <w:p w:rsidR="0083265C" w:rsidRPr="0083265C" w:rsidRDefault="0083265C" w:rsidP="0083265C">
            <w:pPr>
              <w:rPr>
                <w:rFonts w:ascii="Calibri" w:eastAsia="Times New Roman" w:hAnsi="Calibri" w:cs="Arial"/>
                <w:sz w:val="16"/>
                <w:szCs w:val="16"/>
                <w:lang w:val="en-US" w:eastAsia="ko-KR"/>
              </w:rPr>
            </w:pPr>
            <w:r w:rsidRPr="0083265C">
              <w:rPr>
                <w:rFonts w:ascii="Calibri" w:eastAsia="Times New Roman" w:hAnsi="Calibri" w:cs="Arial"/>
                <w:sz w:val="16"/>
                <w:szCs w:val="16"/>
                <w:lang w:val="en-US" w:eastAsia="ko-KR"/>
              </w:rPr>
              <w:t>As in the comment.</w:t>
            </w:r>
          </w:p>
        </w:tc>
        <w:tc>
          <w:tcPr>
            <w:tcW w:w="2520" w:type="dxa"/>
            <w:shd w:val="clear" w:color="auto" w:fill="auto"/>
          </w:tcPr>
          <w:p w:rsidR="0083265C"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83265C" w:rsidRDefault="0083265C" w:rsidP="0083265C">
            <w:pPr>
              <w:rPr>
                <w:rFonts w:ascii="Calibri" w:eastAsia="Times New Roman" w:hAnsi="Calibri" w:cs="Arial"/>
                <w:sz w:val="16"/>
                <w:szCs w:val="16"/>
                <w:lang w:val="en-US" w:eastAsia="ko-KR"/>
              </w:rPr>
            </w:pPr>
          </w:p>
          <w:p w:rsidR="00F709EA" w:rsidRDefault="00A469E7" w:rsidP="00A469E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Specific </w:t>
            </w:r>
            <w:proofErr w:type="spellStart"/>
            <w:r>
              <w:rPr>
                <w:rFonts w:ascii="Calibri" w:eastAsia="Times New Roman" w:hAnsi="Calibri" w:cs="Arial"/>
                <w:sz w:val="16"/>
                <w:szCs w:val="16"/>
                <w:lang w:val="en-US" w:eastAsia="ko-KR"/>
              </w:rPr>
              <w:t>grop</w:t>
            </w:r>
            <w:proofErr w:type="spellEnd"/>
            <w:r>
              <w:rPr>
                <w:rFonts w:ascii="Calibri" w:eastAsia="Times New Roman" w:hAnsi="Calibri" w:cs="Arial"/>
                <w:sz w:val="16"/>
                <w:szCs w:val="16"/>
                <w:lang w:val="en-US" w:eastAsia="ko-KR"/>
              </w:rPr>
              <w:t xml:space="preserve"> address should be assigned for random access RU.</w:t>
            </w:r>
          </w:p>
          <w:p w:rsidR="00A469E7" w:rsidRDefault="00A469E7" w:rsidP="00A469E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For this purpose, </w:t>
            </w:r>
            <w:r w:rsidR="00F709EA">
              <w:rPr>
                <w:rFonts w:ascii="Calibri" w:eastAsia="Times New Roman" w:hAnsi="Calibri" w:cs="Arial"/>
                <w:sz w:val="16"/>
                <w:szCs w:val="16"/>
                <w:lang w:val="en-US" w:eastAsia="ko-KR"/>
              </w:rPr>
              <w:t xml:space="preserve">resolution for CID 558 already resolved this issue in a way that </w:t>
            </w:r>
            <w:r>
              <w:rPr>
                <w:rFonts w:ascii="Calibri" w:eastAsia="Times New Roman" w:hAnsi="Calibri" w:cs="Arial"/>
                <w:sz w:val="16"/>
                <w:szCs w:val="16"/>
                <w:lang w:val="en-US" w:eastAsia="ko-KR"/>
              </w:rPr>
              <w:t>a value of 0 is assigned for random access RU for AID12 subfield of a Trigger frame</w:t>
            </w:r>
            <w:r w:rsidR="00F709EA">
              <w:rPr>
                <w:rFonts w:ascii="Calibri" w:eastAsia="Times New Roman" w:hAnsi="Calibri" w:cs="Arial"/>
                <w:sz w:val="16"/>
                <w:szCs w:val="16"/>
                <w:lang w:val="en-US" w:eastAsia="ko-KR"/>
              </w:rPr>
              <w:t>.</w:t>
            </w:r>
          </w:p>
          <w:p w:rsidR="00A469E7" w:rsidRDefault="00A469E7" w:rsidP="00A469E7">
            <w:pPr>
              <w:rPr>
                <w:rFonts w:ascii="Calibri" w:eastAsia="Times New Roman" w:hAnsi="Calibri" w:cs="Arial"/>
                <w:sz w:val="16"/>
                <w:szCs w:val="16"/>
                <w:lang w:val="en-US" w:eastAsia="ko-KR"/>
              </w:rPr>
            </w:pPr>
          </w:p>
          <w:p w:rsidR="0083265C" w:rsidRPr="00F709EA" w:rsidRDefault="00A469E7" w:rsidP="00A469E7">
            <w:pPr>
              <w:rPr>
                <w:rFonts w:ascii="Calibri" w:eastAsia="Times New Roman" w:hAnsi="Calibri" w:cs="Arial"/>
                <w:b/>
                <w:sz w:val="16"/>
                <w:szCs w:val="16"/>
                <w:lang w:val="en-US" w:eastAsia="ko-KR"/>
              </w:rPr>
            </w:pPr>
            <w:r w:rsidRPr="00F709EA">
              <w:rPr>
                <w:rFonts w:ascii="Calibri" w:eastAsia="Times New Roman" w:hAnsi="Calibri" w:cs="Arial"/>
                <w:b/>
                <w:sz w:val="16"/>
                <w:szCs w:val="16"/>
                <w:lang w:val="en-US" w:eastAsia="ko-KR"/>
              </w:rPr>
              <w:t xml:space="preserve">Note: Already accounted for in D0.5 </w:t>
            </w:r>
            <w:r w:rsidR="00F709EA" w:rsidRPr="00F709EA">
              <w:rPr>
                <w:rFonts w:ascii="Calibri" w:eastAsia="Times New Roman" w:hAnsi="Calibri" w:cs="Arial"/>
                <w:b/>
                <w:sz w:val="16"/>
                <w:szCs w:val="16"/>
                <w:lang w:val="en-US" w:eastAsia="ko-KR"/>
              </w:rPr>
              <w:t xml:space="preserve">so no further action is required by the </w:t>
            </w:r>
            <w:proofErr w:type="spellStart"/>
            <w:r w:rsidR="00F709EA" w:rsidRPr="00F709EA">
              <w:rPr>
                <w:rFonts w:ascii="Calibri" w:eastAsia="Times New Roman" w:hAnsi="Calibri" w:cs="Arial"/>
                <w:b/>
                <w:sz w:val="16"/>
                <w:szCs w:val="16"/>
                <w:lang w:val="en-US" w:eastAsia="ko-KR"/>
              </w:rPr>
              <w:t>TGax</w:t>
            </w:r>
            <w:proofErr w:type="spellEnd"/>
            <w:r w:rsidR="00F709EA" w:rsidRPr="00F709EA">
              <w:rPr>
                <w:rFonts w:ascii="Calibri" w:eastAsia="Times New Roman" w:hAnsi="Calibri" w:cs="Arial"/>
                <w:b/>
                <w:sz w:val="16"/>
                <w:szCs w:val="16"/>
                <w:lang w:val="en-US" w:eastAsia="ko-KR"/>
              </w:rPr>
              <w:t xml:space="preserve"> editor.</w:t>
            </w:r>
          </w:p>
          <w:p w:rsidR="00F709EA" w:rsidRDefault="00F709EA" w:rsidP="00A469E7">
            <w:pPr>
              <w:rPr>
                <w:rFonts w:ascii="Calibri" w:eastAsia="Times New Roman" w:hAnsi="Calibri" w:cs="Arial"/>
                <w:sz w:val="16"/>
                <w:szCs w:val="16"/>
                <w:lang w:val="en-US" w:eastAsia="ko-KR"/>
              </w:rPr>
            </w:pPr>
          </w:p>
          <w:p w:rsidR="00F709EA" w:rsidRPr="00C30238" w:rsidRDefault="00F709EA" w:rsidP="00A469E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11-16/0780r1 listed under CID 558.</w:t>
            </w:r>
          </w:p>
        </w:tc>
      </w:tr>
      <w:tr w:rsidR="0083265C" w:rsidRPr="00C30238" w:rsidTr="0083265C">
        <w:trPr>
          <w:trHeight w:val="3851"/>
        </w:trPr>
        <w:tc>
          <w:tcPr>
            <w:tcW w:w="580"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2652</w:t>
            </w:r>
          </w:p>
        </w:tc>
        <w:tc>
          <w:tcPr>
            <w:tcW w:w="585"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59.62</w:t>
            </w:r>
          </w:p>
        </w:tc>
        <w:tc>
          <w:tcPr>
            <w:tcW w:w="824"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25.5.2.6</w:t>
            </w:r>
          </w:p>
        </w:tc>
        <w:tc>
          <w:tcPr>
            <w:tcW w:w="2866" w:type="dxa"/>
            <w:shd w:val="clear" w:color="auto" w:fill="auto"/>
          </w:tcPr>
          <w:p w:rsidR="0083265C" w:rsidRPr="0083265C" w:rsidRDefault="0083265C" w:rsidP="0083265C">
            <w:pPr>
              <w:rPr>
                <w:rFonts w:ascii="Calibri" w:eastAsia="Times New Roman" w:hAnsi="Calibri" w:cs="Arial"/>
                <w:sz w:val="16"/>
                <w:szCs w:val="16"/>
                <w:lang w:val="en-US" w:eastAsia="ko-KR"/>
              </w:rPr>
            </w:pPr>
            <w:r w:rsidRPr="0083265C">
              <w:rPr>
                <w:rFonts w:ascii="Calibri" w:eastAsia="Times New Roman" w:hAnsi="Calibri" w:cs="Arial"/>
                <w:sz w:val="16"/>
                <w:szCs w:val="16"/>
                <w:lang w:val="en-US" w:eastAsia="ko-KR"/>
              </w:rPr>
              <w:t xml:space="preserve">Mechanism for soliciting simultaneous CTS responses from random access channel is needed. Random access channel can be a good candidate for identifying STAs that have uplink buffered BU to send when an AP does not have any information on this. However, this also implies that random access channel will be frequently used at the beginning of UL transmission (before an AP allocating </w:t>
            </w:r>
            <w:proofErr w:type="spellStart"/>
            <w:r w:rsidRPr="0083265C">
              <w:rPr>
                <w:rFonts w:ascii="Calibri" w:eastAsia="Times New Roman" w:hAnsi="Calibri" w:cs="Arial"/>
                <w:sz w:val="16"/>
                <w:szCs w:val="16"/>
                <w:lang w:val="en-US" w:eastAsia="ko-KR"/>
              </w:rPr>
              <w:t>resoures</w:t>
            </w:r>
            <w:proofErr w:type="spellEnd"/>
            <w:r w:rsidRPr="0083265C">
              <w:rPr>
                <w:rFonts w:ascii="Calibri" w:eastAsia="Times New Roman" w:hAnsi="Calibri" w:cs="Arial"/>
                <w:sz w:val="16"/>
                <w:szCs w:val="16"/>
                <w:lang w:val="en-US" w:eastAsia="ko-KR"/>
              </w:rPr>
              <w:t xml:space="preserve"> for UL data transmission). Then, it is required for the serving AP to protect the whole UL MU transmission duration from both AP and STAs side when the AP sets up the TXOP. However, as there's no specific STA known before random access channel transmission by its nature, a robust protection mechanism that sets NAV not only from AP side but also from participating STAs side is needed. (If regular MU-RTS/CTS sequence is used, the AP needs to include almost every STA to send CTS frame without knowing if the STA has buffered UL data to send, which is not practical.)</w:t>
            </w:r>
          </w:p>
        </w:tc>
        <w:tc>
          <w:tcPr>
            <w:tcW w:w="2430" w:type="dxa"/>
            <w:shd w:val="clear" w:color="auto" w:fill="auto"/>
          </w:tcPr>
          <w:p w:rsidR="0083265C" w:rsidRPr="0083265C" w:rsidRDefault="0083265C" w:rsidP="0083265C">
            <w:pPr>
              <w:rPr>
                <w:rFonts w:ascii="Calibri" w:eastAsia="Times New Roman" w:hAnsi="Calibri" w:cs="Arial"/>
                <w:sz w:val="16"/>
                <w:szCs w:val="16"/>
                <w:lang w:val="en-US" w:eastAsia="ko-KR"/>
              </w:rPr>
            </w:pPr>
            <w:r w:rsidRPr="0083265C">
              <w:rPr>
                <w:rFonts w:ascii="Calibri" w:eastAsia="Times New Roman" w:hAnsi="Calibri" w:cs="Arial"/>
                <w:sz w:val="16"/>
                <w:szCs w:val="16"/>
                <w:lang w:val="en-US" w:eastAsia="ko-KR"/>
              </w:rPr>
              <w:t>Provide a mechanism that can solicit simultaneous CTS responses from random access channel.</w:t>
            </w:r>
          </w:p>
        </w:tc>
        <w:tc>
          <w:tcPr>
            <w:tcW w:w="2520" w:type="dxa"/>
            <w:shd w:val="clear" w:color="auto" w:fill="auto"/>
          </w:tcPr>
          <w:p w:rsidR="0083265C" w:rsidRDefault="00F709EA"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F709EA" w:rsidRDefault="00F709EA" w:rsidP="0083265C">
            <w:pPr>
              <w:rPr>
                <w:rFonts w:ascii="Calibri" w:eastAsia="Times New Roman" w:hAnsi="Calibri" w:cs="Arial"/>
                <w:sz w:val="16"/>
                <w:szCs w:val="16"/>
                <w:lang w:val="en-US" w:eastAsia="ko-KR"/>
              </w:rPr>
            </w:pPr>
          </w:p>
          <w:p w:rsidR="00F709EA" w:rsidRPr="00C30238" w:rsidRDefault="00F709EA" w:rsidP="00F709EA">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Because a serving AP cannot identify which STAs will participate random access channel, to support a mechanism that can solicit simultaneous CTS responses from multiple STAs for random access channel, the AP may need to indicate broadcast address, which may result in over-protection of the wireless medium.</w:t>
            </w:r>
          </w:p>
        </w:tc>
      </w:tr>
      <w:tr w:rsidR="0083265C" w:rsidRPr="00C30238" w:rsidTr="00C30238">
        <w:trPr>
          <w:trHeight w:val="1070"/>
        </w:trPr>
        <w:tc>
          <w:tcPr>
            <w:tcW w:w="580"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2653</w:t>
            </w:r>
          </w:p>
        </w:tc>
        <w:tc>
          <w:tcPr>
            <w:tcW w:w="585"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60.28</w:t>
            </w:r>
          </w:p>
        </w:tc>
        <w:tc>
          <w:tcPr>
            <w:tcW w:w="824" w:type="dxa"/>
            <w:shd w:val="clear" w:color="auto" w:fill="auto"/>
          </w:tcPr>
          <w:p w:rsidR="0083265C" w:rsidRPr="001E6098" w:rsidRDefault="0083265C"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25.5.2.6</w:t>
            </w:r>
          </w:p>
        </w:tc>
        <w:tc>
          <w:tcPr>
            <w:tcW w:w="2866" w:type="dxa"/>
            <w:shd w:val="clear" w:color="auto" w:fill="auto"/>
          </w:tcPr>
          <w:p w:rsidR="0083265C" w:rsidRPr="0083265C" w:rsidRDefault="0083265C" w:rsidP="0083265C">
            <w:pPr>
              <w:rPr>
                <w:rFonts w:ascii="Calibri" w:eastAsia="Times New Roman" w:hAnsi="Calibri" w:cs="Arial"/>
                <w:sz w:val="16"/>
                <w:szCs w:val="16"/>
                <w:lang w:val="en-US" w:eastAsia="ko-KR"/>
              </w:rPr>
            </w:pPr>
            <w:r w:rsidRPr="0083265C">
              <w:rPr>
                <w:rFonts w:ascii="Calibri" w:eastAsia="Times New Roman" w:hAnsi="Calibri" w:cs="Arial"/>
                <w:sz w:val="16"/>
                <w:szCs w:val="16"/>
                <w:lang w:val="en-US" w:eastAsia="ko-KR"/>
              </w:rPr>
              <w:t xml:space="preserve">In conventional </w:t>
            </w:r>
            <w:proofErr w:type="spellStart"/>
            <w:r w:rsidRPr="0083265C">
              <w:rPr>
                <w:rFonts w:ascii="Calibri" w:eastAsia="Times New Roman" w:hAnsi="Calibri" w:cs="Arial"/>
                <w:sz w:val="16"/>
                <w:szCs w:val="16"/>
                <w:lang w:val="en-US" w:eastAsia="ko-KR"/>
              </w:rPr>
              <w:t>backoff</w:t>
            </w:r>
            <w:proofErr w:type="spellEnd"/>
            <w:r w:rsidRPr="0083265C">
              <w:rPr>
                <w:rFonts w:ascii="Calibri" w:eastAsia="Times New Roman" w:hAnsi="Calibri" w:cs="Arial"/>
                <w:sz w:val="16"/>
                <w:szCs w:val="16"/>
                <w:lang w:val="en-US" w:eastAsia="ko-KR"/>
              </w:rPr>
              <w:t xml:space="preserve"> mechanism, there are multiple contention windows based on the </w:t>
            </w:r>
            <w:proofErr w:type="spellStart"/>
            <w:r w:rsidRPr="0083265C">
              <w:rPr>
                <w:rFonts w:ascii="Calibri" w:eastAsia="Times New Roman" w:hAnsi="Calibri" w:cs="Arial"/>
                <w:sz w:val="16"/>
                <w:szCs w:val="16"/>
                <w:lang w:val="en-US" w:eastAsia="ko-KR"/>
              </w:rPr>
              <w:t>QoS</w:t>
            </w:r>
            <w:proofErr w:type="spellEnd"/>
            <w:r w:rsidRPr="0083265C">
              <w:rPr>
                <w:rFonts w:ascii="Calibri" w:eastAsia="Times New Roman" w:hAnsi="Calibri" w:cs="Arial"/>
                <w:sz w:val="16"/>
                <w:szCs w:val="16"/>
                <w:lang w:val="en-US" w:eastAsia="ko-KR"/>
              </w:rPr>
              <w:t xml:space="preserve"> class. However, it is not clear which STA is allowed to participate the random </w:t>
            </w:r>
            <w:proofErr w:type="spellStart"/>
            <w:r w:rsidRPr="0083265C">
              <w:rPr>
                <w:rFonts w:ascii="Calibri" w:eastAsia="Times New Roman" w:hAnsi="Calibri" w:cs="Arial"/>
                <w:sz w:val="16"/>
                <w:szCs w:val="16"/>
                <w:lang w:val="en-US" w:eastAsia="ko-KR"/>
              </w:rPr>
              <w:t>accss</w:t>
            </w:r>
            <w:proofErr w:type="spellEnd"/>
            <w:r w:rsidRPr="0083265C">
              <w:rPr>
                <w:rFonts w:ascii="Calibri" w:eastAsia="Times New Roman" w:hAnsi="Calibri" w:cs="Arial"/>
                <w:sz w:val="16"/>
                <w:szCs w:val="16"/>
                <w:lang w:val="en-US" w:eastAsia="ko-KR"/>
              </w:rPr>
              <w:t xml:space="preserve"> and how </w:t>
            </w:r>
            <w:r w:rsidRPr="0083265C">
              <w:rPr>
                <w:rFonts w:ascii="Calibri" w:eastAsia="Times New Roman" w:hAnsi="Calibri" w:cs="Arial"/>
                <w:sz w:val="16"/>
                <w:szCs w:val="16"/>
                <w:lang w:val="en-US" w:eastAsia="ko-KR"/>
              </w:rPr>
              <w:lastRenderedPageBreak/>
              <w:t xml:space="preserve">to differentiate the contention windows based on STA's </w:t>
            </w:r>
            <w:proofErr w:type="spellStart"/>
            <w:r w:rsidRPr="0083265C">
              <w:rPr>
                <w:rFonts w:ascii="Calibri" w:eastAsia="Times New Roman" w:hAnsi="Calibri" w:cs="Arial"/>
                <w:sz w:val="16"/>
                <w:szCs w:val="16"/>
                <w:lang w:val="en-US" w:eastAsia="ko-KR"/>
              </w:rPr>
              <w:t>QoS</w:t>
            </w:r>
            <w:proofErr w:type="spellEnd"/>
            <w:r w:rsidRPr="0083265C">
              <w:rPr>
                <w:rFonts w:ascii="Calibri" w:eastAsia="Times New Roman" w:hAnsi="Calibri" w:cs="Arial"/>
                <w:sz w:val="16"/>
                <w:szCs w:val="16"/>
                <w:lang w:val="en-US" w:eastAsia="ko-KR"/>
              </w:rPr>
              <w:t xml:space="preserve"> class or TID. Therefore, how to define </w:t>
            </w:r>
            <w:proofErr w:type="spellStart"/>
            <w:r w:rsidRPr="0083265C">
              <w:rPr>
                <w:rFonts w:ascii="Calibri" w:eastAsia="Times New Roman" w:hAnsi="Calibri" w:cs="Arial"/>
                <w:sz w:val="16"/>
                <w:szCs w:val="16"/>
                <w:lang w:val="en-US" w:eastAsia="ko-KR"/>
              </w:rPr>
              <w:t>OCWmin</w:t>
            </w:r>
            <w:proofErr w:type="spellEnd"/>
            <w:r w:rsidRPr="0083265C">
              <w:rPr>
                <w:rFonts w:ascii="Calibri" w:eastAsia="Times New Roman" w:hAnsi="Calibri" w:cs="Arial"/>
                <w:sz w:val="16"/>
                <w:szCs w:val="16"/>
                <w:lang w:val="en-US" w:eastAsia="ko-KR"/>
              </w:rPr>
              <w:t xml:space="preserve"> shall be clarified.</w:t>
            </w:r>
          </w:p>
        </w:tc>
        <w:tc>
          <w:tcPr>
            <w:tcW w:w="2430" w:type="dxa"/>
            <w:shd w:val="clear" w:color="auto" w:fill="auto"/>
          </w:tcPr>
          <w:p w:rsidR="0083265C" w:rsidRPr="0083265C" w:rsidRDefault="0083265C" w:rsidP="0083265C">
            <w:pPr>
              <w:rPr>
                <w:rFonts w:ascii="Calibri" w:eastAsia="Times New Roman" w:hAnsi="Calibri" w:cs="Arial"/>
                <w:sz w:val="16"/>
                <w:szCs w:val="16"/>
                <w:lang w:val="en-US" w:eastAsia="ko-KR"/>
              </w:rPr>
            </w:pPr>
            <w:r w:rsidRPr="0083265C">
              <w:rPr>
                <w:rFonts w:ascii="Calibri" w:eastAsia="Times New Roman" w:hAnsi="Calibri" w:cs="Arial"/>
                <w:sz w:val="16"/>
                <w:szCs w:val="16"/>
                <w:lang w:val="en-US" w:eastAsia="ko-KR"/>
              </w:rPr>
              <w:lastRenderedPageBreak/>
              <w:t xml:space="preserve">As mentioned in the comment, clarify how to define </w:t>
            </w:r>
            <w:proofErr w:type="spellStart"/>
            <w:r w:rsidRPr="0083265C">
              <w:rPr>
                <w:rFonts w:ascii="Calibri" w:eastAsia="Times New Roman" w:hAnsi="Calibri" w:cs="Arial"/>
                <w:sz w:val="16"/>
                <w:szCs w:val="16"/>
                <w:lang w:val="en-US" w:eastAsia="ko-KR"/>
              </w:rPr>
              <w:t>OCWmin</w:t>
            </w:r>
            <w:proofErr w:type="spellEnd"/>
            <w:r w:rsidRPr="0083265C">
              <w:rPr>
                <w:rFonts w:ascii="Calibri" w:eastAsia="Times New Roman" w:hAnsi="Calibri" w:cs="Arial"/>
                <w:sz w:val="16"/>
                <w:szCs w:val="16"/>
                <w:lang w:val="en-US" w:eastAsia="ko-KR"/>
              </w:rPr>
              <w:t xml:space="preserve"> value and the relationship of </w:t>
            </w:r>
            <w:proofErr w:type="spellStart"/>
            <w:r w:rsidRPr="0083265C">
              <w:rPr>
                <w:rFonts w:ascii="Calibri" w:eastAsia="Times New Roman" w:hAnsi="Calibri" w:cs="Arial"/>
                <w:sz w:val="16"/>
                <w:szCs w:val="16"/>
                <w:lang w:val="en-US" w:eastAsia="ko-KR"/>
              </w:rPr>
              <w:t>OCWmin</w:t>
            </w:r>
            <w:proofErr w:type="spellEnd"/>
            <w:r w:rsidRPr="0083265C">
              <w:rPr>
                <w:rFonts w:ascii="Calibri" w:eastAsia="Times New Roman" w:hAnsi="Calibri" w:cs="Arial"/>
                <w:sz w:val="16"/>
                <w:szCs w:val="16"/>
                <w:lang w:val="en-US" w:eastAsia="ko-KR"/>
              </w:rPr>
              <w:t xml:space="preserve"> with other </w:t>
            </w:r>
            <w:proofErr w:type="spellStart"/>
            <w:r w:rsidRPr="0083265C">
              <w:rPr>
                <w:rFonts w:ascii="Calibri" w:eastAsia="Times New Roman" w:hAnsi="Calibri" w:cs="Arial"/>
                <w:sz w:val="16"/>
                <w:szCs w:val="16"/>
                <w:lang w:val="en-US" w:eastAsia="ko-KR"/>
              </w:rPr>
              <w:t>QoS</w:t>
            </w:r>
            <w:proofErr w:type="spellEnd"/>
            <w:r w:rsidRPr="0083265C">
              <w:rPr>
                <w:rFonts w:ascii="Calibri" w:eastAsia="Times New Roman" w:hAnsi="Calibri" w:cs="Arial"/>
                <w:sz w:val="16"/>
                <w:szCs w:val="16"/>
                <w:lang w:val="en-US" w:eastAsia="ko-KR"/>
              </w:rPr>
              <w:t xml:space="preserve"> parameters in this </w:t>
            </w:r>
            <w:proofErr w:type="spellStart"/>
            <w:r w:rsidRPr="0083265C">
              <w:rPr>
                <w:rFonts w:ascii="Calibri" w:eastAsia="Times New Roman" w:hAnsi="Calibri" w:cs="Arial"/>
                <w:sz w:val="16"/>
                <w:szCs w:val="16"/>
                <w:lang w:val="en-US" w:eastAsia="ko-KR"/>
              </w:rPr>
              <w:t>subclause</w:t>
            </w:r>
            <w:proofErr w:type="spellEnd"/>
            <w:r w:rsidRPr="0083265C">
              <w:rPr>
                <w:rFonts w:ascii="Calibri" w:eastAsia="Times New Roman" w:hAnsi="Calibri" w:cs="Arial"/>
                <w:sz w:val="16"/>
                <w:szCs w:val="16"/>
                <w:lang w:val="en-US" w:eastAsia="ko-KR"/>
              </w:rPr>
              <w:t>.</w:t>
            </w:r>
          </w:p>
        </w:tc>
        <w:tc>
          <w:tcPr>
            <w:tcW w:w="2520" w:type="dxa"/>
            <w:shd w:val="clear" w:color="auto" w:fill="auto"/>
          </w:tcPr>
          <w:p w:rsidR="0083265C" w:rsidRDefault="00F709EA" w:rsidP="0083265C">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F709EA" w:rsidRDefault="00F709EA" w:rsidP="0083265C">
            <w:pPr>
              <w:rPr>
                <w:rFonts w:ascii="Calibri" w:eastAsia="Times New Roman" w:hAnsi="Calibri" w:cs="Arial"/>
                <w:sz w:val="16"/>
                <w:szCs w:val="16"/>
                <w:lang w:val="en-US" w:eastAsia="ko-KR"/>
              </w:rPr>
            </w:pPr>
          </w:p>
          <w:p w:rsidR="00F709EA" w:rsidRDefault="00F709EA" w:rsidP="00224451">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that current draft spec. does not clearly </w:t>
            </w:r>
            <w:r w:rsidR="00224451">
              <w:rPr>
                <w:rFonts w:ascii="Calibri" w:eastAsia="Times New Roman" w:hAnsi="Calibri" w:cs="Arial"/>
                <w:sz w:val="16"/>
                <w:szCs w:val="16"/>
                <w:lang w:val="en-US" w:eastAsia="ko-KR"/>
              </w:rPr>
              <w:t>define</w:t>
            </w:r>
            <w:r>
              <w:rPr>
                <w:rFonts w:ascii="Calibri" w:eastAsia="Times New Roman" w:hAnsi="Calibri" w:cs="Arial"/>
                <w:sz w:val="16"/>
                <w:szCs w:val="16"/>
                <w:lang w:val="en-US" w:eastAsia="ko-KR"/>
              </w:rPr>
              <w:t xml:space="preserve"> how to handle </w:t>
            </w:r>
            <w:proofErr w:type="spellStart"/>
            <w:r>
              <w:rPr>
                <w:rFonts w:ascii="Calibri" w:eastAsia="Times New Roman" w:hAnsi="Calibri" w:cs="Arial"/>
                <w:sz w:val="16"/>
                <w:szCs w:val="16"/>
                <w:lang w:val="en-US" w:eastAsia="ko-KR"/>
              </w:rPr>
              <w:t>OCWmin</w:t>
            </w:r>
            <w:proofErr w:type="spellEnd"/>
            <w:r>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lastRenderedPageBreak/>
              <w:t xml:space="preserve">value </w:t>
            </w:r>
            <w:r w:rsidR="00224451">
              <w:rPr>
                <w:rFonts w:ascii="Calibri" w:eastAsia="Times New Roman" w:hAnsi="Calibri" w:cs="Arial"/>
                <w:sz w:val="16"/>
                <w:szCs w:val="16"/>
                <w:lang w:val="en-US" w:eastAsia="ko-KR"/>
              </w:rPr>
              <w:t xml:space="preserve">as a function of the access category of the STA’s data. </w:t>
            </w:r>
          </w:p>
          <w:p w:rsidR="00224451" w:rsidRDefault="00224451" w:rsidP="00224451">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As aggregation of multiple TIDs in different access categories are already allowed for HE STA, it may not be appropriate to have different </w:t>
            </w:r>
            <w:proofErr w:type="spellStart"/>
            <w:r>
              <w:rPr>
                <w:rFonts w:ascii="Calibri" w:eastAsia="Times New Roman" w:hAnsi="Calibri" w:cs="Arial"/>
                <w:sz w:val="16"/>
                <w:szCs w:val="16"/>
                <w:lang w:val="en-US" w:eastAsia="ko-KR"/>
              </w:rPr>
              <w:t>OCWmin</w:t>
            </w:r>
            <w:proofErr w:type="spellEnd"/>
            <w:r>
              <w:rPr>
                <w:rFonts w:ascii="Calibri" w:eastAsia="Times New Roman" w:hAnsi="Calibri" w:cs="Arial"/>
                <w:sz w:val="16"/>
                <w:szCs w:val="16"/>
                <w:lang w:val="en-US" w:eastAsia="ko-KR"/>
              </w:rPr>
              <w:t>/</w:t>
            </w:r>
            <w:proofErr w:type="spellStart"/>
            <w:r>
              <w:rPr>
                <w:rFonts w:ascii="Calibri" w:eastAsia="Times New Roman" w:hAnsi="Calibri" w:cs="Arial"/>
                <w:sz w:val="16"/>
                <w:szCs w:val="16"/>
                <w:lang w:val="en-US" w:eastAsia="ko-KR"/>
              </w:rPr>
              <w:t>OCWmax</w:t>
            </w:r>
            <w:proofErr w:type="spellEnd"/>
            <w:r>
              <w:rPr>
                <w:rFonts w:ascii="Calibri" w:eastAsia="Times New Roman" w:hAnsi="Calibri" w:cs="Arial"/>
                <w:sz w:val="16"/>
                <w:szCs w:val="16"/>
                <w:lang w:val="en-US" w:eastAsia="ko-KR"/>
              </w:rPr>
              <w:t xml:space="preserve"> parameters. Therefore, use of single </w:t>
            </w:r>
            <w:proofErr w:type="spellStart"/>
            <w:r>
              <w:rPr>
                <w:rFonts w:ascii="Calibri" w:eastAsia="Times New Roman" w:hAnsi="Calibri" w:cs="Arial"/>
                <w:sz w:val="16"/>
                <w:szCs w:val="16"/>
                <w:lang w:val="en-US" w:eastAsia="ko-KR"/>
              </w:rPr>
              <w:t>OCWmin</w:t>
            </w:r>
            <w:proofErr w:type="spellEnd"/>
            <w:r>
              <w:rPr>
                <w:rFonts w:ascii="Calibri" w:eastAsia="Times New Roman" w:hAnsi="Calibri" w:cs="Arial"/>
                <w:sz w:val="16"/>
                <w:szCs w:val="16"/>
                <w:lang w:val="en-US" w:eastAsia="ko-KR"/>
              </w:rPr>
              <w:t>/</w:t>
            </w:r>
            <w:proofErr w:type="spellStart"/>
            <w:r>
              <w:rPr>
                <w:rFonts w:ascii="Calibri" w:eastAsia="Times New Roman" w:hAnsi="Calibri" w:cs="Arial"/>
                <w:sz w:val="16"/>
                <w:szCs w:val="16"/>
                <w:lang w:val="en-US" w:eastAsia="ko-KR"/>
              </w:rPr>
              <w:t>OCWmax</w:t>
            </w:r>
            <w:proofErr w:type="spellEnd"/>
            <w:r>
              <w:rPr>
                <w:rFonts w:ascii="Calibri" w:eastAsia="Times New Roman" w:hAnsi="Calibri" w:cs="Arial"/>
                <w:sz w:val="16"/>
                <w:szCs w:val="16"/>
                <w:lang w:val="en-US" w:eastAsia="ko-KR"/>
              </w:rPr>
              <w:t xml:space="preserve"> value will make the protocol simple and clean.</w:t>
            </w:r>
          </w:p>
          <w:p w:rsidR="00224451" w:rsidRDefault="00224451" w:rsidP="00224451">
            <w:pPr>
              <w:rPr>
                <w:rFonts w:ascii="Calibri" w:eastAsia="Times New Roman" w:hAnsi="Calibri" w:cs="Arial"/>
                <w:sz w:val="16"/>
                <w:szCs w:val="16"/>
                <w:lang w:val="en-US" w:eastAsia="ko-KR"/>
              </w:rPr>
            </w:pPr>
          </w:p>
          <w:p w:rsidR="00224451" w:rsidRDefault="00224451" w:rsidP="00224451">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w:t>
            </w:r>
            <w:r w:rsidR="00882C02">
              <w:rPr>
                <w:rFonts w:ascii="Calibri" w:eastAsia="Times New Roman" w:hAnsi="Calibri" w:cs="Arial"/>
                <w:sz w:val="16"/>
                <w:szCs w:val="16"/>
                <w:lang w:val="en-US" w:eastAsia="ko-KR"/>
              </w:rPr>
              <w:t xml:space="preserve"> the changes shown in 11-16/1391</w:t>
            </w:r>
            <w:r>
              <w:rPr>
                <w:rFonts w:ascii="Calibri" w:eastAsia="Times New Roman" w:hAnsi="Calibri" w:cs="Arial"/>
                <w:sz w:val="16"/>
                <w:szCs w:val="16"/>
                <w:lang w:val="en-US" w:eastAsia="ko-KR"/>
              </w:rPr>
              <w:t>r0 listed under CID 2653.</w:t>
            </w:r>
          </w:p>
        </w:tc>
      </w:tr>
    </w:tbl>
    <w:p w:rsidR="00C30238" w:rsidRPr="00882C02" w:rsidRDefault="00C30238" w:rsidP="00F2637D">
      <w:pPr>
        <w:rPr>
          <w:b/>
          <w:bCs/>
          <w:i/>
          <w:iCs/>
          <w:lang w:eastAsia="ko-KR"/>
        </w:rPr>
      </w:pPr>
      <w:bookmarkStart w:id="0" w:name="_GoBack"/>
      <w:bookmarkEnd w:id="0"/>
    </w:p>
    <w:p w:rsidR="005A4504" w:rsidRDefault="005A4504" w:rsidP="005A4504">
      <w:pPr>
        <w:rPr>
          <w:szCs w:val="22"/>
          <w:lang w:eastAsia="ko-KR"/>
        </w:rPr>
      </w:pPr>
    </w:p>
    <w:p w:rsidR="00C30238" w:rsidRDefault="00C30238" w:rsidP="003E1A2F">
      <w:pPr>
        <w:rPr>
          <w:b/>
          <w:u w:val="single"/>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1E6098" w:rsidRDefault="00B83186" w:rsidP="00224451">
      <w:pPr>
        <w:rPr>
          <w:b/>
          <w:i/>
          <w:lang w:eastAsia="ko-KR"/>
        </w:rPr>
      </w:pPr>
      <w:proofErr w:type="spellStart"/>
      <w:r w:rsidRPr="00312694">
        <w:rPr>
          <w:b/>
          <w:i/>
          <w:lang w:eastAsia="ko-KR"/>
        </w:rPr>
        <w:t>TGax</w:t>
      </w:r>
      <w:proofErr w:type="spellEnd"/>
      <w:r w:rsidRPr="00312694">
        <w:rPr>
          <w:b/>
          <w:i/>
          <w:lang w:eastAsia="ko-KR"/>
        </w:rPr>
        <w:t xml:space="preserve"> editor: </w:t>
      </w:r>
      <w:r w:rsidR="00224451">
        <w:rPr>
          <w:b/>
          <w:i/>
          <w:lang w:eastAsia="ko-KR"/>
        </w:rPr>
        <w:t>Modify the fourth paragraph of sub-clause 25.5.2.6.1 on Page 138 Line 23 of Draft P802.11ax_D0.5 as CID 2653:</w:t>
      </w:r>
    </w:p>
    <w:p w:rsidR="00B83186" w:rsidRDefault="00B83186" w:rsidP="00B83186">
      <w:pPr>
        <w:rPr>
          <w:b/>
          <w:i/>
          <w:lang w:eastAsia="ko-KR"/>
        </w:rPr>
      </w:pPr>
    </w:p>
    <w:p w:rsidR="008158F1" w:rsidRDefault="008158F1" w:rsidP="00B83186">
      <w:pPr>
        <w:rPr>
          <w:b/>
          <w:i/>
          <w:lang w:eastAsia="ko-KR"/>
        </w:rPr>
      </w:pPr>
    </w:p>
    <w:p w:rsidR="003C3A0C" w:rsidRPr="003C3A0C" w:rsidRDefault="001E6098" w:rsidP="00546F69">
      <w:pPr>
        <w:rPr>
          <w:rFonts w:ascii="TimesNewRomanPSMT" w:hAnsi="TimesNewRomanPSMT"/>
          <w:strike/>
          <w:color w:val="FF0000"/>
          <w:szCs w:val="22"/>
        </w:rPr>
      </w:pPr>
      <w:r>
        <w:rPr>
          <w:rFonts w:ascii="Arial-BoldMT" w:hAnsi="Arial-BoldMT"/>
          <w:b/>
          <w:bCs/>
          <w:color w:val="000000"/>
          <w:szCs w:val="22"/>
        </w:rPr>
        <w:t>25.</w:t>
      </w:r>
      <w:r w:rsidR="00224451">
        <w:rPr>
          <w:rFonts w:ascii="Arial-BoldMT" w:hAnsi="Arial-BoldMT"/>
          <w:b/>
          <w:bCs/>
          <w:color w:val="000000"/>
          <w:szCs w:val="22"/>
        </w:rPr>
        <w:t>5.</w:t>
      </w:r>
      <w:r>
        <w:rPr>
          <w:rFonts w:ascii="Arial-BoldMT" w:hAnsi="Arial-BoldMT"/>
          <w:b/>
          <w:bCs/>
          <w:color w:val="000000"/>
          <w:szCs w:val="22"/>
        </w:rPr>
        <w:t>2.</w:t>
      </w:r>
      <w:r w:rsidR="00224451">
        <w:rPr>
          <w:rFonts w:ascii="Arial-BoldMT" w:hAnsi="Arial-BoldMT"/>
          <w:b/>
          <w:bCs/>
          <w:color w:val="000000"/>
          <w:szCs w:val="22"/>
        </w:rPr>
        <w:t>6.</w:t>
      </w:r>
      <w:r>
        <w:rPr>
          <w:rFonts w:ascii="Arial-BoldMT" w:hAnsi="Arial-BoldMT"/>
          <w:b/>
          <w:bCs/>
          <w:color w:val="000000"/>
          <w:szCs w:val="22"/>
        </w:rPr>
        <w:t xml:space="preserve">1 </w:t>
      </w:r>
      <w:r w:rsidR="00224451">
        <w:rPr>
          <w:rFonts w:ascii="Arial-BoldMT" w:hAnsi="Arial-BoldMT"/>
          <w:b/>
          <w:bCs/>
          <w:color w:val="000000"/>
          <w:szCs w:val="22"/>
        </w:rPr>
        <w:t>General</w:t>
      </w:r>
      <w:r w:rsidR="003C3A0C" w:rsidRPr="003C3A0C">
        <w:rPr>
          <w:rFonts w:ascii="Arial-BoldMT" w:hAnsi="Arial-BoldMT"/>
          <w:color w:val="000000"/>
          <w:szCs w:val="22"/>
        </w:rPr>
        <w:t xml:space="preserve"> </w:t>
      </w:r>
      <w:r w:rsidR="00546F69" w:rsidRPr="003C3A0C">
        <w:rPr>
          <w:rFonts w:ascii="Arial-BoldMT" w:hAnsi="Arial-BoldMT"/>
          <w:color w:val="000000"/>
          <w:szCs w:val="22"/>
        </w:rPr>
        <w:br/>
      </w:r>
    </w:p>
    <w:p w:rsidR="003C3A0C" w:rsidRDefault="003C3A0C" w:rsidP="00224451">
      <w:pPr>
        <w:spacing w:before="200"/>
        <w:rPr>
          <w:lang w:val="en-US" w:eastAsia="ko-KR"/>
        </w:rPr>
      </w:pPr>
      <w:r>
        <w:rPr>
          <w:lang w:val="en-US" w:eastAsia="ko-KR"/>
        </w:rPr>
        <w:t>…</w:t>
      </w:r>
    </w:p>
    <w:p w:rsidR="00224451" w:rsidRDefault="00224451" w:rsidP="00224451">
      <w:pPr>
        <w:spacing w:before="200"/>
        <w:rPr>
          <w:sz w:val="20"/>
        </w:rPr>
      </w:pPr>
      <w:proofErr w:type="spellStart"/>
      <w:r>
        <w:rPr>
          <w:sz w:val="20"/>
        </w:rPr>
        <w:t>An</w:t>
      </w:r>
      <w:proofErr w:type="spellEnd"/>
      <w:r>
        <w:rPr>
          <w:sz w:val="20"/>
        </w:rPr>
        <w:t xml:space="preserve"> HE STA shall use the </w:t>
      </w:r>
      <w:proofErr w:type="spellStart"/>
      <w:r>
        <w:rPr>
          <w:sz w:val="20"/>
        </w:rPr>
        <w:t>OCWmin</w:t>
      </w:r>
      <w:proofErr w:type="spellEnd"/>
      <w:r>
        <w:rPr>
          <w:sz w:val="20"/>
        </w:rPr>
        <w:t xml:space="preserve"> and </w:t>
      </w:r>
      <w:proofErr w:type="spellStart"/>
      <w:r>
        <w:rPr>
          <w:sz w:val="20"/>
        </w:rPr>
        <w:t>OCWmax</w:t>
      </w:r>
      <w:proofErr w:type="spellEnd"/>
      <w:r>
        <w:rPr>
          <w:sz w:val="20"/>
        </w:rPr>
        <w:t xml:space="preserve"> values indicated in the RAPS element within the most recently received Beacon or Probe Response</w:t>
      </w:r>
      <w:r>
        <w:rPr>
          <w:color w:val="FF0000"/>
          <w:sz w:val="20"/>
          <w:u w:val="single"/>
        </w:rPr>
        <w:t xml:space="preserve"> regardless of </w:t>
      </w:r>
      <w:r w:rsidR="000730CB">
        <w:rPr>
          <w:color w:val="FF0000"/>
          <w:sz w:val="20"/>
          <w:u w:val="single"/>
        </w:rPr>
        <w:t>the access category of traffic the HE STA intends to transmit</w:t>
      </w:r>
      <w:r>
        <w:rPr>
          <w:sz w:val="20"/>
        </w:rPr>
        <w:t xml:space="preserve">. </w:t>
      </w:r>
    </w:p>
    <w:p w:rsidR="003C3A0C" w:rsidRDefault="00224451" w:rsidP="00224451">
      <w:pPr>
        <w:spacing w:before="200"/>
        <w:rPr>
          <w:lang w:val="en-US" w:eastAsia="ko-KR"/>
        </w:rPr>
      </w:pPr>
      <w:r>
        <w:rPr>
          <w:sz w:val="18"/>
          <w:szCs w:val="18"/>
        </w:rPr>
        <w:t>NOTE—</w:t>
      </w:r>
      <w:proofErr w:type="gramStart"/>
      <w:r>
        <w:rPr>
          <w:sz w:val="18"/>
          <w:szCs w:val="18"/>
        </w:rPr>
        <w:t>If</w:t>
      </w:r>
      <w:proofErr w:type="gramEnd"/>
      <w:r>
        <w:rPr>
          <w:sz w:val="18"/>
          <w:szCs w:val="18"/>
        </w:rPr>
        <w:t xml:space="preserve"> the STA does not receive the RAPS element, the STA does not transmit any HE trigger-based PPDU using random access </w:t>
      </w:r>
      <w:proofErr w:type="spellStart"/>
      <w:r>
        <w:rPr>
          <w:sz w:val="18"/>
          <w:szCs w:val="18"/>
        </w:rPr>
        <w:t>RUs.</w:t>
      </w:r>
      <w:proofErr w:type="spellEnd"/>
    </w:p>
    <w:p w:rsidR="00224451" w:rsidRDefault="00224451" w:rsidP="00224451">
      <w:pPr>
        <w:spacing w:before="200"/>
        <w:rPr>
          <w:lang w:val="en-US" w:eastAsia="ko-KR"/>
        </w:rPr>
      </w:pPr>
      <w:r>
        <w:rPr>
          <w:lang w:val="en-US" w:eastAsia="ko-KR"/>
        </w:rPr>
        <w:t>…</w:t>
      </w:r>
    </w:p>
    <w:p w:rsidR="00A64C17" w:rsidRPr="00A64C17" w:rsidRDefault="00A64C17" w:rsidP="00224451">
      <w:pPr>
        <w:spacing w:before="200"/>
        <w:ind w:left="-720"/>
        <w:rPr>
          <w:color w:val="FF0000"/>
          <w:u w:val="single"/>
          <w:lang w:eastAsia="ko-KR"/>
        </w:rPr>
      </w:pPr>
    </w:p>
    <w:sectPr w:rsidR="00A64C17" w:rsidRPr="00A64C1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26" w:rsidRDefault="00526026">
      <w:r>
        <w:separator/>
      </w:r>
    </w:p>
  </w:endnote>
  <w:endnote w:type="continuationSeparator" w:id="0">
    <w:p w:rsidR="00526026" w:rsidRDefault="0052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526026">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683AD6">
      <w:fldChar w:fldCharType="begin"/>
    </w:r>
    <w:r w:rsidR="00B3753B">
      <w:instrText xml:space="preserve">page </w:instrText>
    </w:r>
    <w:r w:rsidR="00683AD6">
      <w:fldChar w:fldCharType="separate"/>
    </w:r>
    <w:r w:rsidR="00882C02">
      <w:rPr>
        <w:noProof/>
      </w:rPr>
      <w:t>1</w:t>
    </w:r>
    <w:r w:rsidR="00683AD6">
      <w:rPr>
        <w:noProof/>
      </w:rPr>
      <w:fldChar w:fldCharType="end"/>
    </w:r>
    <w:r w:rsidR="00B3753B">
      <w:tab/>
    </w:r>
    <w:r w:rsidR="00AF6CF1">
      <w:rPr>
        <w:lang w:eastAsia="ko-KR"/>
      </w:rPr>
      <w:t>Young Hoon Kwon</w:t>
    </w:r>
    <w:r w:rsidR="00B3753B">
      <w:t xml:space="preserve">, </w:t>
    </w:r>
    <w:proofErr w:type="spellStart"/>
    <w:r w:rsidR="00AF6CF1">
      <w:t>Newracom</w:t>
    </w:r>
    <w:proofErr w:type="spellEnd"/>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26" w:rsidRDefault="00526026">
      <w:r>
        <w:separator/>
      </w:r>
    </w:p>
  </w:footnote>
  <w:footnote w:type="continuationSeparator" w:id="0">
    <w:p w:rsidR="00526026" w:rsidRDefault="0052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882C02">
    <w:pPr>
      <w:pStyle w:val="Header"/>
      <w:tabs>
        <w:tab w:val="clear" w:pos="6480"/>
        <w:tab w:val="center" w:pos="4680"/>
        <w:tab w:val="right" w:pos="9360"/>
      </w:tabs>
      <w:rPr>
        <w:lang w:eastAsia="ko-KR"/>
      </w:rPr>
    </w:pPr>
    <w:r>
      <w:rPr>
        <w:lang w:eastAsia="ko-KR"/>
      </w:rPr>
      <w:t>November</w:t>
    </w:r>
    <w:r w:rsidR="00B3753B">
      <w:rPr>
        <w:lang w:eastAsia="ko-KR"/>
      </w:rPr>
      <w:t xml:space="preserve"> </w:t>
    </w:r>
    <w:r w:rsidR="00B3753B">
      <w:t>201</w:t>
    </w:r>
    <w:r w:rsidR="00D53325">
      <w:rPr>
        <w:lang w:eastAsia="ko-KR"/>
      </w:rPr>
      <w:t>6</w:t>
    </w:r>
    <w:r w:rsidR="00B3753B">
      <w:tab/>
    </w:r>
    <w:r w:rsidR="00B3753B">
      <w:tab/>
    </w:r>
    <w:r w:rsidR="00526026">
      <w:fldChar w:fldCharType="begin"/>
    </w:r>
    <w:r w:rsidR="00526026">
      <w:instrText xml:space="preserve"> TITLE  \* MERGEFORMAT </w:instrText>
    </w:r>
    <w:r w:rsidR="00526026">
      <w:fldChar w:fldCharType="separate"/>
    </w:r>
    <w:r w:rsidR="00D53325">
      <w:t>doc.: IEEE 802.11-16</w:t>
    </w:r>
    <w:r w:rsidR="00B3753B">
      <w:t>/</w:t>
    </w:r>
    <w:r>
      <w:t>1391</w:t>
    </w:r>
    <w:r w:rsidR="00B3753B">
      <w:t>r</w:t>
    </w:r>
    <w:r w:rsidR="00526026">
      <w:fldChar w:fldCharType="end"/>
    </w:r>
    <w:r w:rsidR="00C3023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8201AE1"/>
    <w:multiLevelType w:val="hybridMultilevel"/>
    <w:tmpl w:val="1CA8D1AA"/>
    <w:lvl w:ilvl="0" w:tplc="72AC969A">
      <w:start w:val="25"/>
      <w:numFmt w:val="bullet"/>
      <w:lvlText w:val="—"/>
      <w:lvlJc w:val="left"/>
      <w:pPr>
        <w:ind w:left="180" w:hanging="360"/>
      </w:pPr>
      <w:rPr>
        <w:rFonts w:ascii="Times New Roman" w:eastAsiaTheme="minorEastAsia" w:hAnsi="Times New Roman" w:cs="Times New Roman" w:hint="default"/>
        <w:b w:val="0"/>
        <w:i w:val="0"/>
        <w:sz w:val="2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5350895"/>
    <w:multiLevelType w:val="hybridMultilevel"/>
    <w:tmpl w:val="BFEC4AA4"/>
    <w:lvl w:ilvl="0" w:tplc="70C6BB22">
      <w:numFmt w:val="bullet"/>
      <w:lvlText w:val="—"/>
      <w:lvlJc w:val="left"/>
      <w:pPr>
        <w:ind w:left="1440" w:hanging="360"/>
      </w:pPr>
      <w:rPr>
        <w:rFonts w:ascii="TimesNewRomanPSMT" w:eastAsia="Times New Roman" w:hAnsi="TimesNewRomanPSMT" w:cs="TimesNewRomanPS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0CA2"/>
    <w:multiLevelType w:val="hybridMultilevel"/>
    <w:tmpl w:val="9AFAFE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0B52DE1"/>
    <w:multiLevelType w:val="hybridMultilevel"/>
    <w:tmpl w:val="67405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11"/>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9"/>
  </w:num>
  <w:num w:numId="32">
    <w:abstractNumId w:val="9"/>
  </w:num>
  <w:num w:numId="33">
    <w:abstractNumId w:val="10"/>
  </w:num>
  <w:num w:numId="34">
    <w:abstractNumId w:val="12"/>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620"/>
    <w:rsid w:val="000045FA"/>
    <w:rsid w:val="00006DBB"/>
    <w:rsid w:val="0000743C"/>
    <w:rsid w:val="0001313F"/>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0835"/>
    <w:rsid w:val="00052123"/>
    <w:rsid w:val="0006183F"/>
    <w:rsid w:val="00062E86"/>
    <w:rsid w:val="0006732A"/>
    <w:rsid w:val="000730CB"/>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A3D0D"/>
    <w:rsid w:val="000B4559"/>
    <w:rsid w:val="000C573A"/>
    <w:rsid w:val="000D174A"/>
    <w:rsid w:val="000D276A"/>
    <w:rsid w:val="000D2F1B"/>
    <w:rsid w:val="000D3EA2"/>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664"/>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A6C7D"/>
    <w:rsid w:val="001B2326"/>
    <w:rsid w:val="001B252D"/>
    <w:rsid w:val="001B2904"/>
    <w:rsid w:val="001B63BC"/>
    <w:rsid w:val="001B7222"/>
    <w:rsid w:val="001C7CCE"/>
    <w:rsid w:val="001D15ED"/>
    <w:rsid w:val="001D328B"/>
    <w:rsid w:val="001D4A93"/>
    <w:rsid w:val="001D7492"/>
    <w:rsid w:val="001D7948"/>
    <w:rsid w:val="001E07D7"/>
    <w:rsid w:val="001E0946"/>
    <w:rsid w:val="001E20C2"/>
    <w:rsid w:val="001E2E2A"/>
    <w:rsid w:val="001E6098"/>
    <w:rsid w:val="001E7C32"/>
    <w:rsid w:val="001F0210"/>
    <w:rsid w:val="001F0465"/>
    <w:rsid w:val="001F10F7"/>
    <w:rsid w:val="001F13CA"/>
    <w:rsid w:val="001F1BC7"/>
    <w:rsid w:val="001F3DB9"/>
    <w:rsid w:val="001F491C"/>
    <w:rsid w:val="001F5C29"/>
    <w:rsid w:val="001F5D16"/>
    <w:rsid w:val="0020013A"/>
    <w:rsid w:val="0020056E"/>
    <w:rsid w:val="00203389"/>
    <w:rsid w:val="0020345F"/>
    <w:rsid w:val="0020462A"/>
    <w:rsid w:val="00210DDD"/>
    <w:rsid w:val="002125EA"/>
    <w:rsid w:val="00214B50"/>
    <w:rsid w:val="00215A82"/>
    <w:rsid w:val="00215E32"/>
    <w:rsid w:val="0022139A"/>
    <w:rsid w:val="002224D7"/>
    <w:rsid w:val="002239F2"/>
    <w:rsid w:val="00224451"/>
    <w:rsid w:val="00225508"/>
    <w:rsid w:val="00225570"/>
    <w:rsid w:val="002323FE"/>
    <w:rsid w:val="002329AF"/>
    <w:rsid w:val="00234C13"/>
    <w:rsid w:val="002369FD"/>
    <w:rsid w:val="00236A7E"/>
    <w:rsid w:val="0023760F"/>
    <w:rsid w:val="00237985"/>
    <w:rsid w:val="00240895"/>
    <w:rsid w:val="00241AD7"/>
    <w:rsid w:val="0024655F"/>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B366B"/>
    <w:rsid w:val="002C0375"/>
    <w:rsid w:val="002C61FC"/>
    <w:rsid w:val="002C66AA"/>
    <w:rsid w:val="002C6B4F"/>
    <w:rsid w:val="002C72E1"/>
    <w:rsid w:val="002D1D40"/>
    <w:rsid w:val="002D518F"/>
    <w:rsid w:val="002D7ED5"/>
    <w:rsid w:val="002E1B18"/>
    <w:rsid w:val="002E24A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34991"/>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A0C"/>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7CD"/>
    <w:rsid w:val="003F0DA2"/>
    <w:rsid w:val="003F2D6C"/>
    <w:rsid w:val="003F3ECD"/>
    <w:rsid w:val="003F496B"/>
    <w:rsid w:val="004014AE"/>
    <w:rsid w:val="00403645"/>
    <w:rsid w:val="004051D5"/>
    <w:rsid w:val="004051EE"/>
    <w:rsid w:val="00407C5B"/>
    <w:rsid w:val="004142D0"/>
    <w:rsid w:val="00421159"/>
    <w:rsid w:val="00430648"/>
    <w:rsid w:val="0043413E"/>
    <w:rsid w:val="00436C7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201A"/>
    <w:rsid w:val="004A3EA8"/>
    <w:rsid w:val="004B493F"/>
    <w:rsid w:val="004B50E4"/>
    <w:rsid w:val="004C0F0A"/>
    <w:rsid w:val="004C12FF"/>
    <w:rsid w:val="004C1B0C"/>
    <w:rsid w:val="004C3C2A"/>
    <w:rsid w:val="004C7919"/>
    <w:rsid w:val="004C7A05"/>
    <w:rsid w:val="004C7CE0"/>
    <w:rsid w:val="004D031C"/>
    <w:rsid w:val="004D03A1"/>
    <w:rsid w:val="004D071D"/>
    <w:rsid w:val="004D2D75"/>
    <w:rsid w:val="004D6BE8"/>
    <w:rsid w:val="004D7188"/>
    <w:rsid w:val="004E164B"/>
    <w:rsid w:val="004E46DF"/>
    <w:rsid w:val="004E5DBC"/>
    <w:rsid w:val="004E63E6"/>
    <w:rsid w:val="004F0CB7"/>
    <w:rsid w:val="004F1846"/>
    <w:rsid w:val="004F3903"/>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6026"/>
    <w:rsid w:val="00527489"/>
    <w:rsid w:val="00527BB3"/>
    <w:rsid w:val="00530CC8"/>
    <w:rsid w:val="00531734"/>
    <w:rsid w:val="005321D3"/>
    <w:rsid w:val="0053254A"/>
    <w:rsid w:val="005400AC"/>
    <w:rsid w:val="0054235E"/>
    <w:rsid w:val="0054425D"/>
    <w:rsid w:val="00546F69"/>
    <w:rsid w:val="00547CC9"/>
    <w:rsid w:val="0055459B"/>
    <w:rsid w:val="00554995"/>
    <w:rsid w:val="00554EEF"/>
    <w:rsid w:val="00557272"/>
    <w:rsid w:val="00562721"/>
    <w:rsid w:val="00564AE2"/>
    <w:rsid w:val="005670C3"/>
    <w:rsid w:val="00567934"/>
    <w:rsid w:val="005702B6"/>
    <w:rsid w:val="005703A1"/>
    <w:rsid w:val="00571583"/>
    <w:rsid w:val="00572E7A"/>
    <w:rsid w:val="00574AD3"/>
    <w:rsid w:val="00583212"/>
    <w:rsid w:val="00585D8F"/>
    <w:rsid w:val="00586072"/>
    <w:rsid w:val="0058644C"/>
    <w:rsid w:val="00587F10"/>
    <w:rsid w:val="00590B8C"/>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5F7"/>
    <w:rsid w:val="005C4204"/>
    <w:rsid w:val="005C6823"/>
    <w:rsid w:val="005D13D7"/>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064C"/>
    <w:rsid w:val="006548B7"/>
    <w:rsid w:val="00654B3B"/>
    <w:rsid w:val="0065586F"/>
    <w:rsid w:val="00656882"/>
    <w:rsid w:val="00657DBD"/>
    <w:rsid w:val="00662343"/>
    <w:rsid w:val="0066483B"/>
    <w:rsid w:val="0067069C"/>
    <w:rsid w:val="00671F29"/>
    <w:rsid w:val="0067305F"/>
    <w:rsid w:val="006762D5"/>
    <w:rsid w:val="00677427"/>
    <w:rsid w:val="00680308"/>
    <w:rsid w:val="00683AD6"/>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1D71"/>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156C7"/>
    <w:rsid w:val="00720650"/>
    <w:rsid w:val="007208DD"/>
    <w:rsid w:val="007220CF"/>
    <w:rsid w:val="00724942"/>
    <w:rsid w:val="00727341"/>
    <w:rsid w:val="00733A81"/>
    <w:rsid w:val="00734F1A"/>
    <w:rsid w:val="00735FB8"/>
    <w:rsid w:val="00736065"/>
    <w:rsid w:val="0073651D"/>
    <w:rsid w:val="0074006F"/>
    <w:rsid w:val="00740147"/>
    <w:rsid w:val="0074073F"/>
    <w:rsid w:val="00740FFD"/>
    <w:rsid w:val="00741D75"/>
    <w:rsid w:val="0074621F"/>
    <w:rsid w:val="007463FB"/>
    <w:rsid w:val="007513CD"/>
    <w:rsid w:val="00751BA2"/>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22AF"/>
    <w:rsid w:val="007E43A0"/>
    <w:rsid w:val="007E5479"/>
    <w:rsid w:val="007F2243"/>
    <w:rsid w:val="007F2366"/>
    <w:rsid w:val="007F6EC7"/>
    <w:rsid w:val="007F75A8"/>
    <w:rsid w:val="00802FC5"/>
    <w:rsid w:val="0080467A"/>
    <w:rsid w:val="00806EFB"/>
    <w:rsid w:val="0081078F"/>
    <w:rsid w:val="00810B7A"/>
    <w:rsid w:val="008138C1"/>
    <w:rsid w:val="00813DC5"/>
    <w:rsid w:val="008158F1"/>
    <w:rsid w:val="00816B48"/>
    <w:rsid w:val="008204A2"/>
    <w:rsid w:val="008208CB"/>
    <w:rsid w:val="00820B60"/>
    <w:rsid w:val="00822070"/>
    <w:rsid w:val="00822142"/>
    <w:rsid w:val="00822EA3"/>
    <w:rsid w:val="0082437A"/>
    <w:rsid w:val="00830ACB"/>
    <w:rsid w:val="00831EDC"/>
    <w:rsid w:val="0083265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65"/>
    <w:rsid w:val="008776B0"/>
    <w:rsid w:val="0088012D"/>
    <w:rsid w:val="00881C47"/>
    <w:rsid w:val="008820C7"/>
    <w:rsid w:val="00882C02"/>
    <w:rsid w:val="00883CD9"/>
    <w:rsid w:val="00883FD4"/>
    <w:rsid w:val="00884237"/>
    <w:rsid w:val="008847CE"/>
    <w:rsid w:val="008873C7"/>
    <w:rsid w:val="00887583"/>
    <w:rsid w:val="008902E8"/>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8F7E73"/>
    <w:rsid w:val="00905A7F"/>
    <w:rsid w:val="00910F8F"/>
    <w:rsid w:val="0091118D"/>
    <w:rsid w:val="00913CB3"/>
    <w:rsid w:val="00917AB8"/>
    <w:rsid w:val="0092168F"/>
    <w:rsid w:val="009225A7"/>
    <w:rsid w:val="0092372A"/>
    <w:rsid w:val="00925427"/>
    <w:rsid w:val="00927FEB"/>
    <w:rsid w:val="00933947"/>
    <w:rsid w:val="009362E0"/>
    <w:rsid w:val="00936D66"/>
    <w:rsid w:val="0094091B"/>
    <w:rsid w:val="00944131"/>
    <w:rsid w:val="00944591"/>
    <w:rsid w:val="00944CAA"/>
    <w:rsid w:val="00951CE8"/>
    <w:rsid w:val="0095350F"/>
    <w:rsid w:val="00953565"/>
    <w:rsid w:val="009535A6"/>
    <w:rsid w:val="00954C90"/>
    <w:rsid w:val="00962886"/>
    <w:rsid w:val="00967966"/>
    <w:rsid w:val="009723A1"/>
    <w:rsid w:val="00973614"/>
    <w:rsid w:val="0097724C"/>
    <w:rsid w:val="00980866"/>
    <w:rsid w:val="00980D24"/>
    <w:rsid w:val="00980FD0"/>
    <w:rsid w:val="009824DF"/>
    <w:rsid w:val="0098405A"/>
    <w:rsid w:val="00987BED"/>
    <w:rsid w:val="00991A93"/>
    <w:rsid w:val="009A0E5E"/>
    <w:rsid w:val="009A2E6A"/>
    <w:rsid w:val="009B09CD"/>
    <w:rsid w:val="009B2383"/>
    <w:rsid w:val="009B4356"/>
    <w:rsid w:val="009B4963"/>
    <w:rsid w:val="009B57C9"/>
    <w:rsid w:val="009C27FA"/>
    <w:rsid w:val="009C30AA"/>
    <w:rsid w:val="009C43D1"/>
    <w:rsid w:val="009C59A6"/>
    <w:rsid w:val="009C6A52"/>
    <w:rsid w:val="009D0AB2"/>
    <w:rsid w:val="009D3276"/>
    <w:rsid w:val="009D444C"/>
    <w:rsid w:val="009D4525"/>
    <w:rsid w:val="009E1533"/>
    <w:rsid w:val="009E2496"/>
    <w:rsid w:val="009E2785"/>
    <w:rsid w:val="009F08F6"/>
    <w:rsid w:val="009F1D97"/>
    <w:rsid w:val="009F3F07"/>
    <w:rsid w:val="009F55D8"/>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3747F"/>
    <w:rsid w:val="00A40884"/>
    <w:rsid w:val="00A429DD"/>
    <w:rsid w:val="00A42C28"/>
    <w:rsid w:val="00A43B6B"/>
    <w:rsid w:val="00A44521"/>
    <w:rsid w:val="00A45C7E"/>
    <w:rsid w:val="00A469E7"/>
    <w:rsid w:val="00A477E6"/>
    <w:rsid w:val="00A47C1B"/>
    <w:rsid w:val="00A5303B"/>
    <w:rsid w:val="00A5337D"/>
    <w:rsid w:val="00A5374C"/>
    <w:rsid w:val="00A57CE8"/>
    <w:rsid w:val="00A6194D"/>
    <w:rsid w:val="00A64C17"/>
    <w:rsid w:val="00A66CBC"/>
    <w:rsid w:val="00A70990"/>
    <w:rsid w:val="00A717AE"/>
    <w:rsid w:val="00A724FE"/>
    <w:rsid w:val="00A77C8F"/>
    <w:rsid w:val="00A80E2F"/>
    <w:rsid w:val="00A8128E"/>
    <w:rsid w:val="00A844CE"/>
    <w:rsid w:val="00A861A1"/>
    <w:rsid w:val="00A90385"/>
    <w:rsid w:val="00A91EAA"/>
    <w:rsid w:val="00A9264B"/>
    <w:rsid w:val="00A96DCC"/>
    <w:rsid w:val="00AA188F"/>
    <w:rsid w:val="00AA351D"/>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04EA"/>
    <w:rsid w:val="00B722B7"/>
    <w:rsid w:val="00B73C63"/>
    <w:rsid w:val="00B74E3D"/>
    <w:rsid w:val="00B753D1"/>
    <w:rsid w:val="00B77BB8"/>
    <w:rsid w:val="00B83186"/>
    <w:rsid w:val="00B83455"/>
    <w:rsid w:val="00B844E8"/>
    <w:rsid w:val="00B84847"/>
    <w:rsid w:val="00B856F7"/>
    <w:rsid w:val="00B9272C"/>
    <w:rsid w:val="00B94B98"/>
    <w:rsid w:val="00B94CAC"/>
    <w:rsid w:val="00B96898"/>
    <w:rsid w:val="00BA06B3"/>
    <w:rsid w:val="00BA49FC"/>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36FD"/>
    <w:rsid w:val="00C14AFC"/>
    <w:rsid w:val="00C151D0"/>
    <w:rsid w:val="00C1770E"/>
    <w:rsid w:val="00C237F5"/>
    <w:rsid w:val="00C24241"/>
    <w:rsid w:val="00C247D2"/>
    <w:rsid w:val="00C24A70"/>
    <w:rsid w:val="00C24CC7"/>
    <w:rsid w:val="00C27F1D"/>
    <w:rsid w:val="00C30238"/>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018"/>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9F2"/>
    <w:rsid w:val="00CD0ABD"/>
    <w:rsid w:val="00CD259C"/>
    <w:rsid w:val="00CD6072"/>
    <w:rsid w:val="00CE3DDC"/>
    <w:rsid w:val="00CE63EE"/>
    <w:rsid w:val="00CF0C85"/>
    <w:rsid w:val="00CF16FB"/>
    <w:rsid w:val="00CF2295"/>
    <w:rsid w:val="00CF3BDE"/>
    <w:rsid w:val="00CF7043"/>
    <w:rsid w:val="00D06106"/>
    <w:rsid w:val="00D07ABE"/>
    <w:rsid w:val="00D13A03"/>
    <w:rsid w:val="00D14538"/>
    <w:rsid w:val="00D17203"/>
    <w:rsid w:val="00D22431"/>
    <w:rsid w:val="00D22E7D"/>
    <w:rsid w:val="00D24793"/>
    <w:rsid w:val="00D24B64"/>
    <w:rsid w:val="00D305D7"/>
    <w:rsid w:val="00D307A6"/>
    <w:rsid w:val="00D33C0B"/>
    <w:rsid w:val="00D36C35"/>
    <w:rsid w:val="00D42073"/>
    <w:rsid w:val="00D4400D"/>
    <w:rsid w:val="00D52078"/>
    <w:rsid w:val="00D53325"/>
    <w:rsid w:val="00D5432B"/>
    <w:rsid w:val="00D5494D"/>
    <w:rsid w:val="00D5636C"/>
    <w:rsid w:val="00D574CA"/>
    <w:rsid w:val="00D57819"/>
    <w:rsid w:val="00D57E10"/>
    <w:rsid w:val="00D6072C"/>
    <w:rsid w:val="00D618A3"/>
    <w:rsid w:val="00D72906"/>
    <w:rsid w:val="00D72BC8"/>
    <w:rsid w:val="00D73E07"/>
    <w:rsid w:val="00D74FB2"/>
    <w:rsid w:val="00D80B8A"/>
    <w:rsid w:val="00D826B4"/>
    <w:rsid w:val="00D84566"/>
    <w:rsid w:val="00D87ED5"/>
    <w:rsid w:val="00D92951"/>
    <w:rsid w:val="00D94B05"/>
    <w:rsid w:val="00D9667F"/>
    <w:rsid w:val="00DA1AD0"/>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25B34"/>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AF9"/>
    <w:rsid w:val="00EA2CE4"/>
    <w:rsid w:val="00EA48D0"/>
    <w:rsid w:val="00EA6DCB"/>
    <w:rsid w:val="00EB158A"/>
    <w:rsid w:val="00EB5ADB"/>
    <w:rsid w:val="00EB6312"/>
    <w:rsid w:val="00EC2B99"/>
    <w:rsid w:val="00EC4322"/>
    <w:rsid w:val="00EC662D"/>
    <w:rsid w:val="00EC700C"/>
    <w:rsid w:val="00ED1BAF"/>
    <w:rsid w:val="00ED6FC5"/>
    <w:rsid w:val="00EE2AF3"/>
    <w:rsid w:val="00EE55B2"/>
    <w:rsid w:val="00EE7DA9"/>
    <w:rsid w:val="00EF34D3"/>
    <w:rsid w:val="00EF369E"/>
    <w:rsid w:val="00EF3E19"/>
    <w:rsid w:val="00EF6B9E"/>
    <w:rsid w:val="00F02637"/>
    <w:rsid w:val="00F037F8"/>
    <w:rsid w:val="00F03BFD"/>
    <w:rsid w:val="00F04FF6"/>
    <w:rsid w:val="00F109FC"/>
    <w:rsid w:val="00F125ED"/>
    <w:rsid w:val="00F1711A"/>
    <w:rsid w:val="00F22112"/>
    <w:rsid w:val="00F2476E"/>
    <w:rsid w:val="00F2561F"/>
    <w:rsid w:val="00F2637D"/>
    <w:rsid w:val="00F342FD"/>
    <w:rsid w:val="00F34E9E"/>
    <w:rsid w:val="00F41684"/>
    <w:rsid w:val="00F44755"/>
    <w:rsid w:val="00F4556C"/>
    <w:rsid w:val="00F455E0"/>
    <w:rsid w:val="00F45E7C"/>
    <w:rsid w:val="00F50FC0"/>
    <w:rsid w:val="00F5115F"/>
    <w:rsid w:val="00F5458D"/>
    <w:rsid w:val="00F54F3A"/>
    <w:rsid w:val="00F61833"/>
    <w:rsid w:val="00F659E1"/>
    <w:rsid w:val="00F6611A"/>
    <w:rsid w:val="00F662BD"/>
    <w:rsid w:val="00F67EB1"/>
    <w:rsid w:val="00F709EA"/>
    <w:rsid w:val="00F808C5"/>
    <w:rsid w:val="00F832E1"/>
    <w:rsid w:val="00F85369"/>
    <w:rsid w:val="00F93DC9"/>
    <w:rsid w:val="00F94872"/>
    <w:rsid w:val="00F967E0"/>
    <w:rsid w:val="00F96A6A"/>
    <w:rsid w:val="00FA1A25"/>
    <w:rsid w:val="00FA5C91"/>
    <w:rsid w:val="00FA5D88"/>
    <w:rsid w:val="00FA6D0A"/>
    <w:rsid w:val="00FA751A"/>
    <w:rsid w:val="00FB0152"/>
    <w:rsid w:val="00FB1482"/>
    <w:rsid w:val="00FB1A63"/>
    <w:rsid w:val="00FB33E4"/>
    <w:rsid w:val="00FB4B25"/>
    <w:rsid w:val="00FB6C2B"/>
    <w:rsid w:val="00FC18E0"/>
    <w:rsid w:val="00FC20C3"/>
    <w:rsid w:val="00FC29BA"/>
    <w:rsid w:val="00FC64E4"/>
    <w:rsid w:val="00FD1E86"/>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8971E-A33C-4A06-8BED-D231CA0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 w:type="paragraph" w:customStyle="1" w:styleId="BodyText">
    <w:name w:val="BodyText"/>
    <w:basedOn w:val="Normal"/>
    <w:uiPriority w:val="99"/>
    <w:qFormat/>
    <w:rsid w:val="002B366B"/>
    <w:pPr>
      <w:spacing w:before="120" w:after="120"/>
      <w:jc w:val="both"/>
    </w:pPr>
    <w:rPr>
      <w:rFonts w:eastAsia="Batang"/>
    </w:rPr>
  </w:style>
  <w:style w:type="paragraph" w:customStyle="1" w:styleId="SP11131119">
    <w:name w:val="SP.11.131119"/>
    <w:basedOn w:val="Normal"/>
    <w:next w:val="Normal"/>
    <w:uiPriority w:val="99"/>
    <w:rsid w:val="003C3A0C"/>
    <w:pPr>
      <w:autoSpaceDE w:val="0"/>
      <w:autoSpaceDN w:val="0"/>
      <w:adjustRightInd w:val="0"/>
    </w:pPr>
    <w:rPr>
      <w:sz w:val="24"/>
      <w:szCs w:val="24"/>
      <w:lang w:val="en-US" w:eastAsia="ko-KR"/>
    </w:rPr>
  </w:style>
  <w:style w:type="paragraph" w:customStyle="1" w:styleId="SP11131146">
    <w:name w:val="SP.11.131146"/>
    <w:basedOn w:val="Normal"/>
    <w:next w:val="Normal"/>
    <w:uiPriority w:val="99"/>
    <w:rsid w:val="003C3A0C"/>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29292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3373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0469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04955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98876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A0D7-080C-4FC6-BB86-BB5802D3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667</Words>
  <Characters>3807</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4466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12</cp:revision>
  <cp:lastPrinted>2010-05-04T03:47:00Z</cp:lastPrinted>
  <dcterms:created xsi:type="dcterms:W3CDTF">2016-07-27T00:17:00Z</dcterms:created>
  <dcterms:modified xsi:type="dcterms:W3CDTF">2016-11-05T18:08:00Z</dcterms:modified>
</cp:coreProperties>
</file>