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66547F4" w:rsidR="00BD6FB0" w:rsidRPr="00F10087" w:rsidRDefault="00532979" w:rsidP="00127344">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Comment</w:t>
            </w:r>
            <w:r w:rsidR="00F10087">
              <w:rPr>
                <w:rFonts w:eastAsiaTheme="minorEastAsia" w:hint="eastAsia"/>
                <w:b/>
                <w:bCs/>
                <w:color w:val="000000"/>
                <w:sz w:val="28"/>
                <w:szCs w:val="28"/>
                <w:lang w:val="en-US" w:eastAsia="ja-JP"/>
              </w:rPr>
              <w:t xml:space="preserve"> Resolution for CID 1012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751"/>
        <w:gridCol w:w="2213"/>
        <w:gridCol w:w="933"/>
        <w:gridCol w:w="2693"/>
      </w:tblGrid>
      <w:tr w:rsidR="007F2C43" w:rsidRPr="0019516D" w14:paraId="65D6378A" w14:textId="77777777" w:rsidTr="005747FC">
        <w:trPr>
          <w:trHeight w:val="550"/>
        </w:trPr>
        <w:tc>
          <w:tcPr>
            <w:tcW w:w="1732" w:type="dxa"/>
            <w:shd w:val="clear" w:color="auto" w:fill="FFFFFF"/>
            <w:tcMar>
              <w:top w:w="15" w:type="dxa"/>
              <w:left w:w="108" w:type="dxa"/>
              <w:bottom w:w="0" w:type="dxa"/>
              <w:right w:w="108" w:type="dxa"/>
            </w:tcMar>
            <w:vAlign w:val="center"/>
            <w:hideMark/>
          </w:tcPr>
          <w:p w14:paraId="5BE16EBB" w14:textId="0B47FF47" w:rsidR="007F2C43" w:rsidRPr="00E7447D" w:rsidRDefault="007F2C43" w:rsidP="007F2C43">
            <w:pPr>
              <w:rPr>
                <w:rFonts w:eastAsiaTheme="minorEastAsia"/>
                <w:lang w:eastAsia="ja-JP"/>
              </w:rPr>
            </w:pPr>
            <w:r>
              <w:rPr>
                <w:rFonts w:eastAsiaTheme="minorEastAsia"/>
                <w:lang w:eastAsia="ja-JP"/>
              </w:rPr>
              <w:t>Yusuke Tanaka</w:t>
            </w:r>
          </w:p>
        </w:tc>
        <w:tc>
          <w:tcPr>
            <w:tcW w:w="1751" w:type="dxa"/>
            <w:vMerge w:val="restart"/>
            <w:shd w:val="clear" w:color="auto" w:fill="FFFFFF"/>
            <w:vAlign w:val="center"/>
            <w:hideMark/>
          </w:tcPr>
          <w:p w14:paraId="7261EF65" w14:textId="6418FD0A" w:rsidR="007F2C43" w:rsidRPr="0019516D" w:rsidRDefault="007F2C43" w:rsidP="007F2C43">
            <w:pPr>
              <w:jc w:val="center"/>
            </w:pPr>
            <w:r>
              <w:rPr>
                <w:rFonts w:eastAsiaTheme="minorEastAsia"/>
                <w:lang w:eastAsia="ja-JP"/>
              </w:rPr>
              <w:t>Sony Corporation</w:t>
            </w:r>
          </w:p>
        </w:tc>
        <w:tc>
          <w:tcPr>
            <w:tcW w:w="2213" w:type="dxa"/>
            <w:vMerge w:val="restart"/>
            <w:shd w:val="clear" w:color="auto" w:fill="FFFFFF"/>
            <w:tcMar>
              <w:top w:w="15" w:type="dxa"/>
              <w:left w:w="108" w:type="dxa"/>
              <w:bottom w:w="0" w:type="dxa"/>
              <w:right w:w="108" w:type="dxa"/>
            </w:tcMar>
            <w:vAlign w:val="center"/>
            <w:hideMark/>
          </w:tcPr>
          <w:p w14:paraId="3229F260" w14:textId="60DE4C01" w:rsidR="007F2C43" w:rsidRPr="00E7447D" w:rsidRDefault="007F2C43" w:rsidP="007F2C43">
            <w:pPr>
              <w:rPr>
                <w:rFonts w:eastAsiaTheme="minorEastAsia"/>
                <w:lang w:eastAsia="ja-JP"/>
              </w:rPr>
            </w:pPr>
            <w:r>
              <w:rPr>
                <w:rFonts w:eastAsiaTheme="minorEastAsia"/>
                <w:lang w:eastAsia="ja-JP"/>
              </w:rPr>
              <w:t>Osaki 2-10-1, Shinagawa, Tokyo, JP</w:t>
            </w:r>
          </w:p>
        </w:tc>
        <w:tc>
          <w:tcPr>
            <w:tcW w:w="933" w:type="dxa"/>
            <w:vMerge w:val="restart"/>
            <w:shd w:val="clear" w:color="auto" w:fill="FFFFFF"/>
            <w:tcMar>
              <w:top w:w="15" w:type="dxa"/>
              <w:left w:w="108" w:type="dxa"/>
              <w:bottom w:w="0" w:type="dxa"/>
              <w:right w:w="108" w:type="dxa"/>
            </w:tcMar>
            <w:vAlign w:val="center"/>
            <w:hideMark/>
          </w:tcPr>
          <w:p w14:paraId="0E4409F2" w14:textId="3DC984AF" w:rsidR="007F2C43" w:rsidRPr="00855146" w:rsidRDefault="007F2C43" w:rsidP="007F2C43">
            <w:pPr>
              <w:rPr>
                <w:sz w:val="16"/>
                <w:szCs w:val="16"/>
              </w:rPr>
            </w:pPr>
            <w:r>
              <w:rPr>
                <w:sz w:val="16"/>
                <w:szCs w:val="16"/>
              </w:rPr>
              <w:t> </w:t>
            </w:r>
          </w:p>
        </w:tc>
        <w:tc>
          <w:tcPr>
            <w:tcW w:w="2693" w:type="dxa"/>
            <w:shd w:val="clear" w:color="auto" w:fill="FFFFFF"/>
            <w:tcMar>
              <w:top w:w="15" w:type="dxa"/>
              <w:left w:w="108" w:type="dxa"/>
              <w:bottom w:w="0" w:type="dxa"/>
              <w:right w:w="108" w:type="dxa"/>
            </w:tcMar>
            <w:vAlign w:val="center"/>
            <w:hideMark/>
          </w:tcPr>
          <w:p w14:paraId="633E3DD0" w14:textId="09744EB4" w:rsidR="007F2C43" w:rsidRPr="00E7447D" w:rsidRDefault="007F2C43" w:rsidP="007F2C43">
            <w:pPr>
              <w:rPr>
                <w:rFonts w:eastAsiaTheme="minorEastAsia"/>
                <w:sz w:val="18"/>
                <w:lang w:eastAsia="ja-JP"/>
              </w:rPr>
            </w:pPr>
            <w:r>
              <w:rPr>
                <w:rFonts w:eastAsiaTheme="minorEastAsia"/>
                <w:sz w:val="18"/>
                <w:lang w:eastAsia="ja-JP"/>
              </w:rPr>
              <w:t>YusukeC.Tanaka@jp.sony.com</w:t>
            </w:r>
          </w:p>
        </w:tc>
      </w:tr>
      <w:tr w:rsidR="007F2C43" w:rsidRPr="0019516D" w14:paraId="58F05C56" w14:textId="77777777" w:rsidTr="005747FC">
        <w:trPr>
          <w:trHeight w:val="545"/>
        </w:trPr>
        <w:tc>
          <w:tcPr>
            <w:tcW w:w="1732" w:type="dxa"/>
            <w:shd w:val="clear" w:color="auto" w:fill="FFFFFF"/>
            <w:tcMar>
              <w:top w:w="15" w:type="dxa"/>
              <w:left w:w="108" w:type="dxa"/>
              <w:bottom w:w="0" w:type="dxa"/>
              <w:right w:w="108" w:type="dxa"/>
            </w:tcMar>
            <w:vAlign w:val="center"/>
          </w:tcPr>
          <w:p w14:paraId="126078E3" w14:textId="4DFBFE38" w:rsidR="007F2C43" w:rsidRDefault="007F2C43" w:rsidP="007F2C43">
            <w:pPr>
              <w:rPr>
                <w:rFonts w:eastAsiaTheme="minorEastAsia"/>
                <w:lang w:eastAsia="ja-JP"/>
              </w:rPr>
            </w:pPr>
            <w:r>
              <w:rPr>
                <w:rFonts w:eastAsiaTheme="minorEastAsia"/>
                <w:lang w:eastAsia="ja-JP"/>
              </w:rPr>
              <w:t>Yuichi Morioka</w:t>
            </w:r>
          </w:p>
        </w:tc>
        <w:tc>
          <w:tcPr>
            <w:tcW w:w="1751" w:type="dxa"/>
            <w:vMerge/>
            <w:shd w:val="clear" w:color="auto" w:fill="FFFFFF"/>
            <w:vAlign w:val="center"/>
          </w:tcPr>
          <w:p w14:paraId="1A0A4800" w14:textId="77777777" w:rsidR="007F2C43" w:rsidRPr="0019516D" w:rsidRDefault="007F2C43" w:rsidP="007F2C43">
            <w:pPr>
              <w:jc w:val="center"/>
            </w:pPr>
          </w:p>
        </w:tc>
        <w:tc>
          <w:tcPr>
            <w:tcW w:w="2213" w:type="dxa"/>
            <w:vMerge/>
            <w:shd w:val="clear" w:color="auto" w:fill="FFFFFF"/>
            <w:tcMar>
              <w:top w:w="15" w:type="dxa"/>
              <w:left w:w="108" w:type="dxa"/>
              <w:bottom w:w="0" w:type="dxa"/>
              <w:right w:w="108" w:type="dxa"/>
            </w:tcMar>
            <w:vAlign w:val="center"/>
          </w:tcPr>
          <w:p w14:paraId="1778EFEF" w14:textId="77777777" w:rsidR="007F2C43" w:rsidRDefault="007F2C43" w:rsidP="007F2C43">
            <w:pPr>
              <w:rPr>
                <w:rFonts w:eastAsiaTheme="minorEastAsia"/>
                <w:lang w:eastAsia="ja-JP"/>
              </w:rPr>
            </w:pPr>
          </w:p>
        </w:tc>
        <w:tc>
          <w:tcPr>
            <w:tcW w:w="933" w:type="dxa"/>
            <w:vMerge/>
            <w:shd w:val="clear" w:color="auto" w:fill="FFFFFF"/>
            <w:tcMar>
              <w:top w:w="15" w:type="dxa"/>
              <w:left w:w="108" w:type="dxa"/>
              <w:bottom w:w="0" w:type="dxa"/>
              <w:right w:w="108" w:type="dxa"/>
            </w:tcMar>
            <w:vAlign w:val="center"/>
          </w:tcPr>
          <w:p w14:paraId="159965B0" w14:textId="77777777" w:rsidR="007F2C43" w:rsidRPr="00855146" w:rsidRDefault="007F2C43" w:rsidP="007F2C43">
            <w:pPr>
              <w:rPr>
                <w:sz w:val="16"/>
                <w:szCs w:val="16"/>
              </w:rPr>
            </w:pPr>
          </w:p>
        </w:tc>
        <w:tc>
          <w:tcPr>
            <w:tcW w:w="2693" w:type="dxa"/>
            <w:shd w:val="clear" w:color="auto" w:fill="FFFFFF"/>
            <w:tcMar>
              <w:top w:w="15" w:type="dxa"/>
              <w:left w:w="108" w:type="dxa"/>
              <w:bottom w:w="0" w:type="dxa"/>
              <w:right w:w="108" w:type="dxa"/>
            </w:tcMar>
            <w:vAlign w:val="center"/>
          </w:tcPr>
          <w:p w14:paraId="38DEDDD1" w14:textId="57549856" w:rsidR="007F2C43" w:rsidRDefault="007F2C43" w:rsidP="007F2C43">
            <w:pPr>
              <w:rPr>
                <w:rFonts w:eastAsiaTheme="minorEastAsia"/>
                <w:sz w:val="18"/>
                <w:lang w:eastAsia="ja-JP"/>
              </w:rPr>
            </w:pPr>
            <w:r>
              <w:rPr>
                <w:rFonts w:eastAsiaTheme="minorEastAsia"/>
                <w:sz w:val="18"/>
                <w:lang w:eastAsia="ja-JP"/>
              </w:rPr>
              <w:t>Yuichi.Morioka@jp.sony.com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Pr="00E744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7B02A23C" w:rsidR="00AC32D5" w:rsidRDefault="00AC32D5" w:rsidP="00AC32D5">
                            <w:pPr>
                              <w:jc w:val="both"/>
                              <w:rPr>
                                <w:lang w:eastAsia="ko-KR"/>
                              </w:rPr>
                            </w:pPr>
                            <w:r>
                              <w:rPr>
                                <w:rFonts w:hint="eastAsia"/>
                                <w:lang w:eastAsia="ko-KR"/>
                              </w:rPr>
                              <w:t>This submission propos</w:t>
                            </w:r>
                            <w:r>
                              <w:rPr>
                                <w:lang w:eastAsia="ko-KR"/>
                              </w:rPr>
                              <w:t>es</w:t>
                            </w:r>
                            <w:r w:rsidR="006C6494">
                              <w:rPr>
                                <w:rFonts w:eastAsiaTheme="minorEastAsia" w:hint="eastAsia"/>
                                <w:lang w:eastAsia="ja-JP"/>
                              </w:rPr>
                              <w:t xml:space="preserve"> </w:t>
                            </w:r>
                            <w:r>
                              <w:rPr>
                                <w:lang w:eastAsia="ko-KR"/>
                              </w:rPr>
                              <w:t xml:space="preserve">resolution for </w:t>
                            </w:r>
                            <w:r w:rsidR="00AF2161">
                              <w:rPr>
                                <w:rFonts w:eastAsiaTheme="minorEastAsia" w:hint="eastAsia"/>
                                <w:lang w:eastAsia="ja-JP"/>
                              </w:rPr>
                              <w:t>a</w:t>
                            </w:r>
                            <w:r>
                              <w:rPr>
                                <w:lang w:eastAsia="ko-KR"/>
                              </w:rPr>
                              <w:t xml:space="preserve"> comment related to TGax D0.1 with the following CID:</w:t>
                            </w:r>
                          </w:p>
                          <w:p w14:paraId="2CD06B82" w14:textId="282A9D8F" w:rsidR="00B14F5F" w:rsidRDefault="00656DF4" w:rsidP="00A634BE">
                            <w:pPr>
                              <w:pStyle w:val="af"/>
                              <w:numPr>
                                <w:ilvl w:val="0"/>
                                <w:numId w:val="5"/>
                              </w:numPr>
                              <w:tabs>
                                <w:tab w:val="num" w:pos="360"/>
                              </w:tabs>
                              <w:jc w:val="both"/>
                            </w:pPr>
                            <w:r>
                              <w:rPr>
                                <w:rFonts w:eastAsiaTheme="minorEastAsia" w:hint="eastAsia"/>
                                <w:lang w:eastAsia="ja-JP"/>
                              </w:rPr>
                              <w:t xml:space="preserve">CID </w:t>
                            </w:r>
                            <w:r w:rsidR="00E7447D">
                              <w:rPr>
                                <w:rFonts w:eastAsiaTheme="minorEastAsia" w:hint="eastAsia"/>
                                <w:lang w:eastAsia="ja-JP"/>
                              </w:rPr>
                              <w:t>1012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7B02A23C" w:rsidR="00AC32D5" w:rsidRDefault="00AC32D5" w:rsidP="00AC32D5">
                      <w:pPr>
                        <w:jc w:val="both"/>
                        <w:rPr>
                          <w:lang w:eastAsia="ko-KR"/>
                        </w:rPr>
                      </w:pPr>
                      <w:r>
                        <w:rPr>
                          <w:rFonts w:hint="eastAsia"/>
                          <w:lang w:eastAsia="ko-KR"/>
                        </w:rPr>
                        <w:t>This submission propos</w:t>
                      </w:r>
                      <w:r>
                        <w:rPr>
                          <w:lang w:eastAsia="ko-KR"/>
                        </w:rPr>
                        <w:t>es</w:t>
                      </w:r>
                      <w:r w:rsidR="006C6494">
                        <w:rPr>
                          <w:rFonts w:eastAsiaTheme="minorEastAsia" w:hint="eastAsia"/>
                          <w:lang w:eastAsia="ja-JP"/>
                        </w:rPr>
                        <w:t xml:space="preserve"> </w:t>
                      </w:r>
                      <w:r>
                        <w:rPr>
                          <w:lang w:eastAsia="ko-KR"/>
                        </w:rPr>
                        <w:t xml:space="preserve">resolution for </w:t>
                      </w:r>
                      <w:r w:rsidR="00AF2161">
                        <w:rPr>
                          <w:rFonts w:eastAsiaTheme="minorEastAsia" w:hint="eastAsia"/>
                          <w:lang w:eastAsia="ja-JP"/>
                        </w:rPr>
                        <w:t>a</w:t>
                      </w:r>
                      <w:r>
                        <w:rPr>
                          <w:lang w:eastAsia="ko-KR"/>
                        </w:rPr>
                        <w:t xml:space="preserve"> comment related to TGax D0.1 with the following CID:</w:t>
                      </w:r>
                    </w:p>
                    <w:p w14:paraId="2CD06B82" w14:textId="282A9D8F" w:rsidR="00B14F5F" w:rsidRDefault="00656DF4" w:rsidP="00A634BE">
                      <w:pPr>
                        <w:pStyle w:val="af"/>
                        <w:numPr>
                          <w:ilvl w:val="0"/>
                          <w:numId w:val="5"/>
                        </w:numPr>
                        <w:tabs>
                          <w:tab w:val="num" w:pos="360"/>
                        </w:tabs>
                        <w:jc w:val="both"/>
                      </w:pPr>
                      <w:r>
                        <w:rPr>
                          <w:rFonts w:eastAsiaTheme="minorEastAsia" w:hint="eastAsia"/>
                          <w:lang w:eastAsia="ja-JP"/>
                        </w:rPr>
                        <w:t xml:space="preserve">CID </w:t>
                      </w:r>
                      <w:r w:rsidR="00E7447D">
                        <w:rPr>
                          <w:rFonts w:eastAsiaTheme="minorEastAsia" w:hint="eastAsia"/>
                          <w:lang w:eastAsia="ja-JP"/>
                        </w:rPr>
                        <w:t>1012</w:t>
                      </w:r>
                    </w:p>
                  </w:txbxContent>
                </v:textbox>
              </v:shape>
            </w:pict>
          </mc:Fallback>
        </mc:AlternateContent>
      </w:r>
    </w:p>
    <w:p w14:paraId="31FF625F" w14:textId="200E0215" w:rsidR="001D4CD9" w:rsidRDefault="00CA09B2" w:rsidP="005A3964">
      <w:pPr>
        <w:pStyle w:val="1"/>
      </w:pPr>
      <w:r w:rsidRPr="00924879">
        <w:br w:type="page"/>
      </w:r>
    </w:p>
    <w:p w14:paraId="2ADBABCB" w14:textId="72805122"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Comment</w:t>
      </w:r>
    </w:p>
    <w:p w14:paraId="039B1F73" w14:textId="77777777" w:rsidR="002E5287" w:rsidRDefault="002E5287" w:rsidP="0047110F"/>
    <w:tbl>
      <w:tblPr>
        <w:tblW w:w="10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63"/>
        <w:gridCol w:w="3384"/>
        <w:gridCol w:w="3543"/>
        <w:gridCol w:w="1452"/>
      </w:tblGrid>
      <w:tr w:rsidR="006C6494" w14:paraId="39815F89" w14:textId="77777777" w:rsidTr="00E145CB">
        <w:trPr>
          <w:trHeight w:val="386"/>
        </w:trPr>
        <w:tc>
          <w:tcPr>
            <w:tcW w:w="841" w:type="dxa"/>
            <w:shd w:val="clear" w:color="auto" w:fill="auto"/>
            <w:hideMark/>
          </w:tcPr>
          <w:p w14:paraId="362B0149" w14:textId="77777777" w:rsidR="006C6494" w:rsidRDefault="006C6494">
            <w:pPr>
              <w:rPr>
                <w:rFonts w:ascii="Arial" w:hAnsi="Arial" w:cs="Arial"/>
                <w:b/>
                <w:bCs/>
                <w:sz w:val="20"/>
                <w:lang w:val="en-US"/>
              </w:rPr>
            </w:pPr>
            <w:r>
              <w:rPr>
                <w:rFonts w:ascii="Arial" w:hAnsi="Arial" w:cs="Arial"/>
                <w:b/>
                <w:bCs/>
                <w:sz w:val="20"/>
              </w:rPr>
              <w:t>CID</w:t>
            </w:r>
          </w:p>
        </w:tc>
        <w:tc>
          <w:tcPr>
            <w:tcW w:w="963" w:type="dxa"/>
            <w:shd w:val="clear" w:color="auto" w:fill="auto"/>
            <w:hideMark/>
          </w:tcPr>
          <w:p w14:paraId="7F41DCDA" w14:textId="686AD5FD" w:rsidR="006C6494" w:rsidRDefault="006C6494">
            <w:pPr>
              <w:rPr>
                <w:rFonts w:ascii="Arial" w:hAnsi="Arial" w:cs="Arial"/>
                <w:b/>
                <w:bCs/>
                <w:sz w:val="20"/>
              </w:rPr>
            </w:pPr>
            <w:r>
              <w:rPr>
                <w:rFonts w:ascii="Arial" w:hAnsi="Arial" w:cs="Arial"/>
                <w:b/>
                <w:bCs/>
                <w:sz w:val="20"/>
              </w:rPr>
              <w:t>PP.LL</w:t>
            </w:r>
          </w:p>
        </w:tc>
        <w:tc>
          <w:tcPr>
            <w:tcW w:w="3384" w:type="dxa"/>
            <w:shd w:val="clear" w:color="auto" w:fill="auto"/>
            <w:hideMark/>
          </w:tcPr>
          <w:p w14:paraId="1CC2935B" w14:textId="77777777" w:rsidR="006C6494" w:rsidRDefault="006C6494">
            <w:pPr>
              <w:rPr>
                <w:rFonts w:ascii="Arial" w:hAnsi="Arial" w:cs="Arial"/>
                <w:b/>
                <w:bCs/>
                <w:sz w:val="20"/>
              </w:rPr>
            </w:pPr>
            <w:r>
              <w:rPr>
                <w:rFonts w:ascii="Arial" w:hAnsi="Arial" w:cs="Arial"/>
                <w:b/>
                <w:bCs/>
                <w:sz w:val="20"/>
              </w:rPr>
              <w:t>Comment</w:t>
            </w:r>
          </w:p>
        </w:tc>
        <w:tc>
          <w:tcPr>
            <w:tcW w:w="3543" w:type="dxa"/>
            <w:shd w:val="clear" w:color="auto" w:fill="auto"/>
            <w:hideMark/>
          </w:tcPr>
          <w:p w14:paraId="6F9BBCC8" w14:textId="77777777" w:rsidR="006C6494" w:rsidRDefault="006C6494">
            <w:pPr>
              <w:rPr>
                <w:rFonts w:ascii="Arial" w:hAnsi="Arial" w:cs="Arial"/>
                <w:b/>
                <w:bCs/>
                <w:sz w:val="20"/>
              </w:rPr>
            </w:pPr>
            <w:r>
              <w:rPr>
                <w:rFonts w:ascii="Arial" w:hAnsi="Arial" w:cs="Arial"/>
                <w:b/>
                <w:bCs/>
                <w:sz w:val="20"/>
              </w:rPr>
              <w:t>Proposed Change</w:t>
            </w:r>
          </w:p>
        </w:tc>
        <w:tc>
          <w:tcPr>
            <w:tcW w:w="1452" w:type="dxa"/>
            <w:shd w:val="clear" w:color="auto" w:fill="auto"/>
            <w:hideMark/>
          </w:tcPr>
          <w:p w14:paraId="44A643BC" w14:textId="77777777" w:rsidR="006C6494" w:rsidRDefault="006C6494">
            <w:pPr>
              <w:rPr>
                <w:rFonts w:ascii="Arial" w:hAnsi="Arial" w:cs="Arial"/>
                <w:b/>
                <w:bCs/>
                <w:sz w:val="20"/>
              </w:rPr>
            </w:pPr>
            <w:r>
              <w:rPr>
                <w:rFonts w:ascii="Arial" w:hAnsi="Arial" w:cs="Arial"/>
                <w:b/>
                <w:bCs/>
                <w:sz w:val="20"/>
              </w:rPr>
              <w:t>Resolution</w:t>
            </w:r>
          </w:p>
        </w:tc>
      </w:tr>
      <w:tr w:rsidR="006C6494" w14:paraId="087E950C" w14:textId="77777777" w:rsidTr="00E145CB">
        <w:trPr>
          <w:trHeight w:val="2805"/>
        </w:trPr>
        <w:tc>
          <w:tcPr>
            <w:tcW w:w="841" w:type="dxa"/>
            <w:shd w:val="clear" w:color="auto" w:fill="auto"/>
            <w:hideMark/>
          </w:tcPr>
          <w:p w14:paraId="788DC226" w14:textId="73B6E1AA" w:rsidR="006C6494" w:rsidRPr="00E7447D" w:rsidRDefault="006C6494">
            <w:pPr>
              <w:jc w:val="right"/>
              <w:rPr>
                <w:rFonts w:ascii="Arial" w:eastAsiaTheme="minorEastAsia" w:hAnsi="Arial" w:cs="Arial"/>
                <w:sz w:val="20"/>
                <w:lang w:val="en-US" w:eastAsia="ja-JP"/>
              </w:rPr>
            </w:pPr>
            <w:r>
              <w:rPr>
                <w:rFonts w:ascii="Arial" w:eastAsiaTheme="minorEastAsia" w:hAnsi="Arial" w:cs="Arial" w:hint="eastAsia"/>
                <w:sz w:val="20"/>
                <w:lang w:eastAsia="ja-JP"/>
              </w:rPr>
              <w:t>1012</w:t>
            </w:r>
          </w:p>
        </w:tc>
        <w:tc>
          <w:tcPr>
            <w:tcW w:w="963" w:type="dxa"/>
            <w:shd w:val="clear" w:color="auto" w:fill="auto"/>
            <w:hideMark/>
          </w:tcPr>
          <w:p w14:paraId="4671A78A" w14:textId="763223DF" w:rsidR="006C6494" w:rsidRDefault="006C6494" w:rsidP="00E7447D">
            <w:pPr>
              <w:jc w:val="right"/>
              <w:rPr>
                <w:rFonts w:ascii="Arial" w:hAnsi="Arial" w:cs="Arial"/>
                <w:sz w:val="20"/>
              </w:rPr>
            </w:pPr>
            <w:r>
              <w:rPr>
                <w:rFonts w:ascii="Arial" w:eastAsiaTheme="minorEastAsia" w:hAnsi="Arial" w:cs="Arial" w:hint="eastAsia"/>
                <w:sz w:val="20"/>
                <w:lang w:eastAsia="ja-JP"/>
              </w:rPr>
              <w:t>44</w:t>
            </w:r>
            <w:r>
              <w:rPr>
                <w:rFonts w:ascii="Arial" w:hAnsi="Arial" w:cs="Arial"/>
                <w:sz w:val="20"/>
              </w:rPr>
              <w:t>.</w:t>
            </w:r>
            <w:r>
              <w:rPr>
                <w:rFonts w:ascii="Arial" w:eastAsiaTheme="minorEastAsia" w:hAnsi="Arial" w:cs="Arial" w:hint="eastAsia"/>
                <w:sz w:val="20"/>
                <w:lang w:eastAsia="ja-JP"/>
              </w:rPr>
              <w:t>5</w:t>
            </w:r>
            <w:r>
              <w:rPr>
                <w:rFonts w:ascii="Arial" w:hAnsi="Arial" w:cs="Arial"/>
                <w:sz w:val="20"/>
              </w:rPr>
              <w:t>1</w:t>
            </w:r>
          </w:p>
        </w:tc>
        <w:tc>
          <w:tcPr>
            <w:tcW w:w="3384" w:type="dxa"/>
            <w:shd w:val="clear" w:color="auto" w:fill="auto"/>
            <w:hideMark/>
          </w:tcPr>
          <w:p w14:paraId="11352231" w14:textId="5DABFF85" w:rsidR="006C6494" w:rsidRDefault="006C6494">
            <w:pPr>
              <w:rPr>
                <w:rFonts w:ascii="Arial" w:hAnsi="Arial" w:cs="Arial"/>
                <w:sz w:val="20"/>
              </w:rPr>
            </w:pPr>
            <w:r w:rsidRPr="00E7447D">
              <w:rPr>
                <w:rFonts w:ascii="Arial" w:hAnsi="Arial" w:cs="Arial"/>
                <w:sz w:val="20"/>
              </w:rPr>
              <w:t>GCR allows retransmissions to support higher reliability. However, the sequence number for group addressed frames comes from a single counter (see 10.3.2.12 in REVmc D5.0). The mixed use of sequence number counter for general broadcast frames and multicast frames associated with GCR causes inefficient operation of GCR block ack procedure. This mixed use of sequence number for GCR multicast frames should be amended for HE STAs to allow efficient and easy implementation of GCR operations.</w:t>
            </w:r>
          </w:p>
        </w:tc>
        <w:tc>
          <w:tcPr>
            <w:tcW w:w="3543" w:type="dxa"/>
            <w:shd w:val="clear" w:color="auto" w:fill="auto"/>
            <w:hideMark/>
          </w:tcPr>
          <w:p w14:paraId="6F0E3575" w14:textId="77777777" w:rsidR="006C6494" w:rsidRPr="00E7447D" w:rsidRDefault="006C6494" w:rsidP="00E7447D">
            <w:pPr>
              <w:rPr>
                <w:rFonts w:ascii="Arial" w:hAnsi="Arial" w:cs="Arial"/>
                <w:sz w:val="20"/>
              </w:rPr>
            </w:pPr>
            <w:r w:rsidRPr="00E7447D">
              <w:rPr>
                <w:rFonts w:ascii="Arial" w:hAnsi="Arial" w:cs="Arial"/>
                <w:sz w:val="20"/>
              </w:rPr>
              <w:t xml:space="preserve">Specify another sequence number spaces for HE GCR operations, so that HE STAs can enjoy use </w:t>
            </w:r>
            <w:proofErr w:type="spellStart"/>
            <w:r w:rsidRPr="00E7447D">
              <w:rPr>
                <w:rFonts w:ascii="Arial" w:hAnsi="Arial" w:cs="Arial"/>
                <w:sz w:val="20"/>
              </w:rPr>
              <w:t>independenet</w:t>
            </w:r>
            <w:proofErr w:type="spellEnd"/>
            <w:r w:rsidRPr="00E7447D">
              <w:rPr>
                <w:rFonts w:ascii="Arial" w:hAnsi="Arial" w:cs="Arial"/>
                <w:sz w:val="20"/>
              </w:rPr>
              <w:t xml:space="preserve"> sequence numbering for GCR group members. Amend 10.3.2.12.2 Transmitter Requirements, 10.3.2.12.3 Receiver Requirements, and 11.24.16.3 GCR procedures to describe how the sequence number spaces shall be managed by HE STAs.</w:t>
            </w:r>
          </w:p>
          <w:p w14:paraId="3E6D6919" w14:textId="0F25CDD5" w:rsidR="006C6494" w:rsidRDefault="006C6494" w:rsidP="00E7447D">
            <w:pPr>
              <w:rPr>
                <w:rFonts w:ascii="Arial" w:hAnsi="Arial" w:cs="Arial"/>
                <w:sz w:val="20"/>
              </w:rPr>
            </w:pPr>
            <w:r w:rsidRPr="00E7447D">
              <w:rPr>
                <w:rFonts w:ascii="Arial" w:hAnsi="Arial" w:cs="Arial"/>
                <w:sz w:val="20"/>
              </w:rPr>
              <w:t>Alternatively, amend block ack mechanism to be able to distinguish GCR multicast flow and other traffics from a single sequence numbering.</w:t>
            </w:r>
          </w:p>
        </w:tc>
        <w:tc>
          <w:tcPr>
            <w:tcW w:w="1452" w:type="dxa"/>
            <w:shd w:val="clear" w:color="auto" w:fill="auto"/>
            <w:hideMark/>
          </w:tcPr>
          <w:p w14:paraId="197478DE" w14:textId="6FF5319F" w:rsidR="006C6494" w:rsidRPr="006C6494" w:rsidRDefault="006C6494" w:rsidP="00DD7E5E">
            <w:pPr>
              <w:rPr>
                <w:rFonts w:ascii="Arial" w:eastAsiaTheme="minorEastAsia" w:hAnsi="Arial" w:cs="Arial"/>
                <w:sz w:val="20"/>
                <w:lang w:eastAsia="ja-JP"/>
              </w:rPr>
            </w:pPr>
            <w:r>
              <w:rPr>
                <w:rFonts w:ascii="Arial" w:eastAsiaTheme="minorEastAsia" w:hAnsi="Arial" w:cs="Arial" w:hint="eastAsia"/>
                <w:sz w:val="20"/>
                <w:lang w:eastAsia="ja-JP"/>
              </w:rPr>
              <w:t>R</w:t>
            </w:r>
            <w:r w:rsidR="00132D74">
              <w:rPr>
                <w:rFonts w:ascii="Arial" w:eastAsiaTheme="minorEastAsia" w:hAnsi="Arial" w:cs="Arial" w:hint="eastAsia"/>
                <w:sz w:val="20"/>
                <w:lang w:eastAsia="ja-JP"/>
              </w:rPr>
              <w:t>ejected</w:t>
            </w:r>
          </w:p>
          <w:p w14:paraId="0665BFDF" w14:textId="6FA9843C" w:rsidR="006C6494" w:rsidRPr="000D2CFE" w:rsidRDefault="006C6494" w:rsidP="00DD7E5E">
            <w:pPr>
              <w:rPr>
                <w:rFonts w:ascii="Arial" w:eastAsiaTheme="minorEastAsia" w:hAnsi="Arial" w:cs="Arial"/>
                <w:sz w:val="20"/>
                <w:lang w:eastAsia="ja-JP"/>
              </w:rPr>
            </w:pPr>
          </w:p>
        </w:tc>
      </w:tr>
    </w:tbl>
    <w:p w14:paraId="1396C4EF" w14:textId="76CE1B60" w:rsidR="00C15AEA" w:rsidRDefault="00C15AEA" w:rsidP="00414539">
      <w:pPr>
        <w:pStyle w:val="EditingInstruction"/>
        <w:rPr>
          <w:rFonts w:eastAsiaTheme="minorEastAsia"/>
          <w:lang w:eastAsia="ja-JP"/>
        </w:rPr>
      </w:pPr>
    </w:p>
    <w:p w14:paraId="57417E7F" w14:textId="3FD6C604"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t>Discussion</w:t>
      </w:r>
    </w:p>
    <w:p w14:paraId="18DC63E9" w14:textId="77777777" w:rsidR="00741F1C" w:rsidRDefault="00741F1C" w:rsidP="000D2CFE">
      <w:pPr>
        <w:rPr>
          <w:lang w:eastAsia="ja-JP"/>
        </w:rPr>
      </w:pPr>
    </w:p>
    <w:p w14:paraId="30787A93" w14:textId="100173E8" w:rsidR="006C6494" w:rsidRPr="00320DCC" w:rsidRDefault="006C6494" w:rsidP="006C6494">
      <w:pPr>
        <w:rPr>
          <w:rFonts w:eastAsiaTheme="minorEastAsia"/>
          <w:lang w:eastAsia="ja-JP"/>
        </w:rPr>
      </w:pPr>
      <w:r>
        <w:rPr>
          <w:rFonts w:eastAsiaTheme="minorEastAsia" w:hint="eastAsia"/>
          <w:lang w:eastAsia="ja-JP"/>
        </w:rPr>
        <w:t>The c</w:t>
      </w:r>
      <w:r w:rsidR="00741F1C">
        <w:rPr>
          <w:lang w:eastAsia="ja-JP"/>
        </w:rPr>
        <w:t>ommenter pointed out one of the shortcomings of GCR block ack mechanism introduced by 802.11aa.</w:t>
      </w:r>
    </w:p>
    <w:p w14:paraId="469557E7" w14:textId="671EA099" w:rsidR="00741F1C" w:rsidRPr="00320DCC" w:rsidRDefault="00132D74" w:rsidP="000D2CFE">
      <w:pPr>
        <w:rPr>
          <w:rFonts w:eastAsiaTheme="minorEastAsia"/>
          <w:lang w:eastAsia="ja-JP"/>
        </w:rPr>
      </w:pPr>
      <w:r>
        <w:rPr>
          <w:rFonts w:eastAsiaTheme="minorEastAsia" w:hint="eastAsia"/>
          <w:lang w:eastAsia="ja-JP"/>
        </w:rPr>
        <w:t>TGax v</w:t>
      </w:r>
      <w:r w:rsidR="006C6494">
        <w:rPr>
          <w:rFonts w:eastAsiaTheme="minorEastAsia" w:hint="eastAsia"/>
          <w:lang w:eastAsia="ja-JP"/>
        </w:rPr>
        <w:t xml:space="preserve">olunteers </w:t>
      </w:r>
      <w:r w:rsidR="006C6494">
        <w:rPr>
          <w:rFonts w:eastAsiaTheme="minorEastAsia"/>
          <w:lang w:eastAsia="ja-JP"/>
        </w:rPr>
        <w:t>discussed</w:t>
      </w:r>
      <w:r w:rsidR="006C6494">
        <w:rPr>
          <w:rFonts w:eastAsiaTheme="minorEastAsia" w:hint="eastAsia"/>
          <w:lang w:eastAsia="ja-JP"/>
        </w:rPr>
        <w:t xml:space="preserve"> direction to resolve this comment and concluded that </w:t>
      </w:r>
      <w:r w:rsidR="007F2C43">
        <w:rPr>
          <w:rFonts w:eastAsiaTheme="minorEastAsia" w:hint="eastAsia"/>
          <w:lang w:eastAsia="ja-JP"/>
        </w:rPr>
        <w:t xml:space="preserve">other </w:t>
      </w:r>
      <w:r w:rsidR="006C6494">
        <w:rPr>
          <w:rFonts w:eastAsiaTheme="minorEastAsia" w:hint="eastAsia"/>
          <w:lang w:eastAsia="ja-JP"/>
        </w:rPr>
        <w:t>maintenance</w:t>
      </w:r>
      <w:r w:rsidR="007F2C43">
        <w:rPr>
          <w:rFonts w:eastAsiaTheme="minorEastAsia" w:hint="eastAsia"/>
          <w:lang w:eastAsia="ja-JP"/>
        </w:rPr>
        <w:t xml:space="preserve"> Task</w:t>
      </w:r>
      <w:r w:rsidR="006C6494">
        <w:rPr>
          <w:rFonts w:eastAsiaTheme="minorEastAsia" w:hint="eastAsia"/>
          <w:lang w:eastAsia="ja-JP"/>
        </w:rPr>
        <w:t xml:space="preserve"> group (e.g. </w:t>
      </w:r>
      <w:proofErr w:type="spellStart"/>
      <w:r w:rsidR="006C6494">
        <w:rPr>
          <w:rFonts w:eastAsiaTheme="minorEastAsia" w:hint="eastAsia"/>
          <w:lang w:eastAsia="ja-JP"/>
        </w:rPr>
        <w:t>TGmc</w:t>
      </w:r>
      <w:proofErr w:type="spellEnd"/>
      <w:r w:rsidR="006C6494">
        <w:rPr>
          <w:rFonts w:eastAsiaTheme="minorEastAsia" w:hint="eastAsia"/>
          <w:lang w:eastAsia="ja-JP"/>
        </w:rPr>
        <w:t>)</w:t>
      </w:r>
      <w:r w:rsidR="007F2C43">
        <w:rPr>
          <w:rFonts w:eastAsiaTheme="minorEastAsia" w:hint="eastAsia"/>
          <w:lang w:eastAsia="ja-JP"/>
        </w:rPr>
        <w:t xml:space="preserve"> was an appropriate place to resolve the issue. </w:t>
      </w:r>
      <w:r w:rsidR="00F85187">
        <w:rPr>
          <w:rFonts w:eastAsiaTheme="minorEastAsia"/>
          <w:lang w:eastAsia="ja-JP"/>
        </w:rPr>
        <w:t>That</w:t>
      </w:r>
      <w:r w:rsidR="00F85187">
        <w:rPr>
          <w:rFonts w:eastAsiaTheme="minorEastAsia" w:hint="eastAsia"/>
          <w:lang w:eastAsia="ja-JP"/>
        </w:rPr>
        <w:t xml:space="preserve"> is </w:t>
      </w:r>
      <w:proofErr w:type="spellStart"/>
      <w:r w:rsidR="00F85187">
        <w:rPr>
          <w:rFonts w:eastAsiaTheme="minorEastAsia" w:hint="eastAsia"/>
          <w:lang w:eastAsia="ja-JP"/>
        </w:rPr>
        <w:t>becasuse</w:t>
      </w:r>
      <w:proofErr w:type="spellEnd"/>
      <w:r w:rsidR="00F85187">
        <w:rPr>
          <w:rFonts w:eastAsiaTheme="minorEastAsia" w:hint="eastAsia"/>
          <w:lang w:eastAsia="ja-JP"/>
        </w:rPr>
        <w:t xml:space="preserve"> the origin of the issue </w:t>
      </w:r>
      <w:r w:rsidR="00E145CB">
        <w:rPr>
          <w:rFonts w:eastAsiaTheme="minorEastAsia" w:hint="eastAsia"/>
          <w:lang w:eastAsia="ja-JP"/>
        </w:rPr>
        <w:t xml:space="preserve">is 802.11aa spec and complete </w:t>
      </w:r>
      <w:proofErr w:type="spellStart"/>
      <w:r w:rsidR="00E145CB">
        <w:rPr>
          <w:rFonts w:eastAsiaTheme="minorEastAsia" w:hint="eastAsia"/>
          <w:lang w:eastAsia="ja-JP"/>
        </w:rPr>
        <w:t>splution</w:t>
      </w:r>
      <w:proofErr w:type="spellEnd"/>
      <w:r w:rsidR="00E145CB">
        <w:rPr>
          <w:rFonts w:eastAsiaTheme="minorEastAsia" w:hint="eastAsia"/>
          <w:lang w:eastAsia="ja-JP"/>
        </w:rPr>
        <w:t xml:space="preserve"> is fixing the texts.</w:t>
      </w:r>
    </w:p>
    <w:p w14:paraId="61D179E9" w14:textId="77777777" w:rsidR="00CD1AE6" w:rsidRDefault="00CD1AE6" w:rsidP="00741F1C">
      <w:pPr>
        <w:rPr>
          <w:lang w:eastAsia="ko-KR"/>
        </w:rPr>
      </w:pPr>
    </w:p>
    <w:p w14:paraId="5A55D691" w14:textId="77777777" w:rsidR="00CD1AE6" w:rsidRPr="001C2F25" w:rsidRDefault="00CD1AE6" w:rsidP="00CD1AE6">
      <w:pPr>
        <w:autoSpaceDE w:val="0"/>
        <w:autoSpaceDN w:val="0"/>
        <w:adjustRightInd w:val="0"/>
        <w:rPr>
          <w:b/>
          <w:sz w:val="32"/>
          <w:szCs w:val="24"/>
          <w:u w:val="single"/>
          <w:lang w:eastAsia="zh-CN"/>
        </w:rPr>
      </w:pPr>
      <w:r>
        <w:rPr>
          <w:b/>
          <w:sz w:val="32"/>
          <w:szCs w:val="24"/>
          <w:u w:val="single"/>
          <w:lang w:eastAsia="zh-CN"/>
        </w:rPr>
        <w:t>Proposed resolution</w:t>
      </w:r>
    </w:p>
    <w:p w14:paraId="7F4E3828" w14:textId="77777777" w:rsidR="00CD1AE6" w:rsidRDefault="00CD1AE6" w:rsidP="00CD1AE6">
      <w:pPr>
        <w:rPr>
          <w:rFonts w:eastAsiaTheme="minorEastAsia"/>
          <w:lang w:eastAsia="ja-JP"/>
        </w:rPr>
      </w:pPr>
    </w:p>
    <w:p w14:paraId="01F372C1" w14:textId="3A32EBE9" w:rsidR="006C6494" w:rsidRDefault="00E145CB" w:rsidP="00CD1AE6">
      <w:pPr>
        <w:rPr>
          <w:rFonts w:eastAsiaTheme="minorEastAsia"/>
          <w:lang w:eastAsia="ja-JP"/>
        </w:rPr>
      </w:pPr>
      <w:r>
        <w:rPr>
          <w:rFonts w:eastAsiaTheme="minorEastAsia" w:hint="eastAsia"/>
          <w:lang w:eastAsia="ja-JP"/>
        </w:rPr>
        <w:t xml:space="preserve">CID1012 is </w:t>
      </w:r>
      <w:proofErr w:type="gramStart"/>
      <w:r w:rsidR="00132D74">
        <w:rPr>
          <w:rFonts w:eastAsiaTheme="minorEastAsia" w:hint="eastAsia"/>
          <w:lang w:eastAsia="ja-JP"/>
        </w:rPr>
        <w:t>R</w:t>
      </w:r>
      <w:r>
        <w:rPr>
          <w:rFonts w:eastAsiaTheme="minorEastAsia"/>
          <w:lang w:eastAsia="ja-JP"/>
        </w:rPr>
        <w:t>ejected</w:t>
      </w:r>
      <w:proofErr w:type="gramEnd"/>
      <w:r>
        <w:rPr>
          <w:rFonts w:eastAsiaTheme="minorEastAsia" w:hint="eastAsia"/>
          <w:lang w:eastAsia="ja-JP"/>
        </w:rPr>
        <w:t>.</w:t>
      </w:r>
    </w:p>
    <w:p w14:paraId="2E200B03" w14:textId="77777777" w:rsidR="00CD1AE6" w:rsidRDefault="00CD1AE6" w:rsidP="00CD1AE6">
      <w:pPr>
        <w:rPr>
          <w:lang w:eastAsia="ja-JP"/>
        </w:rPr>
      </w:pPr>
    </w:p>
    <w:p w14:paraId="6B730E46" w14:textId="405D1BF0" w:rsidR="006C6494" w:rsidRPr="001C2F25" w:rsidRDefault="006C6494" w:rsidP="006C6494">
      <w:pPr>
        <w:autoSpaceDE w:val="0"/>
        <w:autoSpaceDN w:val="0"/>
        <w:adjustRightInd w:val="0"/>
        <w:rPr>
          <w:b/>
          <w:sz w:val="32"/>
          <w:szCs w:val="24"/>
          <w:u w:val="single"/>
          <w:lang w:eastAsia="zh-CN"/>
        </w:rPr>
      </w:pPr>
      <w:r>
        <w:rPr>
          <w:rFonts w:eastAsiaTheme="minorEastAsia" w:hint="eastAsia"/>
          <w:b/>
          <w:sz w:val="32"/>
          <w:szCs w:val="24"/>
          <w:u w:val="single"/>
          <w:lang w:eastAsia="ja-JP"/>
        </w:rPr>
        <w:t>Supplement</w:t>
      </w:r>
    </w:p>
    <w:p w14:paraId="6890C7F8" w14:textId="77777777" w:rsidR="00CD1AE6" w:rsidRDefault="00CD1AE6" w:rsidP="00741F1C">
      <w:pPr>
        <w:rPr>
          <w:rFonts w:eastAsiaTheme="minorEastAsia"/>
          <w:lang w:eastAsia="ja-JP"/>
        </w:rPr>
      </w:pPr>
    </w:p>
    <w:p w14:paraId="32B8A115" w14:textId="77777777" w:rsidR="00132D74" w:rsidRPr="004B31BD" w:rsidRDefault="00132D74" w:rsidP="00132D74">
      <w:pPr>
        <w:rPr>
          <w:rFonts w:eastAsiaTheme="minorEastAsia"/>
          <w:lang w:eastAsia="ja-JP"/>
        </w:rPr>
      </w:pPr>
      <w:r>
        <w:rPr>
          <w:rFonts w:eastAsiaTheme="minorEastAsia" w:hint="eastAsia"/>
          <w:lang w:eastAsia="ja-JP"/>
        </w:rPr>
        <w:t xml:space="preserve">This issue was raised via </w:t>
      </w:r>
      <w:proofErr w:type="spellStart"/>
      <w:r>
        <w:rPr>
          <w:rFonts w:eastAsiaTheme="minorEastAsia" w:hint="eastAsia"/>
          <w:lang w:eastAsia="ja-JP"/>
        </w:rPr>
        <w:t>TGmc</w:t>
      </w:r>
      <w:proofErr w:type="spellEnd"/>
      <w:r>
        <w:rPr>
          <w:rFonts w:eastAsiaTheme="minorEastAsia" w:hint="eastAsia"/>
          <w:lang w:eastAsia="ja-JP"/>
        </w:rPr>
        <w:t xml:space="preserve"> comment collection and </w:t>
      </w:r>
      <w:r>
        <w:rPr>
          <w:rFonts w:eastAsiaTheme="minorEastAsia"/>
          <w:lang w:eastAsia="ja-JP"/>
        </w:rPr>
        <w:t>discussed</w:t>
      </w:r>
      <w:r>
        <w:rPr>
          <w:rFonts w:eastAsiaTheme="minorEastAsia" w:hint="eastAsia"/>
          <w:lang w:eastAsia="ja-JP"/>
        </w:rPr>
        <w:t xml:space="preserve"> in </w:t>
      </w:r>
      <w:proofErr w:type="spellStart"/>
      <w:r>
        <w:rPr>
          <w:rFonts w:eastAsiaTheme="minorEastAsia" w:hint="eastAsia"/>
          <w:lang w:eastAsia="ja-JP"/>
        </w:rPr>
        <w:t>TGmc</w:t>
      </w:r>
      <w:proofErr w:type="spellEnd"/>
      <w:r>
        <w:rPr>
          <w:rFonts w:eastAsiaTheme="minorEastAsia" w:hint="eastAsia"/>
          <w:lang w:eastAsia="ja-JP"/>
        </w:rPr>
        <w:t xml:space="preserve"> teleconference </w:t>
      </w:r>
      <w:proofErr w:type="spellStart"/>
      <w:r>
        <w:rPr>
          <w:rFonts w:eastAsiaTheme="minorEastAsia" w:hint="eastAsia"/>
          <w:lang w:eastAsia="ja-JP"/>
        </w:rPr>
        <w:t>pripor</w:t>
      </w:r>
      <w:proofErr w:type="spellEnd"/>
      <w:r>
        <w:rPr>
          <w:rFonts w:eastAsiaTheme="minorEastAsia" w:hint="eastAsia"/>
          <w:lang w:eastAsia="ja-JP"/>
        </w:rPr>
        <w:t xml:space="preserve"> to the September meeting in San Diego. The details of the discussion are </w:t>
      </w:r>
      <w:proofErr w:type="spellStart"/>
      <w:r>
        <w:rPr>
          <w:rFonts w:eastAsiaTheme="minorEastAsia" w:hint="eastAsia"/>
          <w:lang w:eastAsia="ja-JP"/>
        </w:rPr>
        <w:t>summaried</w:t>
      </w:r>
      <w:proofErr w:type="spellEnd"/>
      <w:r>
        <w:rPr>
          <w:rFonts w:eastAsiaTheme="minorEastAsia" w:hint="eastAsia"/>
          <w:lang w:eastAsia="ja-JP"/>
        </w:rPr>
        <w:t xml:space="preserve"> in </w:t>
      </w:r>
      <w:r w:rsidRPr="00E145CB">
        <w:rPr>
          <w:rFonts w:eastAsiaTheme="minorEastAsia"/>
          <w:lang w:eastAsia="ja-JP"/>
        </w:rPr>
        <w:t>11-16-0855-02-000m-resolution-for-cid8027</w:t>
      </w:r>
      <w:r>
        <w:rPr>
          <w:rFonts w:eastAsiaTheme="minorEastAsia" w:hint="eastAsia"/>
          <w:lang w:eastAsia="ja-JP"/>
        </w:rPr>
        <w:t xml:space="preserve">.docx. It was concluded that the issue required time to be discussed more and future maintenance activity may be an </w:t>
      </w:r>
      <w:r>
        <w:rPr>
          <w:rFonts w:eastAsiaTheme="minorEastAsia"/>
          <w:lang w:eastAsia="ja-JP"/>
        </w:rPr>
        <w:t>appropriate</w:t>
      </w:r>
      <w:r>
        <w:rPr>
          <w:rFonts w:eastAsiaTheme="minorEastAsia" w:hint="eastAsia"/>
          <w:lang w:eastAsia="ja-JP"/>
        </w:rPr>
        <w:t xml:space="preserve"> place to </w:t>
      </w:r>
      <w:proofErr w:type="spellStart"/>
      <w:r>
        <w:rPr>
          <w:rFonts w:eastAsiaTheme="minorEastAsia" w:hint="eastAsia"/>
          <w:lang w:eastAsia="ja-JP"/>
        </w:rPr>
        <w:t>addresse</w:t>
      </w:r>
      <w:proofErr w:type="spellEnd"/>
      <w:r>
        <w:rPr>
          <w:rFonts w:eastAsiaTheme="minorEastAsia" w:hint="eastAsia"/>
          <w:lang w:eastAsia="ja-JP"/>
        </w:rPr>
        <w:t xml:space="preserve"> it.</w:t>
      </w:r>
    </w:p>
    <w:p w14:paraId="296AEC20" w14:textId="77777777" w:rsidR="006C6494" w:rsidRPr="00132D74" w:rsidRDefault="006C6494" w:rsidP="00741F1C">
      <w:pPr>
        <w:rPr>
          <w:rFonts w:eastAsiaTheme="minorEastAsia"/>
          <w:lang w:eastAsia="ja-JP"/>
        </w:rPr>
      </w:pPr>
    </w:p>
    <w:sectPr w:rsidR="006C6494" w:rsidRPr="00132D74" w:rsidSect="004162C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54A53" w15:done="0"/>
  <w15:commentEx w15:paraId="1CFB91BC" w15:done="0"/>
  <w15:commentEx w15:paraId="20406DD2" w15:done="0"/>
  <w15:commentEx w15:paraId="65E76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902C8" w14:textId="77777777" w:rsidR="00962489" w:rsidRDefault="00962489">
      <w:r>
        <w:separator/>
      </w:r>
    </w:p>
  </w:endnote>
  <w:endnote w:type="continuationSeparator" w:id="0">
    <w:p w14:paraId="1B5ACA81" w14:textId="77777777" w:rsidR="00962489" w:rsidRDefault="0096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6F848783"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875663">
      <w:rPr>
        <w:noProof/>
      </w:rPr>
      <w:t>1</w:t>
    </w:r>
    <w:r w:rsidR="00B14F5F">
      <w:fldChar w:fldCharType="end"/>
    </w:r>
    <w:r w:rsidR="00B14F5F">
      <w:tab/>
    </w:r>
    <w:r w:rsidR="001B7750">
      <w:rPr>
        <w:rFonts w:eastAsiaTheme="minorEastAsia" w:hint="eastAsia"/>
        <w:lang w:eastAsia="ja-JP"/>
      </w:rPr>
      <w:t>Yusuke Tanaka</w:t>
    </w:r>
    <w:r>
      <w:t xml:space="preserve">, </w:t>
    </w:r>
    <w:r w:rsidR="001B7750">
      <w:rPr>
        <w:rFonts w:eastAsiaTheme="minorEastAsia" w:hint="eastAsia"/>
        <w:lang w:eastAsia="ja-JP"/>
      </w:rPr>
      <w:t>Sony</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CC67B" w14:textId="77777777" w:rsidR="00962489" w:rsidRDefault="00962489">
      <w:r>
        <w:separator/>
      </w:r>
    </w:p>
  </w:footnote>
  <w:footnote w:type="continuationSeparator" w:id="0">
    <w:p w14:paraId="67DBD758" w14:textId="77777777" w:rsidR="00962489" w:rsidRDefault="0096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31A7E240" w:rsidR="00B14F5F" w:rsidRDefault="001B7750" w:rsidP="00732A32">
    <w:pPr>
      <w:pStyle w:val="a4"/>
      <w:tabs>
        <w:tab w:val="clear" w:pos="6480"/>
        <w:tab w:val="center" w:pos="4680"/>
        <w:tab w:val="right" w:pos="9360"/>
      </w:tabs>
    </w:pPr>
    <w:r>
      <w:rPr>
        <w:rFonts w:eastAsiaTheme="minorEastAsia" w:hint="eastAsia"/>
        <w:lang w:eastAsia="ja-JP"/>
      </w:rPr>
      <w:t>November</w:t>
    </w:r>
    <w:r w:rsidR="00962489">
      <w:fldChar w:fldCharType="begin"/>
    </w:r>
    <w:r w:rsidR="00962489">
      <w:instrText xml:space="preserve"> KEYWORDS  \* MERGEFORMAT </w:instrText>
    </w:r>
    <w:r w:rsidR="00962489">
      <w:fldChar w:fldCharType="separate"/>
    </w:r>
    <w:r w:rsidR="00B14F5F">
      <w:t xml:space="preserve"> 2016</w:t>
    </w:r>
    <w:r w:rsidR="00962489">
      <w:fldChar w:fldCharType="end"/>
    </w:r>
    <w:r w:rsidR="00B14F5F">
      <w:tab/>
    </w:r>
    <w:r w:rsidR="00B14F5F">
      <w:tab/>
    </w:r>
    <w:r w:rsidR="00962489">
      <w:fldChar w:fldCharType="begin"/>
    </w:r>
    <w:r w:rsidR="00962489">
      <w:instrText xml:space="preserve"> TITLE  \* MERGEFORMAT </w:instrText>
    </w:r>
    <w:r w:rsidR="00962489">
      <w:fldChar w:fldCharType="separate"/>
    </w:r>
    <w:r w:rsidR="00AC32D5">
      <w:t>doc.: IEEE 802.11-16/</w:t>
    </w:r>
    <w:r w:rsidR="00875663">
      <w:rPr>
        <w:rFonts w:eastAsiaTheme="minorEastAsia" w:hint="eastAsia"/>
        <w:lang w:eastAsia="ja-JP"/>
      </w:rPr>
      <w:t>1350</w:t>
    </w:r>
    <w:r w:rsidR="00AC32D5">
      <w:t>r0</w:t>
    </w:r>
    <w:r w:rsidR="0096248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1342"/>
    <w:multiLevelType w:val="multilevel"/>
    <w:tmpl w:val="A39C2E9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24D50E5"/>
    <w:multiLevelType w:val="hybridMultilevel"/>
    <w:tmpl w:val="65D4CE02"/>
    <w:lvl w:ilvl="0" w:tplc="674E8FA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2F95D3B"/>
    <w:multiLevelType w:val="hybridMultilevel"/>
    <w:tmpl w:val="EE32B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A0B"/>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D11B6"/>
    <w:rsid w:val="000D180D"/>
    <w:rsid w:val="000D2CFE"/>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2E2A"/>
    <w:rsid w:val="00113B7E"/>
    <w:rsid w:val="00120580"/>
    <w:rsid w:val="001208E1"/>
    <w:rsid w:val="00123361"/>
    <w:rsid w:val="00126F7A"/>
    <w:rsid w:val="00127344"/>
    <w:rsid w:val="0013004F"/>
    <w:rsid w:val="00130286"/>
    <w:rsid w:val="001324C2"/>
    <w:rsid w:val="00132D74"/>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67599"/>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7750"/>
    <w:rsid w:val="001D25A0"/>
    <w:rsid w:val="001D3204"/>
    <w:rsid w:val="001D4CD9"/>
    <w:rsid w:val="001D6175"/>
    <w:rsid w:val="001D723B"/>
    <w:rsid w:val="001E121E"/>
    <w:rsid w:val="001E3BE4"/>
    <w:rsid w:val="001E47B8"/>
    <w:rsid w:val="001F376F"/>
    <w:rsid w:val="001F5A28"/>
    <w:rsid w:val="0020389D"/>
    <w:rsid w:val="002050CA"/>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74BC"/>
    <w:rsid w:val="002A6FE1"/>
    <w:rsid w:val="002A7D52"/>
    <w:rsid w:val="002B1ACA"/>
    <w:rsid w:val="002B3A59"/>
    <w:rsid w:val="002B58CB"/>
    <w:rsid w:val="002C1AFC"/>
    <w:rsid w:val="002C446A"/>
    <w:rsid w:val="002D2D96"/>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0DCC"/>
    <w:rsid w:val="0032104A"/>
    <w:rsid w:val="00321053"/>
    <w:rsid w:val="00326D9A"/>
    <w:rsid w:val="00327E24"/>
    <w:rsid w:val="0033024A"/>
    <w:rsid w:val="003361D2"/>
    <w:rsid w:val="0034488D"/>
    <w:rsid w:val="0034620C"/>
    <w:rsid w:val="003467AC"/>
    <w:rsid w:val="003478AD"/>
    <w:rsid w:val="00360C64"/>
    <w:rsid w:val="00361221"/>
    <w:rsid w:val="0036165C"/>
    <w:rsid w:val="00361A7D"/>
    <w:rsid w:val="00366D55"/>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2AB9"/>
    <w:rsid w:val="004465F3"/>
    <w:rsid w:val="00446628"/>
    <w:rsid w:val="00455675"/>
    <w:rsid w:val="00456C11"/>
    <w:rsid w:val="004675B6"/>
    <w:rsid w:val="0047110F"/>
    <w:rsid w:val="0047111F"/>
    <w:rsid w:val="0047140F"/>
    <w:rsid w:val="00472CF7"/>
    <w:rsid w:val="00472D54"/>
    <w:rsid w:val="00475257"/>
    <w:rsid w:val="00477B34"/>
    <w:rsid w:val="00477E13"/>
    <w:rsid w:val="00481E33"/>
    <w:rsid w:val="00482864"/>
    <w:rsid w:val="0048787D"/>
    <w:rsid w:val="00490F85"/>
    <w:rsid w:val="00496EA5"/>
    <w:rsid w:val="004A23F2"/>
    <w:rsid w:val="004A35AB"/>
    <w:rsid w:val="004A40B7"/>
    <w:rsid w:val="004A4FAA"/>
    <w:rsid w:val="004A66D0"/>
    <w:rsid w:val="004A6910"/>
    <w:rsid w:val="004B08C7"/>
    <w:rsid w:val="004B2B82"/>
    <w:rsid w:val="004B31BD"/>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2979"/>
    <w:rsid w:val="00533027"/>
    <w:rsid w:val="00537BD7"/>
    <w:rsid w:val="00541F1E"/>
    <w:rsid w:val="005423A3"/>
    <w:rsid w:val="00542A71"/>
    <w:rsid w:val="00542EB6"/>
    <w:rsid w:val="0054743D"/>
    <w:rsid w:val="00547756"/>
    <w:rsid w:val="00547AEE"/>
    <w:rsid w:val="005500DD"/>
    <w:rsid w:val="00552778"/>
    <w:rsid w:val="005546A8"/>
    <w:rsid w:val="005555E4"/>
    <w:rsid w:val="005558C9"/>
    <w:rsid w:val="00555978"/>
    <w:rsid w:val="00557080"/>
    <w:rsid w:val="00560867"/>
    <w:rsid w:val="005666D9"/>
    <w:rsid w:val="00566705"/>
    <w:rsid w:val="00566D11"/>
    <w:rsid w:val="0056750B"/>
    <w:rsid w:val="005747FC"/>
    <w:rsid w:val="0057495D"/>
    <w:rsid w:val="00577F01"/>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477"/>
    <w:rsid w:val="005E3A8F"/>
    <w:rsid w:val="005E4924"/>
    <w:rsid w:val="005E7FCE"/>
    <w:rsid w:val="005F3277"/>
    <w:rsid w:val="005F4E9B"/>
    <w:rsid w:val="005F6434"/>
    <w:rsid w:val="005F71F9"/>
    <w:rsid w:val="00601139"/>
    <w:rsid w:val="0060160F"/>
    <w:rsid w:val="00601B3E"/>
    <w:rsid w:val="0060347D"/>
    <w:rsid w:val="00603E59"/>
    <w:rsid w:val="00610F5D"/>
    <w:rsid w:val="00613398"/>
    <w:rsid w:val="00615B45"/>
    <w:rsid w:val="006171D0"/>
    <w:rsid w:val="006176F4"/>
    <w:rsid w:val="006179ED"/>
    <w:rsid w:val="0062440B"/>
    <w:rsid w:val="0062640B"/>
    <w:rsid w:val="00631502"/>
    <w:rsid w:val="00632143"/>
    <w:rsid w:val="00634189"/>
    <w:rsid w:val="00634FA1"/>
    <w:rsid w:val="00640FBB"/>
    <w:rsid w:val="0064706A"/>
    <w:rsid w:val="0065185D"/>
    <w:rsid w:val="00651A32"/>
    <w:rsid w:val="00652F7B"/>
    <w:rsid w:val="006539BB"/>
    <w:rsid w:val="00653E9D"/>
    <w:rsid w:val="00656DF4"/>
    <w:rsid w:val="00656E90"/>
    <w:rsid w:val="00663373"/>
    <w:rsid w:val="006644A7"/>
    <w:rsid w:val="00664B2C"/>
    <w:rsid w:val="006670DF"/>
    <w:rsid w:val="006679DC"/>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1595"/>
    <w:rsid w:val="006B16CD"/>
    <w:rsid w:val="006B1B2A"/>
    <w:rsid w:val="006B204F"/>
    <w:rsid w:val="006B366B"/>
    <w:rsid w:val="006B6F80"/>
    <w:rsid w:val="006C0727"/>
    <w:rsid w:val="006C2BA6"/>
    <w:rsid w:val="006C6494"/>
    <w:rsid w:val="006D25FA"/>
    <w:rsid w:val="006D43A9"/>
    <w:rsid w:val="006D61F5"/>
    <w:rsid w:val="006E145F"/>
    <w:rsid w:val="006F2890"/>
    <w:rsid w:val="006F2E79"/>
    <w:rsid w:val="006F4200"/>
    <w:rsid w:val="006F503A"/>
    <w:rsid w:val="006F7D0B"/>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1F1C"/>
    <w:rsid w:val="00743D14"/>
    <w:rsid w:val="007443E1"/>
    <w:rsid w:val="00745712"/>
    <w:rsid w:val="00746384"/>
    <w:rsid w:val="007476DB"/>
    <w:rsid w:val="0075000A"/>
    <w:rsid w:val="00750BD5"/>
    <w:rsid w:val="00751017"/>
    <w:rsid w:val="00754210"/>
    <w:rsid w:val="00757566"/>
    <w:rsid w:val="00760889"/>
    <w:rsid w:val="007614B6"/>
    <w:rsid w:val="00762A7D"/>
    <w:rsid w:val="00770572"/>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67E6"/>
    <w:rsid w:val="007D1702"/>
    <w:rsid w:val="007D3F71"/>
    <w:rsid w:val="007D49FE"/>
    <w:rsid w:val="007E65AA"/>
    <w:rsid w:val="007F2C43"/>
    <w:rsid w:val="007F4053"/>
    <w:rsid w:val="007F4DAB"/>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7E4"/>
    <w:rsid w:val="008634DC"/>
    <w:rsid w:val="00867F0A"/>
    <w:rsid w:val="00875663"/>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C7C23"/>
    <w:rsid w:val="008D2C53"/>
    <w:rsid w:val="008F1369"/>
    <w:rsid w:val="008F52D4"/>
    <w:rsid w:val="00900B66"/>
    <w:rsid w:val="00901DF7"/>
    <w:rsid w:val="009026B5"/>
    <w:rsid w:val="00902837"/>
    <w:rsid w:val="0090638E"/>
    <w:rsid w:val="00906EB4"/>
    <w:rsid w:val="00907325"/>
    <w:rsid w:val="009226DA"/>
    <w:rsid w:val="00922B22"/>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2489"/>
    <w:rsid w:val="00964FE7"/>
    <w:rsid w:val="00966F0E"/>
    <w:rsid w:val="00966F8B"/>
    <w:rsid w:val="00970EA6"/>
    <w:rsid w:val="00972267"/>
    <w:rsid w:val="0097304E"/>
    <w:rsid w:val="00973F5C"/>
    <w:rsid w:val="00976795"/>
    <w:rsid w:val="009813F0"/>
    <w:rsid w:val="009814F7"/>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7C53"/>
    <w:rsid w:val="00A10AB7"/>
    <w:rsid w:val="00A148DF"/>
    <w:rsid w:val="00A14FA0"/>
    <w:rsid w:val="00A16FA1"/>
    <w:rsid w:val="00A17721"/>
    <w:rsid w:val="00A2064E"/>
    <w:rsid w:val="00A20A75"/>
    <w:rsid w:val="00A20B6C"/>
    <w:rsid w:val="00A21CCE"/>
    <w:rsid w:val="00A303C6"/>
    <w:rsid w:val="00A32ED6"/>
    <w:rsid w:val="00A33D6A"/>
    <w:rsid w:val="00A34823"/>
    <w:rsid w:val="00A40733"/>
    <w:rsid w:val="00A40F72"/>
    <w:rsid w:val="00A422E3"/>
    <w:rsid w:val="00A465F7"/>
    <w:rsid w:val="00A47DE6"/>
    <w:rsid w:val="00A540C0"/>
    <w:rsid w:val="00A57A64"/>
    <w:rsid w:val="00A634BE"/>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9791F"/>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2161"/>
    <w:rsid w:val="00AF2C8F"/>
    <w:rsid w:val="00B03E1F"/>
    <w:rsid w:val="00B0499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66D08"/>
    <w:rsid w:val="00B70EC8"/>
    <w:rsid w:val="00B726FD"/>
    <w:rsid w:val="00B76BFB"/>
    <w:rsid w:val="00B7781F"/>
    <w:rsid w:val="00B80455"/>
    <w:rsid w:val="00B8113C"/>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3C2F"/>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15AEA"/>
    <w:rsid w:val="00C25127"/>
    <w:rsid w:val="00C25750"/>
    <w:rsid w:val="00C27076"/>
    <w:rsid w:val="00C27962"/>
    <w:rsid w:val="00C27B1D"/>
    <w:rsid w:val="00C35E9D"/>
    <w:rsid w:val="00C45246"/>
    <w:rsid w:val="00C541EC"/>
    <w:rsid w:val="00C6158E"/>
    <w:rsid w:val="00C61EF5"/>
    <w:rsid w:val="00C62682"/>
    <w:rsid w:val="00C63513"/>
    <w:rsid w:val="00C72A8B"/>
    <w:rsid w:val="00C742E5"/>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CB8"/>
    <w:rsid w:val="00CD1AE6"/>
    <w:rsid w:val="00CD2A86"/>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23821"/>
    <w:rsid w:val="00D378D7"/>
    <w:rsid w:val="00D41320"/>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6923"/>
    <w:rsid w:val="00DD0727"/>
    <w:rsid w:val="00DD321A"/>
    <w:rsid w:val="00DD6F04"/>
    <w:rsid w:val="00DD7017"/>
    <w:rsid w:val="00DD7E5E"/>
    <w:rsid w:val="00DE10FA"/>
    <w:rsid w:val="00DE5A0B"/>
    <w:rsid w:val="00DF0AD4"/>
    <w:rsid w:val="00E01B84"/>
    <w:rsid w:val="00E01E2C"/>
    <w:rsid w:val="00E0564D"/>
    <w:rsid w:val="00E05C55"/>
    <w:rsid w:val="00E145CB"/>
    <w:rsid w:val="00E156F1"/>
    <w:rsid w:val="00E160D0"/>
    <w:rsid w:val="00E16BE5"/>
    <w:rsid w:val="00E173BB"/>
    <w:rsid w:val="00E20B6A"/>
    <w:rsid w:val="00E21EDD"/>
    <w:rsid w:val="00E24EC6"/>
    <w:rsid w:val="00E30CF5"/>
    <w:rsid w:val="00E3225D"/>
    <w:rsid w:val="00E32BB8"/>
    <w:rsid w:val="00E34670"/>
    <w:rsid w:val="00E40B07"/>
    <w:rsid w:val="00E5206F"/>
    <w:rsid w:val="00E534DE"/>
    <w:rsid w:val="00E54234"/>
    <w:rsid w:val="00E5465F"/>
    <w:rsid w:val="00E55C95"/>
    <w:rsid w:val="00E5726C"/>
    <w:rsid w:val="00E60532"/>
    <w:rsid w:val="00E613DC"/>
    <w:rsid w:val="00E67274"/>
    <w:rsid w:val="00E71165"/>
    <w:rsid w:val="00E7447D"/>
    <w:rsid w:val="00E7565D"/>
    <w:rsid w:val="00E845EF"/>
    <w:rsid w:val="00E85024"/>
    <w:rsid w:val="00E86500"/>
    <w:rsid w:val="00E92CE6"/>
    <w:rsid w:val="00E92D5C"/>
    <w:rsid w:val="00EA1146"/>
    <w:rsid w:val="00EA1B76"/>
    <w:rsid w:val="00EA23D6"/>
    <w:rsid w:val="00EA6B47"/>
    <w:rsid w:val="00EB2CD0"/>
    <w:rsid w:val="00EB30F6"/>
    <w:rsid w:val="00EB6EFD"/>
    <w:rsid w:val="00EB7D49"/>
    <w:rsid w:val="00EC1DCD"/>
    <w:rsid w:val="00EC1E9D"/>
    <w:rsid w:val="00EC625F"/>
    <w:rsid w:val="00EC6845"/>
    <w:rsid w:val="00ED100E"/>
    <w:rsid w:val="00ED116D"/>
    <w:rsid w:val="00ED1FC2"/>
    <w:rsid w:val="00ED6DFC"/>
    <w:rsid w:val="00ED74B6"/>
    <w:rsid w:val="00EE5892"/>
    <w:rsid w:val="00EE5BFA"/>
    <w:rsid w:val="00EF0061"/>
    <w:rsid w:val="00EF0657"/>
    <w:rsid w:val="00EF13FE"/>
    <w:rsid w:val="00EF1E58"/>
    <w:rsid w:val="00EF236E"/>
    <w:rsid w:val="00EF3412"/>
    <w:rsid w:val="00EF4AB4"/>
    <w:rsid w:val="00EF4E78"/>
    <w:rsid w:val="00EF5467"/>
    <w:rsid w:val="00F04210"/>
    <w:rsid w:val="00F05298"/>
    <w:rsid w:val="00F10087"/>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4E8F"/>
    <w:rsid w:val="00F55FC4"/>
    <w:rsid w:val="00F57301"/>
    <w:rsid w:val="00F61EB1"/>
    <w:rsid w:val="00F639BA"/>
    <w:rsid w:val="00F67D85"/>
    <w:rsid w:val="00F70066"/>
    <w:rsid w:val="00F70910"/>
    <w:rsid w:val="00F7439A"/>
    <w:rsid w:val="00F745D5"/>
    <w:rsid w:val="00F75356"/>
    <w:rsid w:val="00F775C9"/>
    <w:rsid w:val="00F815CA"/>
    <w:rsid w:val="00F82A01"/>
    <w:rsid w:val="00F830DA"/>
    <w:rsid w:val="00F85187"/>
    <w:rsid w:val="00F919AA"/>
    <w:rsid w:val="00F93D29"/>
    <w:rsid w:val="00F9626C"/>
    <w:rsid w:val="00FA1DA8"/>
    <w:rsid w:val="00FB1D8C"/>
    <w:rsid w:val="00FB7E34"/>
    <w:rsid w:val="00FC2464"/>
    <w:rsid w:val="00FC65B0"/>
    <w:rsid w:val="00FD2CE9"/>
    <w:rsid w:val="00FE0085"/>
    <w:rsid w:val="00FE08ED"/>
    <w:rsid w:val="00FE0F3F"/>
    <w:rsid w:val="00FE11F0"/>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59197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42C6559-E8C7-491D-ABDD-525747B6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390</TotalTime>
  <Pages>2</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doc.: IEEE 802.11-16/0024r1</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TANAKA Yusuke</cp:lastModifiedBy>
  <cp:revision>67</cp:revision>
  <cp:lastPrinted>2016-01-08T21:12:00Z</cp:lastPrinted>
  <dcterms:created xsi:type="dcterms:W3CDTF">2016-03-03T01:56:00Z</dcterms:created>
  <dcterms:modified xsi:type="dcterms:W3CDTF">2016-10-27T09:46:00Z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