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 w:rsidP="00221A9B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EBB40C7" w:rsidR="00BD6FB0" w:rsidRPr="00BD6FB0" w:rsidRDefault="00481E1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resolution for CID </w:t>
            </w:r>
            <w:r w:rsidR="00593F59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122,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576</w:t>
            </w:r>
            <w:r w:rsidR="00512E35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972, </w:t>
            </w:r>
            <w:r w:rsidR="00034148">
              <w:rPr>
                <w:b/>
                <w:bCs/>
                <w:color w:val="000000"/>
                <w:sz w:val="28"/>
                <w:szCs w:val="28"/>
                <w:lang w:val="en-US"/>
              </w:rPr>
              <w:t>2598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551B526" w:rsidR="00BD6FB0" w:rsidRPr="00BD6FB0" w:rsidRDefault="00BD6FB0" w:rsidP="00481E1D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481E1D">
              <w:t>09-xx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2689"/>
        <w:gridCol w:w="1350"/>
        <w:gridCol w:w="2420"/>
      </w:tblGrid>
      <w:tr w:rsidR="00A64D7D" w:rsidRPr="0019516D" w14:paraId="056DEAAA" w14:textId="77777777" w:rsidTr="00221A9B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221A9B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221A9B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221A9B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AB0606" w:rsidRPr="0019516D" w14:paraId="27A1C5B7" w14:textId="77777777" w:rsidTr="00221A9B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3B2356DE" w:rsidR="00AB0606" w:rsidRPr="0019516D" w:rsidRDefault="00AB0606" w:rsidP="00AB0606">
            <w:pPr>
              <w:jc w:val="center"/>
            </w:pPr>
            <w:proofErr w:type="spellStart"/>
            <w:r w:rsidRPr="00221A9B">
              <w:t>Sigurd</w:t>
            </w:r>
            <w:proofErr w:type="spellEnd"/>
            <w:r w:rsidRPr="00221A9B">
              <w:t xml:space="preserve"> Schelstraete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0746F113" w:rsidR="00AB0606" w:rsidRPr="0019516D" w:rsidRDefault="00AB0606" w:rsidP="00AB0606">
            <w:pPr>
              <w:spacing w:after="160" w:line="259" w:lineRule="auto"/>
              <w:jc w:val="center"/>
            </w:pPr>
            <w:r w:rsidRPr="00221A9B">
              <w:t>Quantenna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7083E" w14:textId="77777777" w:rsidR="00AB0606" w:rsidRDefault="00AB0606" w:rsidP="00AB0606">
            <w:pPr>
              <w:jc w:val="center"/>
            </w:pPr>
            <w:r>
              <w:t>3450 W. Warren Avenue</w:t>
            </w:r>
          </w:p>
          <w:p w14:paraId="1A2B2933" w14:textId="62BE2EAD" w:rsidR="00AB0606" w:rsidRPr="0019516D" w:rsidRDefault="00AB0606" w:rsidP="00AB0606">
            <w:pPr>
              <w:jc w:val="center"/>
            </w:pPr>
            <w:r>
              <w:t>Fremont, CA 94538, USA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08EC021" w:rsidR="00AB0606" w:rsidRPr="0019516D" w:rsidRDefault="00AB0606" w:rsidP="00AB0606">
            <w:pPr>
              <w:jc w:val="center"/>
              <w:rPr>
                <w:sz w:val="20"/>
              </w:rPr>
            </w:pPr>
            <w:r w:rsidRPr="00221A9B">
              <w:rPr>
                <w:sz w:val="20"/>
              </w:rPr>
              <w:t>+1 510-743-2260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6CF5866" w:rsidR="00AB0606" w:rsidRPr="0019516D" w:rsidRDefault="00AB0606" w:rsidP="00AB0606">
            <w:pPr>
              <w:jc w:val="center"/>
              <w:rPr>
                <w:sz w:val="18"/>
              </w:rPr>
            </w:pPr>
            <w:r w:rsidRPr="00221A9B">
              <w:rPr>
                <w:sz w:val="18"/>
              </w:rPr>
              <w:t>sigurd@quantenna.com</w:t>
            </w:r>
          </w:p>
        </w:tc>
      </w:tr>
      <w:tr w:rsidR="00AB0606" w:rsidRPr="0019516D" w14:paraId="0799F9AC" w14:textId="77777777" w:rsidTr="001D5EF3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AD108" w14:textId="44621EE5" w:rsidR="00AB0606" w:rsidRPr="0019516D" w:rsidRDefault="00AB0606" w:rsidP="00AB0606">
            <w:pPr>
              <w:jc w:val="center"/>
            </w:pPr>
            <w:r w:rsidRPr="00221A9B">
              <w:t>Huizhao Wang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A1C152" w14:textId="22FF13CC" w:rsidR="00AB0606" w:rsidRPr="0019516D" w:rsidRDefault="00AB0606" w:rsidP="00AB0606">
            <w:pPr>
              <w:spacing w:after="160" w:line="259" w:lineRule="auto"/>
              <w:jc w:val="center"/>
            </w:pPr>
            <w:r w:rsidRPr="00221A9B">
              <w:t>Quantenna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8E8537" w14:textId="77777777" w:rsidR="00AB0606" w:rsidRDefault="00AB0606" w:rsidP="00AB0606">
            <w:pPr>
              <w:jc w:val="center"/>
            </w:pPr>
            <w:r>
              <w:t>3450 W. Warren Avenue</w:t>
            </w:r>
          </w:p>
          <w:p w14:paraId="4D826771" w14:textId="00994109" w:rsidR="00AB0606" w:rsidRPr="0019516D" w:rsidRDefault="00AB0606" w:rsidP="00AB0606">
            <w:pPr>
              <w:jc w:val="center"/>
            </w:pPr>
            <w:r>
              <w:t>Fremont, CA 94538, USA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72F3F" w14:textId="1260B6A3" w:rsidR="00AB0606" w:rsidRPr="0019516D" w:rsidRDefault="00AB0606" w:rsidP="00AB0606">
            <w:pPr>
              <w:jc w:val="center"/>
              <w:rPr>
                <w:sz w:val="20"/>
              </w:rPr>
            </w:pPr>
            <w:r w:rsidRPr="00221A9B">
              <w:rPr>
                <w:sz w:val="20"/>
              </w:rPr>
              <w:t>+1 510-743-2260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4B84" w14:textId="4B150F78" w:rsidR="00AB0606" w:rsidRPr="0019516D" w:rsidRDefault="00AB0606" w:rsidP="00AB0606">
            <w:pPr>
              <w:jc w:val="center"/>
              <w:rPr>
                <w:sz w:val="18"/>
              </w:rPr>
            </w:pPr>
            <w:r w:rsidRPr="00221A9B">
              <w:rPr>
                <w:sz w:val="18"/>
              </w:rPr>
              <w:t>hwang@quantenna.com</w:t>
            </w:r>
          </w:p>
        </w:tc>
      </w:tr>
      <w:tr w:rsidR="001D5EF3" w:rsidRPr="0019516D" w14:paraId="3A64DC9D" w14:textId="77777777" w:rsidTr="001D5EF3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E5FEB" w14:textId="1189B3AF" w:rsidR="001D5EF3" w:rsidRPr="00221A9B" w:rsidRDefault="001D5EF3" w:rsidP="001D5EF3">
            <w:pPr>
              <w:jc w:val="center"/>
            </w:pPr>
            <w:proofErr w:type="spellStart"/>
            <w:r w:rsidRPr="00221A9B">
              <w:t>Evgeny</w:t>
            </w:r>
            <w:proofErr w:type="spellEnd"/>
            <w:r w:rsidRPr="00221A9B">
              <w:t xml:space="preserve"> </w:t>
            </w:r>
            <w:proofErr w:type="spellStart"/>
            <w:r w:rsidRPr="00221A9B">
              <w:t>Khorov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7299AD" w14:textId="6ABEF9F8" w:rsidR="001D5EF3" w:rsidRPr="00221A9B" w:rsidRDefault="001D5EF3" w:rsidP="001D5EF3">
            <w:pPr>
              <w:spacing w:after="160" w:line="259" w:lineRule="auto"/>
              <w:jc w:val="center"/>
            </w:pPr>
            <w:r w:rsidRPr="00221A9B">
              <w:t>IITP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RAS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7E83DA" w14:textId="3B887E2E" w:rsidR="001D5EF3" w:rsidRDefault="001D5EF3" w:rsidP="001D5EF3">
            <w:pPr>
              <w:jc w:val="center"/>
            </w:pPr>
            <w:proofErr w:type="spellStart"/>
            <w:r w:rsidRPr="00221A9B">
              <w:t>Bolshoy</w:t>
            </w:r>
            <w:proofErr w:type="spellEnd"/>
            <w:r w:rsidRPr="00221A9B">
              <w:t xml:space="preserve"> </w:t>
            </w:r>
            <w:proofErr w:type="spellStart"/>
            <w:r w:rsidRPr="00221A9B">
              <w:t>Karetny</w:t>
            </w:r>
            <w:proofErr w:type="spellEnd"/>
            <w:r w:rsidRPr="00221A9B">
              <w:t xml:space="preserve"> per. 19, build.1, Moscow 127051 Russia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FB5F" w14:textId="7E5D7171" w:rsidR="001D5EF3" w:rsidRPr="00221A9B" w:rsidRDefault="001D5EF3" w:rsidP="001D5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21A9B">
              <w:rPr>
                <w:sz w:val="20"/>
              </w:rPr>
              <w:t>7</w:t>
            </w:r>
            <w:r>
              <w:rPr>
                <w:sz w:val="20"/>
              </w:rPr>
              <w:t> </w:t>
            </w:r>
            <w:r w:rsidRPr="00221A9B">
              <w:rPr>
                <w:sz w:val="20"/>
              </w:rPr>
              <w:t>495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650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4225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C0F54" w14:textId="61D5E7DF" w:rsidR="001D5EF3" w:rsidRPr="00221A9B" w:rsidRDefault="001D5EF3" w:rsidP="001D5E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khorov@iitp.ru</w:t>
            </w:r>
          </w:p>
        </w:tc>
      </w:tr>
      <w:tr w:rsidR="001D5EF3" w:rsidRPr="0019516D" w14:paraId="52AE66D5" w14:textId="77777777" w:rsidTr="00221A9B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4DA83" w14:textId="2298EC24" w:rsidR="001D5EF3" w:rsidRPr="00221A9B" w:rsidRDefault="001D5EF3" w:rsidP="001D5EF3">
            <w:pPr>
              <w:jc w:val="center"/>
            </w:pPr>
            <w:r w:rsidRPr="00221A9B">
              <w:t xml:space="preserve">Anton </w:t>
            </w:r>
            <w:proofErr w:type="spellStart"/>
            <w:r w:rsidRPr="00221A9B">
              <w:t>Kiryanov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3F8D36" w14:textId="5FA7DFF1" w:rsidR="001D5EF3" w:rsidRPr="00221A9B" w:rsidRDefault="001D5EF3" w:rsidP="001D5EF3">
            <w:pPr>
              <w:spacing w:after="160" w:line="259" w:lineRule="auto"/>
              <w:jc w:val="center"/>
            </w:pPr>
            <w:r w:rsidRPr="00221A9B">
              <w:t>IITP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RAS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191E3E" w14:textId="4647099A" w:rsidR="001D5EF3" w:rsidRDefault="001D5EF3" w:rsidP="001D5EF3">
            <w:pPr>
              <w:jc w:val="center"/>
            </w:pPr>
            <w:proofErr w:type="spellStart"/>
            <w:r w:rsidRPr="00221A9B">
              <w:t>Bolshoy</w:t>
            </w:r>
            <w:proofErr w:type="spellEnd"/>
            <w:r w:rsidRPr="00221A9B">
              <w:t xml:space="preserve"> </w:t>
            </w:r>
            <w:proofErr w:type="spellStart"/>
            <w:r w:rsidRPr="00221A9B">
              <w:t>Karetny</w:t>
            </w:r>
            <w:proofErr w:type="spellEnd"/>
            <w:r w:rsidRPr="00221A9B">
              <w:t xml:space="preserve"> per. 19, build.1, Moscow 127051 Russia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AA1142" w14:textId="2E4825C0" w:rsidR="001D5EF3" w:rsidRPr="00221A9B" w:rsidRDefault="001D5EF3" w:rsidP="001D5E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21A9B">
              <w:rPr>
                <w:sz w:val="20"/>
              </w:rPr>
              <w:t>7</w:t>
            </w:r>
            <w:r>
              <w:rPr>
                <w:sz w:val="20"/>
              </w:rPr>
              <w:t> </w:t>
            </w:r>
            <w:r w:rsidRPr="00221A9B">
              <w:rPr>
                <w:sz w:val="20"/>
              </w:rPr>
              <w:t>495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650</w:t>
            </w:r>
            <w:r>
              <w:rPr>
                <w:sz w:val="20"/>
              </w:rPr>
              <w:t>-</w:t>
            </w:r>
            <w:r w:rsidRPr="00221A9B">
              <w:rPr>
                <w:sz w:val="20"/>
              </w:rPr>
              <w:t xml:space="preserve"> 4225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78F" w14:textId="20DCF132" w:rsidR="001D5EF3" w:rsidRPr="00221A9B" w:rsidRDefault="001D5EF3" w:rsidP="001D5E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kiryanov@iitp.ru</w:t>
            </w:r>
          </w:p>
        </w:tc>
      </w:tr>
    </w:tbl>
    <w:p w14:paraId="693B1D81" w14:textId="2BA913FA" w:rsidR="00A64D7D" w:rsidRPr="004E3504" w:rsidRDefault="004E3504">
      <w:pPr>
        <w:pStyle w:val="T1"/>
        <w:spacing w:after="120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9F0531" w:rsidRDefault="009F053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DED4B4" w14:textId="4648645F" w:rsidR="009F0531" w:rsidRDefault="009F0531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</w:t>
                            </w:r>
                            <w:r>
                              <w:t xml:space="preserve">text </w:t>
                            </w:r>
                            <w:r w:rsidRPr="0092467A">
                              <w:t xml:space="preserve">proposal for </w:t>
                            </w:r>
                            <w:r>
                              <w:t xml:space="preserve">resolution of CID 122, 576, 972, </w:t>
                            </w:r>
                            <w:proofErr w:type="gramStart"/>
                            <w:r>
                              <w:t>2598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2FECDC69" w14:textId="77777777" w:rsidR="009F0531" w:rsidRDefault="009F0531" w:rsidP="00A8394A">
                            <w:pPr>
                              <w:jc w:val="both"/>
                            </w:pPr>
                          </w:p>
                          <w:p w14:paraId="2CD06B82" w14:textId="77777777" w:rsidR="009F0531" w:rsidRDefault="009F0531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1jVI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Zct8uYRFuINUx+PGOv+W6w6FSY0tUB/h&#10;yf7e+dH16BLD11KwtZAyLux2cyst2hOQyTp+B3Q3dZMqOCsdjo2I4w5ECXcEW4g30v5cZnmR3uTl&#10;bL1YXsyKp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" o:allowincell="f" stroked="f">
                <v:textbox>
                  <w:txbxContent>
                    <w:p w14:paraId="4156C3C9" w14:textId="77777777" w:rsidR="009F0531" w:rsidRDefault="009F053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DED4B4" w14:textId="4648645F" w:rsidR="009F0531" w:rsidRDefault="009F0531" w:rsidP="00EA6B47">
                      <w:pPr>
                        <w:jc w:val="both"/>
                      </w:pPr>
                      <w:r w:rsidRPr="0092467A">
                        <w:t xml:space="preserve">This document contains a </w:t>
                      </w:r>
                      <w:r>
                        <w:t xml:space="preserve">text </w:t>
                      </w:r>
                      <w:r w:rsidRPr="0092467A">
                        <w:t xml:space="preserve">proposal for </w:t>
                      </w:r>
                      <w:r>
                        <w:t xml:space="preserve">resolution of CID 122, 576, 972, </w:t>
                      </w:r>
                      <w:proofErr w:type="gramStart"/>
                      <w:r>
                        <w:t>2598</w:t>
                      </w:r>
                      <w:proofErr w:type="gramEnd"/>
                      <w:r>
                        <w:t>.</w:t>
                      </w:r>
                    </w:p>
                    <w:p w14:paraId="2FECDC69" w14:textId="77777777" w:rsidR="009F0531" w:rsidRDefault="009F0531" w:rsidP="00A8394A">
                      <w:pPr>
                        <w:jc w:val="both"/>
                      </w:pPr>
                    </w:p>
                    <w:p w14:paraId="2CD06B82" w14:textId="77777777" w:rsidR="009F0531" w:rsidRDefault="009F0531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42C20D" w14:textId="205FE2E4" w:rsidR="00044F0F" w:rsidRDefault="00CA09B2" w:rsidP="00A971F0">
      <w:pPr>
        <w:pStyle w:val="Heading1"/>
        <w:numPr>
          <w:ilvl w:val="0"/>
          <w:numId w:val="0"/>
        </w:numPr>
      </w:pPr>
      <w:r w:rsidRPr="00924879">
        <w:br w:type="page"/>
      </w:r>
      <w:r w:rsidR="00481E1D">
        <w:lastRenderedPageBreak/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1304"/>
        <w:gridCol w:w="974"/>
        <w:gridCol w:w="950"/>
        <w:gridCol w:w="1218"/>
        <w:gridCol w:w="1218"/>
      </w:tblGrid>
      <w:tr w:rsidR="00481E1D" w:rsidRPr="00955584" w14:paraId="5089B5C4" w14:textId="77777777" w:rsidTr="00034148">
        <w:trPr>
          <w:trHeight w:val="765"/>
        </w:trPr>
        <w:tc>
          <w:tcPr>
            <w:tcW w:w="3912" w:type="dxa"/>
            <w:hideMark/>
          </w:tcPr>
          <w:p w14:paraId="130E5844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CID</w:t>
            </w:r>
          </w:p>
        </w:tc>
        <w:tc>
          <w:tcPr>
            <w:tcW w:w="1304" w:type="dxa"/>
            <w:hideMark/>
          </w:tcPr>
          <w:p w14:paraId="285CF0DC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Clause Number(C)</w:t>
            </w:r>
          </w:p>
        </w:tc>
        <w:tc>
          <w:tcPr>
            <w:tcW w:w="974" w:type="dxa"/>
            <w:hideMark/>
          </w:tcPr>
          <w:p w14:paraId="1090FEB1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Page(C)</w:t>
            </w:r>
          </w:p>
        </w:tc>
        <w:tc>
          <w:tcPr>
            <w:tcW w:w="950" w:type="dxa"/>
            <w:hideMark/>
          </w:tcPr>
          <w:p w14:paraId="25878CD1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Line(C)</w:t>
            </w:r>
          </w:p>
        </w:tc>
        <w:tc>
          <w:tcPr>
            <w:tcW w:w="1218" w:type="dxa"/>
            <w:hideMark/>
          </w:tcPr>
          <w:p w14:paraId="5C31F076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Comment</w:t>
            </w:r>
          </w:p>
        </w:tc>
        <w:tc>
          <w:tcPr>
            <w:tcW w:w="1218" w:type="dxa"/>
            <w:hideMark/>
          </w:tcPr>
          <w:p w14:paraId="02E2C419" w14:textId="77777777" w:rsidR="00481E1D" w:rsidRPr="00955584" w:rsidRDefault="00481E1D" w:rsidP="00672EA3">
            <w:pPr>
              <w:rPr>
                <w:b/>
                <w:bCs/>
              </w:rPr>
            </w:pPr>
            <w:r w:rsidRPr="00955584">
              <w:rPr>
                <w:b/>
                <w:bCs/>
              </w:rPr>
              <w:t>Proposed Change</w:t>
            </w:r>
          </w:p>
        </w:tc>
      </w:tr>
      <w:tr w:rsidR="005A1B7C" w:rsidRPr="00955584" w14:paraId="763153CD" w14:textId="77777777" w:rsidTr="00034148">
        <w:trPr>
          <w:trHeight w:val="1088"/>
        </w:trPr>
        <w:tc>
          <w:tcPr>
            <w:tcW w:w="3912" w:type="dxa"/>
            <w:hideMark/>
          </w:tcPr>
          <w:p w14:paraId="4E0F135F" w14:textId="77777777" w:rsidR="00481E1D" w:rsidRPr="00955584" w:rsidRDefault="00481E1D" w:rsidP="00672EA3">
            <w:r w:rsidRPr="00955584">
              <w:t>576</w:t>
            </w:r>
          </w:p>
        </w:tc>
        <w:tc>
          <w:tcPr>
            <w:tcW w:w="1304" w:type="dxa"/>
            <w:hideMark/>
          </w:tcPr>
          <w:p w14:paraId="3366F4F6" w14:textId="77777777" w:rsidR="00481E1D" w:rsidRPr="00955584" w:rsidRDefault="00481E1D" w:rsidP="00672EA3">
            <w:r w:rsidRPr="00955584">
              <w:t>10.3.2.4</w:t>
            </w:r>
          </w:p>
        </w:tc>
        <w:tc>
          <w:tcPr>
            <w:tcW w:w="974" w:type="dxa"/>
            <w:hideMark/>
          </w:tcPr>
          <w:p w14:paraId="0FD045DB" w14:textId="77777777" w:rsidR="00481E1D" w:rsidRPr="00955584" w:rsidRDefault="00481E1D" w:rsidP="00672EA3">
            <w:r w:rsidRPr="00955584">
              <w:t>39</w:t>
            </w:r>
          </w:p>
        </w:tc>
        <w:tc>
          <w:tcPr>
            <w:tcW w:w="950" w:type="dxa"/>
            <w:hideMark/>
          </w:tcPr>
          <w:p w14:paraId="441496C9" w14:textId="77777777" w:rsidR="00481E1D" w:rsidRPr="00955584" w:rsidRDefault="00481E1D" w:rsidP="00672EA3">
            <w:r w:rsidRPr="00955584">
              <w:t>52</w:t>
            </w:r>
          </w:p>
        </w:tc>
        <w:tc>
          <w:tcPr>
            <w:tcW w:w="1218" w:type="dxa"/>
            <w:hideMark/>
          </w:tcPr>
          <w:p w14:paraId="64E967A5" w14:textId="77777777" w:rsidR="00481E1D" w:rsidRPr="00955584" w:rsidRDefault="00481E1D" w:rsidP="00672EA3">
            <w:r w:rsidRPr="00955584">
              <w:t>The mechanism to configure the use of RTS/CTS is not defined</w:t>
            </w:r>
          </w:p>
        </w:tc>
        <w:tc>
          <w:tcPr>
            <w:tcW w:w="1218" w:type="dxa"/>
            <w:hideMark/>
          </w:tcPr>
          <w:p w14:paraId="693A21D8" w14:textId="77777777" w:rsidR="00481E1D" w:rsidRPr="00955584" w:rsidRDefault="00481E1D" w:rsidP="00672EA3">
            <w:r w:rsidRPr="00955584">
              <w:t>Define the mechanism</w:t>
            </w:r>
          </w:p>
        </w:tc>
      </w:tr>
      <w:tr w:rsidR="00131834" w:rsidRPr="00955584" w14:paraId="0B6E9996" w14:textId="77777777" w:rsidTr="00034148">
        <w:trPr>
          <w:trHeight w:val="1088"/>
        </w:trPr>
        <w:tc>
          <w:tcPr>
            <w:tcW w:w="3912" w:type="dxa"/>
          </w:tcPr>
          <w:p w14:paraId="20EB45F2" w14:textId="77777777" w:rsidR="00131834" w:rsidRPr="00955584" w:rsidRDefault="00131834" w:rsidP="00672EA3"/>
        </w:tc>
        <w:tc>
          <w:tcPr>
            <w:tcW w:w="1304" w:type="dxa"/>
          </w:tcPr>
          <w:p w14:paraId="7CE70E28" w14:textId="77777777" w:rsidR="00131834" w:rsidRPr="00955584" w:rsidRDefault="00131834" w:rsidP="00672EA3"/>
        </w:tc>
        <w:tc>
          <w:tcPr>
            <w:tcW w:w="974" w:type="dxa"/>
          </w:tcPr>
          <w:p w14:paraId="47170C0B" w14:textId="77777777" w:rsidR="00131834" w:rsidRPr="00955584" w:rsidRDefault="00131834" w:rsidP="00672EA3"/>
        </w:tc>
        <w:tc>
          <w:tcPr>
            <w:tcW w:w="950" w:type="dxa"/>
          </w:tcPr>
          <w:p w14:paraId="5A35D10B" w14:textId="77777777" w:rsidR="00131834" w:rsidRPr="00955584" w:rsidRDefault="00131834" w:rsidP="00672EA3"/>
        </w:tc>
        <w:tc>
          <w:tcPr>
            <w:tcW w:w="1218" w:type="dxa"/>
          </w:tcPr>
          <w:p w14:paraId="5DA18509" w14:textId="77777777" w:rsidR="00131834" w:rsidRPr="00955584" w:rsidRDefault="00131834" w:rsidP="00672EA3"/>
        </w:tc>
        <w:tc>
          <w:tcPr>
            <w:tcW w:w="1218" w:type="dxa"/>
          </w:tcPr>
          <w:p w14:paraId="187995A5" w14:textId="77777777" w:rsidR="00131834" w:rsidRPr="00955584" w:rsidRDefault="00131834" w:rsidP="00672EA3"/>
        </w:tc>
      </w:tr>
    </w:tbl>
    <w:p w14:paraId="66222085" w14:textId="77777777" w:rsidR="00034148" w:rsidRPr="00034148" w:rsidRDefault="00034148" w:rsidP="00034148">
      <w:pPr>
        <w:rPr>
          <w:rFonts w:ascii="Times" w:eastAsia="Times New Roman" w:hAnsi="Times"/>
          <w:sz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425"/>
        <w:gridCol w:w="785"/>
        <w:gridCol w:w="3488"/>
        <w:gridCol w:w="2100"/>
        <w:gridCol w:w="1117"/>
      </w:tblGrid>
      <w:tr w:rsidR="00131834" w:rsidRPr="00034148" w14:paraId="1E236CA9" w14:textId="77777777" w:rsidTr="0003414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D9CEA" w14:textId="500C4139" w:rsidR="00131834" w:rsidRPr="00034148" w:rsidRDefault="00131834" w:rsidP="00034148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9846B" w14:textId="012EF988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Commenter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B451" w14:textId="02279760" w:rsidR="00131834" w:rsidRPr="00034148" w:rsidRDefault="00131834" w:rsidP="00034148">
            <w:pPr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PP.LL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577125" w14:textId="43E6DD7F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CA3F5" w14:textId="2D06BD46" w:rsidR="00131834" w:rsidRPr="00034148" w:rsidRDefault="00131834" w:rsidP="0003414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Proposed changes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4AD03C" w14:textId="7697FF97" w:rsidR="00131834" w:rsidRPr="00034148" w:rsidRDefault="00131834" w:rsidP="00034148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4148" w:rsidRPr="00034148" w14:paraId="78698118" w14:textId="77777777" w:rsidTr="0003414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4671E5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8C4765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9BA210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A53EBE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mechanism for HE AP to configure the use of RTS/CTS initiated by non-AP STA is still TBD.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64CD7A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Comment resolution and supporting PPT will be provided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2B7B9D" w14:textId="73E0D6ED" w:rsidR="00131834" w:rsidRPr="00131834" w:rsidRDefault="00131834" w:rsidP="00131834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  <w:r w:rsidR="00034148" w:rsidRPr="00034148">
              <w:rPr>
                <w:bCs/>
                <w:color w:val="000000"/>
                <w:sz w:val="16"/>
                <w:szCs w:val="16"/>
                <w:lang w:val="en-US"/>
              </w:rPr>
              <w:br/>
            </w:r>
            <w:r w:rsidR="00034148" w:rsidRPr="00034148">
              <w:rPr>
                <w:bCs/>
                <w:color w:val="000000"/>
                <w:sz w:val="16"/>
                <w:szCs w:val="16"/>
                <w:lang w:val="en-US"/>
              </w:rPr>
              <w:br/>
            </w:r>
          </w:p>
          <w:p w14:paraId="17321C04" w14:textId="403549E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</w:p>
        </w:tc>
      </w:tr>
      <w:tr w:rsidR="00034148" w:rsidRPr="00034148" w14:paraId="50AB8081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8A660A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794BE7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EVGENY KHOROV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618E39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99FF1F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mechanism to configure the use of RTS/CTS is not defined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DCF6A4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Define the mechanism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7F9CB5" w14:textId="50DC6C7B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</w:p>
        </w:tc>
      </w:tr>
      <w:tr w:rsidR="00034148" w:rsidRPr="00034148" w14:paraId="4A343CFC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6DA9E8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1C0957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 xml:space="preserve">Alfred </w:t>
            </w:r>
            <w:proofErr w:type="spellStart"/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Asterjadhi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9F2333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57.52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163823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The AP may use a TBD mechanism to configure the use of RTS/CTS frames initiated by non-AP STAs. This mechanism should be defined.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748409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As in comment.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D22DCE" w14:textId="676AF54E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 xml:space="preserve">Define </w:t>
            </w:r>
            <w:proofErr w:type="gramStart"/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the  mechanism</w:t>
            </w:r>
            <w:proofErr w:type="gramEnd"/>
          </w:p>
        </w:tc>
      </w:tr>
      <w:tr w:rsidR="00034148" w:rsidRPr="00034148" w14:paraId="6CA75E5E" w14:textId="77777777" w:rsidTr="00034148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1460D8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D41B62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 xml:space="preserve">Young </w:t>
            </w:r>
            <w:proofErr w:type="spellStart"/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Hoon</w:t>
            </w:r>
            <w:proofErr w:type="spellEnd"/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Kwon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2B3B13" w14:textId="77777777" w:rsidR="00034148" w:rsidRPr="00034148" w:rsidRDefault="00034148" w:rsidP="00034148">
            <w:pPr>
              <w:jc w:val="right"/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39,51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85EB6B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Added text has no technical meaning unless TBD mechanism is described.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A54575" w14:textId="77777777" w:rsidR="00034148" w:rsidRPr="00034148" w:rsidRDefault="00034148" w:rsidP="00034148">
            <w:pPr>
              <w:rPr>
                <w:rFonts w:ascii="Times" w:hAnsi="Times"/>
                <w:sz w:val="20"/>
                <w:lang w:val="en-US"/>
              </w:rPr>
            </w:pPr>
            <w:r w:rsidRPr="00034148">
              <w:rPr>
                <w:rFonts w:ascii="Arial" w:hAnsi="Arial" w:cs="Arial"/>
                <w:color w:val="000000"/>
                <w:sz w:val="20"/>
                <w:lang w:val="en-US"/>
              </w:rPr>
              <w:t>Delete the sentence or specify the TBD mechanism.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A3314F" w14:textId="10ECBA21" w:rsidR="00034148" w:rsidRPr="00034148" w:rsidRDefault="00131834" w:rsidP="00034148">
            <w:pPr>
              <w:rPr>
                <w:rFonts w:ascii="Times" w:hAnsi="Times"/>
                <w:sz w:val="20"/>
                <w:lang w:val="en-US"/>
              </w:rPr>
            </w:pPr>
            <w:r w:rsidRPr="00131834">
              <w:rPr>
                <w:bCs/>
                <w:color w:val="000000"/>
                <w:sz w:val="16"/>
                <w:szCs w:val="16"/>
                <w:lang w:val="en-US"/>
              </w:rPr>
              <w:t>Define the mechanism</w:t>
            </w:r>
          </w:p>
        </w:tc>
      </w:tr>
    </w:tbl>
    <w:p w14:paraId="199018AD" w14:textId="77777777" w:rsidR="00481E1D" w:rsidRDefault="00481E1D" w:rsidP="00481E1D">
      <w:pPr>
        <w:pStyle w:val="BodyText"/>
      </w:pPr>
    </w:p>
    <w:p w14:paraId="421BEDA5" w14:textId="64D9C2B4" w:rsidR="001D6905" w:rsidRDefault="001D6905" w:rsidP="00481E1D">
      <w:pPr>
        <w:pStyle w:val="BodyText"/>
      </w:pPr>
      <w:r>
        <w:t xml:space="preserve">The 11ax Specification Framework document </w:t>
      </w:r>
      <w:proofErr w:type="spellStart"/>
      <w:r>
        <w:t>reorded</w:t>
      </w:r>
      <w:proofErr w:type="spellEnd"/>
      <w:r>
        <w:t xml:space="preserve"> the following agreement:</w:t>
      </w:r>
    </w:p>
    <w:p w14:paraId="50CDDE7F" w14:textId="3C50457F" w:rsidR="00972431" w:rsidRDefault="00972431" w:rsidP="00972431">
      <w:pPr>
        <w:ind w:left="720"/>
      </w:pPr>
      <w:r w:rsidRPr="00792AA8">
        <w:t>The amendment shall define a mechanism to allow the AP to configure the use of RTS/CTS initiated by non-AP STA</w:t>
      </w:r>
      <w:r>
        <w:t xml:space="preserve"> [MAC Motion #1, January 2015]</w:t>
      </w:r>
    </w:p>
    <w:p w14:paraId="6E86F9DE" w14:textId="59049F9B" w:rsidR="00972431" w:rsidRPr="00481E1D" w:rsidRDefault="00972431" w:rsidP="00481E1D">
      <w:pPr>
        <w:pStyle w:val="BodyText"/>
      </w:pPr>
      <w:r>
        <w:t>CID 576 points out that no mechanism has been defined. This submission provides a text proposal for such a mechanism.</w:t>
      </w:r>
    </w:p>
    <w:p w14:paraId="0C8D6A8D" w14:textId="283D5008" w:rsidR="005A1B7C" w:rsidRDefault="005A1B7C" w:rsidP="00A971F0">
      <w:pPr>
        <w:pStyle w:val="Heading1"/>
        <w:numPr>
          <w:ilvl w:val="0"/>
          <w:numId w:val="0"/>
        </w:numPr>
      </w:pPr>
      <w:r w:rsidRPr="00A971F0">
        <w:t>Text proposal</w:t>
      </w:r>
    </w:p>
    <w:p w14:paraId="509E7C68" w14:textId="6A001620" w:rsidR="00A971F0" w:rsidRPr="00A971F0" w:rsidRDefault="00A971F0" w:rsidP="00A971F0">
      <w:pPr>
        <w:pStyle w:val="BodyText"/>
      </w:pPr>
      <w:r>
        <w:t xml:space="preserve">Text changes and additions are shown below.  Changes are relative to </w:t>
      </w:r>
      <w:r w:rsidRPr="0091282C">
        <w:rPr>
          <w:lang w:val="en-US"/>
        </w:rPr>
        <w:t>Draft P802.11-REVmc/D</w:t>
      </w:r>
      <w:r>
        <w:rPr>
          <w:lang w:val="en-US"/>
        </w:rPr>
        <w:t xml:space="preserve">7.0 and </w:t>
      </w:r>
      <w:r>
        <w:t xml:space="preserve">IEEE P802.11ax/D0.3. Editor instructions are highlighted in </w:t>
      </w:r>
      <w:r w:rsidRPr="00A971F0">
        <w:rPr>
          <w:b/>
          <w:i/>
          <w:color w:val="FF0000"/>
        </w:rPr>
        <w:t>red</w:t>
      </w:r>
      <w:r>
        <w:t>.</w:t>
      </w:r>
    </w:p>
    <w:p w14:paraId="74DBF747" w14:textId="77777777" w:rsidR="00547286" w:rsidRPr="00547286" w:rsidRDefault="00547286" w:rsidP="00547286">
      <w:pPr>
        <w:pStyle w:val="BodyText"/>
        <w:rPr>
          <w:lang w:val="en-US"/>
        </w:rPr>
      </w:pPr>
    </w:p>
    <w:p w14:paraId="2209DCA1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1481333B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31907B89" w14:textId="77777777" w:rsidR="00274924" w:rsidRPr="00274924" w:rsidRDefault="00274924" w:rsidP="00A94E7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  <w:lang w:val="en-US"/>
        </w:rPr>
      </w:pPr>
    </w:p>
    <w:p w14:paraId="00A34444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1D3F32C9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410AB9C1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E41D3EF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0CA836E2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4CC9665A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3F38A43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9C27181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61E12447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5F4F4618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C09C508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1CB2232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500DFC1A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1FD2D294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789B22EF" w14:textId="77777777" w:rsidR="00274924" w:rsidRPr="00274924" w:rsidRDefault="00274924" w:rsidP="00A94E7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  <w:lang w:val="en-US"/>
        </w:rPr>
      </w:pPr>
    </w:p>
    <w:p w14:paraId="21A9B9FF" w14:textId="42DF5640" w:rsidR="00AD51C4" w:rsidRDefault="005A1B7C" w:rsidP="005A1B7C">
      <w:pPr>
        <w:pStyle w:val="Heading1"/>
        <w:numPr>
          <w:ilvl w:val="0"/>
          <w:numId w:val="0"/>
        </w:numPr>
      </w:pPr>
      <w:r>
        <w:t xml:space="preserve">9 </w:t>
      </w:r>
      <w:r w:rsidR="00AD51C4">
        <w:t xml:space="preserve">Frame formats </w:t>
      </w:r>
    </w:p>
    <w:p w14:paraId="035AB034" w14:textId="4AA9BC58" w:rsidR="00547286" w:rsidRDefault="005A1B7C" w:rsidP="005A1B7C">
      <w:pPr>
        <w:pStyle w:val="Heading2"/>
        <w:numPr>
          <w:ilvl w:val="0"/>
          <w:numId w:val="0"/>
        </w:numPr>
      </w:pPr>
      <w:r>
        <w:t xml:space="preserve">9.4 </w:t>
      </w:r>
      <w:r w:rsidR="00547286">
        <w:t>Management and Extension frame body components</w:t>
      </w:r>
    </w:p>
    <w:p w14:paraId="6F40F9A2" w14:textId="77777777" w:rsidR="00547286" w:rsidRPr="00547286" w:rsidRDefault="00547286" w:rsidP="00547286">
      <w:pPr>
        <w:pStyle w:val="BodyText"/>
      </w:pPr>
    </w:p>
    <w:p w14:paraId="59C98CC9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192979A0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FEA210B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9B64662" w14:textId="77777777" w:rsidR="00D47428" w:rsidRPr="00D47428" w:rsidRDefault="00D47428" w:rsidP="00D47428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11B4F757" w14:textId="77777777" w:rsidR="00D47428" w:rsidRPr="00D47428" w:rsidRDefault="00D47428" w:rsidP="00D4742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13C579D2" w14:textId="77777777" w:rsidR="00D47428" w:rsidRPr="00D47428" w:rsidRDefault="00D47428" w:rsidP="00D47428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2DB72B7B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9C74A8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0FF8F799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3F1EF27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0E495CB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4F56CC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6AE0F1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2F4D37E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790982BE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893F79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A536DB7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9461C6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638AB7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51F1A6C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55B9BE6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1FAD752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37CA2548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703FA5A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FBB546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40989E6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55891EB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19DA3F2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23A5C443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E82A325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045ED1D9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101EE7A8" w14:textId="77777777" w:rsidR="00D47428" w:rsidRPr="00D47428" w:rsidRDefault="00D47428" w:rsidP="00D4742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</w:rPr>
      </w:pPr>
    </w:p>
    <w:p w14:paraId="673E4DE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A3A538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BF3BA6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4BF145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0B2CA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5301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20FCD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82E567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1409C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B6D68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3B7D8D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97B67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0437A4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61ABA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6FFE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F001B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1D4CC4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745D26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CD9E2C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4D01B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1553C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CA7DE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94CFCD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A9E1A4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6D419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1CC996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FCCE5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B7D6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348076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5E1F11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32888A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207976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E11DE4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7FBFE5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F0D9F2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81F99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C3236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F6CEC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0AB906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E5558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6D140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B69FF0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633203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19BED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F77B09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9D01C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A295D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769874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D244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8458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DF663B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E367B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878250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2E228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80D8D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94FD51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82302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2AA222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D0290A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0B2713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B08E4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E9194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6F282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20ECA3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9B7969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924565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0DE8B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55F95F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CE6254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2587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39D31F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31112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C91AF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F1A80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4DD35C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00C22D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AB699C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8CA6D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B1D6A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2CC31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9CE1E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0716A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3F8071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D175A3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71A66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E9273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614604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10FADB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8DFDB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73BF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01CA19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0D98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BDFE34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4C243E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78086F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54C322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1C4CE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60331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46FFEE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107F5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2430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C2805D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E263C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94B12C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3139A6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9BDA7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972EB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D79876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4B1C0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BB676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E8E05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B8C7B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64A6BB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9B3A2F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ACF8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296F4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A3509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C0F50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08255D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C32F77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E60D66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4E9E97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46ED4B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A20624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DFBB28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1719A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6FF27E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8D533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A718B4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7856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EF58E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4267F4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BDFC2F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320362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CB12F1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91D8D9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DA7E2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A9DBB8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AC7397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8D184B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F8DC6A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F53E13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70479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7B5572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E4DF52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47AA53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BC168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D240EF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58B073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AC294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1F0B5C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BB90F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72901B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08D250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08E87D1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C10C48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4D7DA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672C80F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B82315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662586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B3D7310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DE8AC1A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53D59A8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88670E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121048F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C70816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4B7FDD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FF78FA5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A3F3C3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7E8B76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3FDC4F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F22B03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29957F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4522761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8FD003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406DB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58C513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22B73ACD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EF4067C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8CDB49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77F43EC7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160EC134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3005C5D3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2E55CEB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8F081E2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E150B56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0EDD88AE" w14:textId="77777777" w:rsidR="000F0F4E" w:rsidRPr="000F0F4E" w:rsidRDefault="000F0F4E" w:rsidP="00A94E78">
      <w:pPr>
        <w:pStyle w:val="ListParagraph"/>
        <w:keepNext/>
        <w:keepLines/>
        <w:numPr>
          <w:ilvl w:val="3"/>
          <w:numId w:val="2"/>
        </w:numPr>
        <w:spacing w:before="40" w:after="60"/>
        <w:contextualSpacing w:val="0"/>
        <w:outlineLvl w:val="3"/>
        <w:rPr>
          <w:rFonts w:asciiTheme="majorHAnsi" w:eastAsiaTheme="majorEastAsia" w:hAnsiTheme="majorHAnsi" w:cstheme="majorBidi"/>
          <w:b/>
          <w:iCs/>
          <w:vanish/>
          <w:sz w:val="24"/>
          <w:lang w:val="ru-RU"/>
        </w:rPr>
      </w:pPr>
    </w:p>
    <w:p w14:paraId="55E4195B" w14:textId="42BD78C8" w:rsidR="000F0F4E" w:rsidRPr="008D1BE0" w:rsidRDefault="008D1BE0" w:rsidP="008D1BE0">
      <w:pPr>
        <w:pStyle w:val="Heading4"/>
        <w:numPr>
          <w:ilvl w:val="0"/>
          <w:numId w:val="0"/>
        </w:numPr>
      </w:pPr>
      <w:proofErr w:type="gramStart"/>
      <w:r w:rsidRPr="008D1BE0">
        <w:t>9.4.2.</w:t>
      </w:r>
      <w:r w:rsidR="00943748">
        <w:t>214</w:t>
      </w:r>
      <w:r w:rsidRPr="008D1BE0">
        <w:rPr>
          <w:b w:val="0"/>
          <w:bCs/>
        </w:rPr>
        <w:t xml:space="preserve">  </w:t>
      </w:r>
      <w:r w:rsidR="000F0F4E" w:rsidRPr="008D1BE0">
        <w:t>HE</w:t>
      </w:r>
      <w:proofErr w:type="gramEnd"/>
      <w:r w:rsidR="000F0F4E" w:rsidRPr="008D1BE0">
        <w:t xml:space="preserve"> Operation element</w:t>
      </w:r>
    </w:p>
    <w:p w14:paraId="7140739B" w14:textId="639504C4" w:rsidR="001A364E" w:rsidRPr="008D1BE0" w:rsidRDefault="000F0F4E" w:rsidP="008D1BE0">
      <w:pPr>
        <w:rPr>
          <w:b/>
          <w:i/>
          <w:color w:val="FF0000"/>
          <w:lang w:val="en-US"/>
        </w:rPr>
      </w:pPr>
      <w:r w:rsidRPr="008D1BE0">
        <w:rPr>
          <w:b/>
          <w:i/>
          <w:color w:val="FF0000"/>
          <w:lang w:val="en-US"/>
        </w:rPr>
        <w:t xml:space="preserve">Change </w:t>
      </w:r>
      <w:r w:rsidR="008D1BE0" w:rsidRPr="008D1BE0">
        <w:rPr>
          <w:b/>
          <w:i/>
          <w:color w:val="FF0000"/>
          <w:lang w:val="en-US"/>
        </w:rPr>
        <w:t xml:space="preserve">Figure 9-ax6 </w:t>
      </w:r>
      <w:r w:rsidRPr="008D1BE0">
        <w:rPr>
          <w:b/>
          <w:i/>
          <w:color w:val="FF0000"/>
          <w:lang w:val="en-US"/>
        </w:rPr>
        <w:t>- HE Operation Parameters field forma</w:t>
      </w:r>
      <w:r w:rsidR="003F5886" w:rsidRPr="008D1BE0">
        <w:rPr>
          <w:b/>
          <w:i/>
          <w:color w:val="FF0000"/>
          <w:lang w:val="en-US"/>
        </w:rPr>
        <w:t>t</w:t>
      </w:r>
      <w:r w:rsidRPr="008D1BE0">
        <w:rPr>
          <w:b/>
          <w:i/>
          <w:color w:val="FF0000"/>
          <w:lang w:val="en-US"/>
        </w:rPr>
        <w:t xml:space="preserve"> as shown:</w:t>
      </w:r>
    </w:p>
    <w:p w14:paraId="7FF2E886" w14:textId="77777777" w:rsidR="000F0F4E" w:rsidRDefault="000F0F4E" w:rsidP="001A364E">
      <w:pPr>
        <w:rPr>
          <w:b/>
          <w:i/>
          <w:lang w:val="en-US"/>
        </w:rPr>
      </w:pPr>
    </w:p>
    <w:tbl>
      <w:tblPr>
        <w:tblStyle w:val="TableGrid"/>
        <w:tblW w:w="7171" w:type="dxa"/>
        <w:jc w:val="center"/>
        <w:tblLook w:val="04A0" w:firstRow="1" w:lastRow="0" w:firstColumn="1" w:lastColumn="0" w:noHBand="0" w:noVBand="1"/>
      </w:tblPr>
      <w:tblGrid>
        <w:gridCol w:w="528"/>
        <w:gridCol w:w="1364"/>
        <w:gridCol w:w="1371"/>
        <w:gridCol w:w="1371"/>
        <w:gridCol w:w="2537"/>
      </w:tblGrid>
      <w:tr w:rsidR="00943748" w:rsidRPr="000F0F4E" w14:paraId="5CF2D8C0" w14:textId="5B1A0106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83AC7DD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262D3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B0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A4BA" w14:textId="77777777" w:rsidR="00943748" w:rsidRPr="000F0F4E" w:rsidRDefault="00943748" w:rsidP="000F0F4E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5DD98" w14:textId="4A75073E" w:rsidR="00943748" w:rsidRPr="000F0F4E" w:rsidRDefault="00943748" w:rsidP="000F0F4E">
            <w:pPr>
              <w:jc w:val="right"/>
              <w:rPr>
                <w:rFonts w:ascii="Arial" w:hAnsi="Arial"/>
                <w:strike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</w:t>
            </w:r>
            <w:r w:rsidRPr="000F0F4E">
              <w:rPr>
                <w:rFonts w:ascii="Arial" w:hAnsi="Arial"/>
                <w:strike/>
                <w:color w:val="000000"/>
                <w:sz w:val="16"/>
                <w:szCs w:val="16"/>
                <w:lang w:val="en-US" w:eastAsia="ko-KR"/>
              </w:rPr>
              <w:t>B15</w:t>
            </w:r>
            <w:r w:rsidRPr="00D71BCB">
              <w:rPr>
                <w:rFonts w:ascii="Arial" w:hAnsi="Arial"/>
                <w:color w:val="000000"/>
                <w:sz w:val="16"/>
                <w:szCs w:val="16"/>
                <w:u w:val="single"/>
                <w:lang w:val="en-US" w:eastAsia="ko-KR"/>
              </w:rPr>
              <w:t xml:space="preserve"> TBD</w:t>
            </w:r>
          </w:p>
        </w:tc>
      </w:tr>
      <w:tr w:rsidR="00943748" w:rsidRPr="000F0F4E" w14:paraId="699625D3" w14:textId="74FD1034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</w:tcBorders>
          </w:tcPr>
          <w:p w14:paraId="6B7227FF" w14:textId="77777777" w:rsidR="00943748" w:rsidRPr="000F0F4E" w:rsidRDefault="00943748" w:rsidP="000F0F4E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5755135" w14:textId="77777777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BSS Color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6125296B" w14:textId="5D2A7D63" w:rsidR="00943748" w:rsidRPr="00972431" w:rsidRDefault="00943748" w:rsidP="00F90D3D">
            <w:pPr>
              <w:jc w:val="center"/>
              <w:rPr>
                <w:rFonts w:ascii="Arial" w:hAnsi="Arial"/>
                <w:color w:val="FF0000"/>
                <w:sz w:val="16"/>
                <w:szCs w:val="16"/>
                <w:u w:val="single"/>
                <w:lang w:val="en-US" w:eastAsia="ko-KR"/>
              </w:rPr>
            </w:pPr>
            <w:r w:rsidRPr="00943748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Default PE Duration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0B92390" w14:textId="050D8383" w:rsidR="00943748" w:rsidRPr="000F0F4E" w:rsidRDefault="002B0359" w:rsidP="00F90D3D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val="en-US" w:eastAsia="ko-KR"/>
              </w:rPr>
            </w:pPr>
            <w:r>
              <w:rPr>
                <w:rFonts w:ascii="Arial" w:hAnsi="Arial"/>
                <w:color w:val="FF0000"/>
                <w:sz w:val="16"/>
                <w:szCs w:val="16"/>
                <w:u w:val="single"/>
                <w:lang w:val="en-US" w:eastAsia="ko-KR"/>
              </w:rPr>
              <w:t>HE Duration-based RTS Threshold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5EFDE1FF" w14:textId="781389BC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Reserved</w:t>
            </w:r>
          </w:p>
        </w:tc>
      </w:tr>
      <w:tr w:rsidR="00943748" w:rsidRPr="000F0F4E" w14:paraId="58E2E6EF" w14:textId="2883AAFC" w:rsidTr="00943748">
        <w:trPr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035F9AD" w14:textId="77777777" w:rsidR="00943748" w:rsidRPr="000F0F4E" w:rsidRDefault="00943748" w:rsidP="000F0F4E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83C82" w14:textId="1644E8B8" w:rsidR="00943748" w:rsidRPr="000F0F4E" w:rsidRDefault="00943748" w:rsidP="000F0F4E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D6E3B" w14:textId="6CA08C85" w:rsidR="00943748" w:rsidRDefault="00943748" w:rsidP="00943748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63F30" w14:textId="37449161" w:rsidR="00943748" w:rsidRPr="000F0F4E" w:rsidRDefault="00C32107" w:rsidP="00F90D3D">
            <w:pPr>
              <w:keepNext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      10</w:t>
            </w:r>
            <w:r w:rsidR="00943748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                                       </w:t>
            </w:r>
            <w:r w:rsidR="00943748" w:rsidRPr="000F0F4E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TBD</w:t>
            </w:r>
          </w:p>
        </w:tc>
      </w:tr>
    </w:tbl>
    <w:p w14:paraId="5B4A39BF" w14:textId="77777777" w:rsidR="000F0F4E" w:rsidRDefault="000F0F4E" w:rsidP="001A364E">
      <w:pPr>
        <w:rPr>
          <w:b/>
          <w:i/>
          <w:lang w:val="en-US"/>
        </w:rPr>
      </w:pPr>
    </w:p>
    <w:p w14:paraId="05DF8456" w14:textId="25019E23" w:rsidR="000F0F4E" w:rsidRPr="00A971F0" w:rsidRDefault="00D71BCB" w:rsidP="008D1BE0">
      <w:pPr>
        <w:rPr>
          <w:b/>
          <w:i/>
          <w:color w:val="FF0000"/>
        </w:rPr>
      </w:pPr>
      <w:r w:rsidRPr="00A971F0">
        <w:rPr>
          <w:b/>
          <w:i/>
          <w:color w:val="FF0000"/>
          <w:lang w:eastAsia="ko-KR"/>
        </w:rPr>
        <w:t xml:space="preserve">Insert the following paragraph </w:t>
      </w:r>
      <w:r w:rsidR="00C30874" w:rsidRPr="00A971F0">
        <w:rPr>
          <w:b/>
          <w:i/>
          <w:color w:val="FF0000"/>
          <w:lang w:eastAsia="ko-KR"/>
        </w:rPr>
        <w:t>at</w:t>
      </w:r>
      <w:r w:rsidRPr="00A971F0">
        <w:rPr>
          <w:b/>
          <w:i/>
          <w:color w:val="FF0000"/>
          <w:lang w:eastAsia="ko-KR"/>
        </w:rPr>
        <w:t xml:space="preserve"> the end of section </w:t>
      </w:r>
      <w:r w:rsidR="008D1BE0" w:rsidRPr="00A971F0">
        <w:rPr>
          <w:b/>
          <w:i/>
          <w:color w:val="FF0000"/>
          <w:lang w:eastAsia="ko-KR"/>
        </w:rPr>
        <w:t>9.4.2.</w:t>
      </w:r>
      <w:r w:rsidR="00943748">
        <w:rPr>
          <w:b/>
          <w:i/>
          <w:color w:val="FF0000"/>
          <w:lang w:eastAsia="ko-KR"/>
        </w:rPr>
        <w:t>214</w:t>
      </w:r>
    </w:p>
    <w:p w14:paraId="7353E00F" w14:textId="7496ACB3" w:rsidR="002C492F" w:rsidRDefault="002C492F" w:rsidP="002C492F">
      <w:pPr>
        <w:pStyle w:val="BodyText"/>
      </w:pPr>
      <w:r>
        <w:t xml:space="preserve">The HE Duration-based </w:t>
      </w:r>
      <w:r w:rsidRPr="006A48CF">
        <w:t>RTS</w:t>
      </w:r>
      <w:r w:rsidR="0040524D">
        <w:t xml:space="preserve"> Threshold</w:t>
      </w:r>
      <w:r w:rsidR="00D71866">
        <w:t xml:space="preserve"> field allows a</w:t>
      </w:r>
      <w:r w:rsidR="00A0621B">
        <w:t>n</w:t>
      </w:r>
      <w:r>
        <w:t xml:space="preserve"> HE AP to manage RTS/CTS usage by the associated HE STAs. The length of the HE Duration-based </w:t>
      </w:r>
      <w:r w:rsidRPr="006A48CF">
        <w:t>RTS</w:t>
      </w:r>
      <w:r w:rsidR="0040524D">
        <w:t xml:space="preserve"> threshold</w:t>
      </w:r>
      <w:r w:rsidR="00890E40">
        <w:t xml:space="preserve"> field is 10 bits. </w:t>
      </w:r>
      <w:r>
        <w:t xml:space="preserve">The value is </w:t>
      </w:r>
      <w:r w:rsidRPr="0092138B">
        <w:t>specified</w:t>
      </w:r>
      <w:r>
        <w:t xml:space="preserve"> as an unsigned integer, </w:t>
      </w:r>
      <w:r w:rsidRPr="0092138B">
        <w:t>in units of 32</w:t>
      </w:r>
      <w:r>
        <w:t xml:space="preserve"> us</w:t>
      </w:r>
      <w:r w:rsidRPr="0092138B">
        <w:t>.</w:t>
      </w:r>
      <w:r w:rsidR="00424595">
        <w:t xml:space="preserve"> Value zero indicates RTS/CTS must be used for all the data transmit sequence, value 1023 indicates this feature is disabled.</w:t>
      </w:r>
    </w:p>
    <w:p w14:paraId="471F164F" w14:textId="77777777" w:rsidR="00547286" w:rsidRPr="00A55982" w:rsidRDefault="00547286" w:rsidP="00A55982">
      <w:pPr>
        <w:keepNext/>
        <w:keepLines/>
        <w:spacing w:before="280"/>
        <w:outlineLvl w:val="1"/>
        <w:rPr>
          <w:rFonts w:asciiTheme="majorHAnsi" w:hAnsiTheme="majorHAnsi"/>
          <w:b/>
          <w:vanish/>
          <w:sz w:val="28"/>
        </w:rPr>
      </w:pPr>
    </w:p>
    <w:p w14:paraId="0EA7BA9B" w14:textId="77777777" w:rsidR="00547286" w:rsidRPr="008F1D2C" w:rsidRDefault="00547286" w:rsidP="00547286">
      <w:pPr>
        <w:pStyle w:val="ListParagraph"/>
        <w:keepNext/>
        <w:keepLines/>
        <w:numPr>
          <w:ilvl w:val="1"/>
          <w:numId w:val="2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53AE80FB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897119F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068BE4F2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3FDAC5C5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46E1F6B3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5C20C96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069D55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572A7EAA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144A169A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7951D96C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540F0F60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0CDBB8D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4FA0FCB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6E0BF948" w14:textId="77777777" w:rsidR="00547286" w:rsidRPr="008F1D2C" w:rsidRDefault="00547286" w:rsidP="00547286">
      <w:pPr>
        <w:pStyle w:val="ListParagraph"/>
        <w:keepNext/>
        <w:keepLines/>
        <w:numPr>
          <w:ilvl w:val="2"/>
          <w:numId w:val="2"/>
        </w:numPr>
        <w:spacing w:before="240" w:after="60"/>
        <w:contextualSpacing w:val="0"/>
        <w:outlineLvl w:val="2"/>
        <w:rPr>
          <w:rFonts w:asciiTheme="majorHAnsi" w:hAnsiTheme="majorHAnsi"/>
          <w:b/>
          <w:vanish/>
          <w:sz w:val="24"/>
        </w:rPr>
      </w:pPr>
    </w:p>
    <w:p w14:paraId="09E04700" w14:textId="77777777" w:rsidR="00547286" w:rsidRDefault="00547286" w:rsidP="00EC3D85">
      <w:pPr>
        <w:keepNext/>
        <w:keepLines/>
        <w:spacing w:before="240" w:after="60"/>
        <w:outlineLvl w:val="2"/>
      </w:pPr>
    </w:p>
    <w:p w14:paraId="5C80ECCC" w14:textId="21BC5315" w:rsidR="00554304" w:rsidRDefault="00936B56" w:rsidP="00936B56">
      <w:pPr>
        <w:pStyle w:val="Heading1"/>
        <w:numPr>
          <w:ilvl w:val="0"/>
          <w:numId w:val="0"/>
        </w:numPr>
      </w:pPr>
      <w:r>
        <w:t xml:space="preserve">10 </w:t>
      </w:r>
      <w:r w:rsidR="00554304" w:rsidRPr="00C06F9E">
        <w:t>MAC sublayer functional description</w:t>
      </w:r>
    </w:p>
    <w:p w14:paraId="616300B0" w14:textId="023A40ED" w:rsidR="00B378BD" w:rsidRDefault="00936B56" w:rsidP="00936B56">
      <w:pPr>
        <w:pStyle w:val="Heading3"/>
        <w:numPr>
          <w:ilvl w:val="0"/>
          <w:numId w:val="0"/>
        </w:numPr>
      </w:pPr>
      <w:r>
        <w:t xml:space="preserve">10.3.1 </w:t>
      </w:r>
      <w:r w:rsidR="00B378BD">
        <w:t>General</w:t>
      </w:r>
    </w:p>
    <w:p w14:paraId="2E1E397A" w14:textId="77777777" w:rsidR="00B378BD" w:rsidRPr="00936B56" w:rsidRDefault="00B378BD" w:rsidP="00B378BD">
      <w:pPr>
        <w:pStyle w:val="EditingInstruction"/>
        <w:rPr>
          <w:color w:val="FF0000"/>
        </w:rPr>
      </w:pPr>
      <w:r w:rsidRPr="00936B56">
        <w:rPr>
          <w:color w:val="FF0000"/>
        </w:rPr>
        <w:t>Change as follows:</w:t>
      </w:r>
    </w:p>
    <w:p w14:paraId="7E52F648" w14:textId="46EA3BD9" w:rsidR="00A637B8" w:rsidRDefault="009F0531" w:rsidP="0084029A">
      <w:pPr>
        <w:pStyle w:val="BodyText"/>
        <w:rPr>
          <w:lang w:val="en-US"/>
        </w:rPr>
      </w:pPr>
      <w:r>
        <w:rPr>
          <w:color w:val="FF0000"/>
          <w:u w:val="single"/>
          <w:lang w:val="en-US"/>
        </w:rPr>
        <w:t>When H</w:t>
      </w:r>
      <w:r w:rsidR="00EE5372">
        <w:rPr>
          <w:color w:val="FF0000"/>
          <w:u w:val="single"/>
          <w:lang w:val="en-US"/>
        </w:rPr>
        <w:t xml:space="preserve">E Duration-based RTS </w:t>
      </w:r>
      <w:r>
        <w:rPr>
          <w:color w:val="FF0000"/>
          <w:u w:val="single"/>
          <w:lang w:val="en-US"/>
        </w:rPr>
        <w:t>is disabled</w:t>
      </w:r>
      <w:r w:rsidR="00F06CD0" w:rsidRPr="00972431">
        <w:rPr>
          <w:color w:val="FF0000"/>
          <w:u w:val="single"/>
          <w:lang w:val="en-US"/>
        </w:rPr>
        <w:t>,</w:t>
      </w:r>
      <w:r w:rsidR="00967DB0">
        <w:rPr>
          <w:lang w:val="en-US"/>
        </w:rPr>
        <w:t xml:space="preserve"> t</w:t>
      </w:r>
      <w:r w:rsidR="007327BD" w:rsidRPr="00B378BD">
        <w:rPr>
          <w:lang w:val="en-US"/>
        </w:rPr>
        <w:t>he use of the RTS/CTS mechanism is under control of dot11RTSThreshold</w:t>
      </w:r>
      <w:r w:rsidR="00967DB0">
        <w:rPr>
          <w:lang w:val="en-US"/>
        </w:rPr>
        <w:t xml:space="preserve">. </w:t>
      </w:r>
      <w:r w:rsidR="00A637B8" w:rsidRPr="00A637B8">
        <w:rPr>
          <w:lang w:val="en-US"/>
        </w:rPr>
        <w:t>This</w:t>
      </w:r>
      <w:r w:rsidR="00A637B8" w:rsidRPr="00B378BD">
        <w:rPr>
          <w:lang w:val="en-US"/>
        </w:rPr>
        <w:t xml:space="preserve"> attribute may be set</w:t>
      </w:r>
      <w:r w:rsidR="00A637B8">
        <w:rPr>
          <w:lang w:val="en-US"/>
        </w:rPr>
        <w:t xml:space="preserve"> </w:t>
      </w:r>
      <w:r w:rsidR="00A637B8" w:rsidRPr="00B378BD">
        <w:rPr>
          <w:lang w:val="en-US"/>
        </w:rPr>
        <w:t>on a per-STA basis. This mechanism allows STAs to be configured to initiate RTS/CTS either always, never,</w:t>
      </w:r>
      <w:r w:rsidR="00A637B8">
        <w:rPr>
          <w:lang w:val="en-US"/>
        </w:rPr>
        <w:t xml:space="preserve"> or </w:t>
      </w:r>
      <w:r w:rsidR="00A637B8" w:rsidRPr="00A637B8">
        <w:rPr>
          <w:lang w:val="en-US"/>
        </w:rPr>
        <w:t>only on</w:t>
      </w:r>
      <w:r w:rsidR="00A637B8" w:rsidRPr="00B378BD">
        <w:rPr>
          <w:lang w:val="en-US"/>
        </w:rPr>
        <w:t xml:space="preserve"> frames longer than a specified length</w:t>
      </w:r>
      <w:r w:rsidR="00A637B8">
        <w:rPr>
          <w:lang w:val="en-US"/>
        </w:rPr>
        <w:t>.</w:t>
      </w:r>
    </w:p>
    <w:p w14:paraId="48F1B657" w14:textId="1BEB25DC" w:rsidR="004718BB" w:rsidRDefault="009F0531" w:rsidP="004718BB">
      <w:pPr>
        <w:pStyle w:val="BodyText"/>
        <w:rPr>
          <w:lang w:val="en-US"/>
        </w:rPr>
      </w:pPr>
      <w:r>
        <w:rPr>
          <w:color w:val="FF0000"/>
          <w:u w:val="single"/>
          <w:lang w:val="en-US"/>
        </w:rPr>
        <w:t>When HE Duration-</w:t>
      </w:r>
      <w:r w:rsidR="00464645">
        <w:rPr>
          <w:color w:val="FF0000"/>
          <w:u w:val="single"/>
          <w:lang w:val="en-US"/>
        </w:rPr>
        <w:t xml:space="preserve">based RTS </w:t>
      </w:r>
      <w:r>
        <w:rPr>
          <w:color w:val="FF0000"/>
          <w:u w:val="single"/>
          <w:lang w:val="en-US"/>
        </w:rPr>
        <w:t>is enabled</w:t>
      </w:r>
      <w:r w:rsidR="001A364E" w:rsidRPr="00972431">
        <w:rPr>
          <w:color w:val="FF0000"/>
          <w:u w:val="single"/>
          <w:lang w:val="en-US"/>
        </w:rPr>
        <w:t xml:space="preserve">, </w:t>
      </w:r>
      <w:r w:rsidR="00967DB0" w:rsidRPr="00972431">
        <w:rPr>
          <w:color w:val="FF0000"/>
          <w:u w:val="single"/>
          <w:lang w:val="en-US"/>
        </w:rPr>
        <w:t xml:space="preserve">the use of the RTS/CTS mechanism is under control of </w:t>
      </w:r>
      <w:r w:rsidR="00C140AA" w:rsidRPr="00972431">
        <w:rPr>
          <w:color w:val="FF0000"/>
          <w:u w:val="single"/>
          <w:lang w:val="en-US"/>
        </w:rPr>
        <w:t>dot11</w:t>
      </w:r>
      <w:r w:rsidR="00A637B8" w:rsidRPr="00972431">
        <w:rPr>
          <w:color w:val="FF0000"/>
          <w:u w:val="single"/>
          <w:lang w:val="en-US"/>
        </w:rPr>
        <w:t>Duration</w:t>
      </w:r>
      <w:r w:rsidR="00C140AA" w:rsidRPr="00972431">
        <w:rPr>
          <w:color w:val="FF0000"/>
          <w:u w:val="single"/>
          <w:lang w:val="en-US"/>
        </w:rPr>
        <w:t>RTSThreshold</w:t>
      </w:r>
      <w:r w:rsidR="00EF7F63">
        <w:rPr>
          <w:color w:val="FF0000"/>
          <w:u w:val="single"/>
          <w:lang w:val="en-US"/>
        </w:rPr>
        <w:t xml:space="preserve">. </w:t>
      </w:r>
      <w:r>
        <w:rPr>
          <w:color w:val="FF0000"/>
          <w:u w:val="single"/>
          <w:lang w:val="en-US"/>
        </w:rPr>
        <w:t>T</w:t>
      </w:r>
      <w:r w:rsidR="00AB7887">
        <w:rPr>
          <w:color w:val="FF0000"/>
          <w:u w:val="single"/>
          <w:lang w:val="en-US"/>
        </w:rPr>
        <w:t xml:space="preserve">his mechanism requires STAs to </w:t>
      </w:r>
      <w:r>
        <w:rPr>
          <w:color w:val="FF0000"/>
          <w:u w:val="single"/>
          <w:lang w:val="en-US"/>
        </w:rPr>
        <w:t>initiate RTS/CTS when</w:t>
      </w:r>
      <w:r w:rsidR="00A637B8" w:rsidRPr="00972431">
        <w:rPr>
          <w:color w:val="FF0000"/>
          <w:u w:val="single"/>
          <w:lang w:val="en-US"/>
        </w:rPr>
        <w:t xml:space="preserve"> TXOP </w:t>
      </w:r>
      <w:r>
        <w:rPr>
          <w:color w:val="FF0000"/>
          <w:u w:val="single"/>
          <w:lang w:val="en-US"/>
        </w:rPr>
        <w:t xml:space="preserve">is </w:t>
      </w:r>
      <w:r w:rsidR="00A637B8" w:rsidRPr="00972431">
        <w:rPr>
          <w:color w:val="FF0000"/>
          <w:u w:val="single"/>
          <w:lang w:val="en-US"/>
        </w:rPr>
        <w:t xml:space="preserve">longer than </w:t>
      </w:r>
      <w:r w:rsidR="00967DB0" w:rsidRPr="00972431">
        <w:rPr>
          <w:color w:val="FF0000"/>
          <w:u w:val="single"/>
          <w:lang w:val="en-US"/>
        </w:rPr>
        <w:t>dot11</w:t>
      </w:r>
      <w:r w:rsidR="00A637B8" w:rsidRPr="00972431">
        <w:rPr>
          <w:color w:val="FF0000"/>
          <w:u w:val="single"/>
          <w:lang w:val="en-US"/>
        </w:rPr>
        <w:t>Duration</w:t>
      </w:r>
      <w:r w:rsidR="00967DB0" w:rsidRPr="00972431">
        <w:rPr>
          <w:color w:val="FF0000"/>
          <w:u w:val="single"/>
          <w:lang w:val="en-US"/>
        </w:rPr>
        <w:t>RTSThreshold</w:t>
      </w:r>
      <w:r w:rsidR="0084029A" w:rsidRPr="00972431">
        <w:rPr>
          <w:color w:val="FF0000"/>
          <w:lang w:val="en-US"/>
        </w:rPr>
        <w:t>.</w:t>
      </w:r>
    </w:p>
    <w:p w14:paraId="667EDEF5" w14:textId="1BDCADDD" w:rsidR="007327BD" w:rsidRPr="007327BD" w:rsidRDefault="007327BD" w:rsidP="0084029A">
      <w:pPr>
        <w:pStyle w:val="BodyText"/>
        <w:rPr>
          <w:u w:val="single"/>
          <w:lang w:val="en-US"/>
        </w:rPr>
      </w:pPr>
    </w:p>
    <w:p w14:paraId="5A00CF26" w14:textId="466E746A" w:rsidR="00D76591" w:rsidRDefault="00AF0D31" w:rsidP="00AF0D31">
      <w:pPr>
        <w:pStyle w:val="Heading3"/>
        <w:numPr>
          <w:ilvl w:val="0"/>
          <w:numId w:val="0"/>
        </w:numPr>
        <w:tabs>
          <w:tab w:val="num" w:pos="864"/>
        </w:tabs>
      </w:pPr>
      <w:r>
        <w:t xml:space="preserve">10.3.2 </w:t>
      </w:r>
      <w:r w:rsidR="00D76591" w:rsidRPr="005108BF">
        <w:t>Procedures common to the DCF and EDCAF</w:t>
      </w:r>
    </w:p>
    <w:p w14:paraId="0D207680" w14:textId="77777777" w:rsidR="00D76591" w:rsidRPr="00D76591" w:rsidRDefault="00D76591" w:rsidP="00D76591">
      <w:pPr>
        <w:pStyle w:val="BodyText"/>
      </w:pPr>
    </w:p>
    <w:p w14:paraId="4B3B9D52" w14:textId="66FDA34F" w:rsidR="00D81A46" w:rsidRDefault="00AF0D31" w:rsidP="00AF0D31">
      <w:pPr>
        <w:pStyle w:val="Heading4"/>
        <w:numPr>
          <w:ilvl w:val="0"/>
          <w:numId w:val="0"/>
        </w:numPr>
        <w:tabs>
          <w:tab w:val="num" w:pos="1224"/>
        </w:tabs>
      </w:pPr>
      <w:r>
        <w:t xml:space="preserve">10.3.4.2 </w:t>
      </w:r>
      <w:r w:rsidR="00D81A46" w:rsidRPr="005108BF">
        <w:t>Setting and resetting the NAV</w:t>
      </w:r>
    </w:p>
    <w:p w14:paraId="490F42BB" w14:textId="64F75CFF" w:rsidR="00D81A46" w:rsidRPr="00AF0D31" w:rsidRDefault="00F702A4" w:rsidP="00D81A46">
      <w:pPr>
        <w:pStyle w:val="EditingInstruction"/>
        <w:rPr>
          <w:color w:val="FF0000"/>
        </w:rPr>
      </w:pPr>
      <w:r w:rsidRPr="00AF0D31">
        <w:rPr>
          <w:color w:val="FF0000"/>
        </w:rPr>
        <w:t>Remove</w:t>
      </w:r>
      <w:r w:rsidR="00D81A46" w:rsidRPr="00AF0D31">
        <w:rPr>
          <w:color w:val="FF0000"/>
        </w:rPr>
        <w:t xml:space="preserve"> the following at the end of 10.3.2.4:</w:t>
      </w:r>
    </w:p>
    <w:p w14:paraId="697FE802" w14:textId="1951EB4B" w:rsidR="00D81A46" w:rsidRDefault="00EB032E" w:rsidP="00D81A46">
      <w:pPr>
        <w:pStyle w:val="BodyText"/>
        <w:tabs>
          <w:tab w:val="left" w:pos="7350"/>
        </w:tabs>
      </w:pPr>
      <w:r>
        <w:t>An HE AP may use the HE Duration-based RTS Threshold</w:t>
      </w:r>
      <w:r w:rsidR="00D81A46" w:rsidRPr="00F702A4">
        <w:t xml:space="preserve"> to configure the use of RTS/CTS initiated by non-AP </w:t>
      </w:r>
      <w:r w:rsidR="009B4C62">
        <w:t xml:space="preserve">HE </w:t>
      </w:r>
      <w:r w:rsidR="00D81A46" w:rsidRPr="00F702A4">
        <w:t>STA.</w:t>
      </w:r>
    </w:p>
    <w:p w14:paraId="216BECBB" w14:textId="77777777" w:rsidR="00972431" w:rsidRDefault="00972431" w:rsidP="00D81A46">
      <w:pPr>
        <w:pStyle w:val="BodyText"/>
        <w:tabs>
          <w:tab w:val="left" w:pos="7350"/>
        </w:tabs>
      </w:pPr>
    </w:p>
    <w:p w14:paraId="78A428BB" w14:textId="54634C34" w:rsidR="00D76591" w:rsidRPr="009A24B3" w:rsidRDefault="00D76591" w:rsidP="00972431">
      <w:pPr>
        <w:pStyle w:val="EditingInstruction"/>
        <w:keepNext/>
        <w:rPr>
          <w:color w:val="FF0000"/>
        </w:rPr>
      </w:pPr>
      <w:r w:rsidRPr="009A24B3">
        <w:rPr>
          <w:color w:val="FF0000"/>
        </w:rPr>
        <w:t xml:space="preserve">Insert a new </w:t>
      </w:r>
      <w:proofErr w:type="spellStart"/>
      <w:r w:rsidRPr="009A24B3">
        <w:rPr>
          <w:color w:val="FF0000"/>
        </w:rPr>
        <w:t>subclause</w:t>
      </w:r>
      <w:proofErr w:type="spellEnd"/>
      <w:r w:rsidRPr="009A24B3">
        <w:rPr>
          <w:color w:val="FF0000"/>
        </w:rPr>
        <w:t xml:space="preserve"> following 10</w:t>
      </w:r>
      <w:r w:rsidR="00F702A4" w:rsidRPr="009A24B3">
        <w:rPr>
          <w:color w:val="FF0000"/>
        </w:rPr>
        <w:t>.3.2.4</w:t>
      </w:r>
      <w:r w:rsidRPr="009A24B3">
        <w:rPr>
          <w:color w:val="FF0000"/>
        </w:rPr>
        <w:t>:</w:t>
      </w:r>
    </w:p>
    <w:p w14:paraId="4CBB8B97" w14:textId="3BFC457C" w:rsidR="00D76591" w:rsidRDefault="00D76591" w:rsidP="00D76591">
      <w:pPr>
        <w:pStyle w:val="Heading4"/>
        <w:numPr>
          <w:ilvl w:val="0"/>
          <w:numId w:val="0"/>
        </w:numPr>
        <w:ind w:left="360" w:hanging="360"/>
      </w:pPr>
      <w:r>
        <w:t>10.3.2.</w:t>
      </w:r>
      <w:r w:rsidR="00F702A4">
        <w:t>4</w:t>
      </w:r>
      <w:r>
        <w:t xml:space="preserve">a </w:t>
      </w:r>
      <w:r w:rsidR="00F702A4">
        <w:t>Duration-based RTS/CTS</w:t>
      </w:r>
    </w:p>
    <w:p w14:paraId="5B55792A" w14:textId="61F152FE" w:rsidR="00A65795" w:rsidRPr="00972431" w:rsidRDefault="00D76591" w:rsidP="00D76591">
      <w:pPr>
        <w:pStyle w:val="BodyText"/>
        <w:rPr>
          <w:lang w:val="en-US"/>
        </w:rPr>
      </w:pPr>
      <w:r w:rsidRPr="00972431">
        <w:rPr>
          <w:lang w:val="en-US"/>
        </w:rPr>
        <w:t xml:space="preserve">In dense environments, managing RTS usage by an AP can help the overall interference situation since the AP may have better view of the network situation. </w:t>
      </w:r>
      <w:r w:rsidR="00A65795" w:rsidRPr="00972431">
        <w:rPr>
          <w:lang w:val="en-US"/>
        </w:rPr>
        <w:t xml:space="preserve">To improve spectrum utilization, RTS usage should be duration-based, rather than length-based.  </w:t>
      </w:r>
    </w:p>
    <w:p w14:paraId="3EEADCC4" w14:textId="1B17E532" w:rsidR="00FA6BD9" w:rsidRDefault="00FA6BD9" w:rsidP="00FA6BD9">
      <w:pPr>
        <w:pStyle w:val="Heading1"/>
        <w:numPr>
          <w:ilvl w:val="0"/>
          <w:numId w:val="0"/>
        </w:numPr>
      </w:pPr>
      <w:r>
        <w:lastRenderedPageBreak/>
        <w:t>Annex C</w:t>
      </w:r>
    </w:p>
    <w:p w14:paraId="53241BFA" w14:textId="77777777" w:rsidR="00FA6BD9" w:rsidRDefault="00FA6BD9" w:rsidP="00FA6BD9">
      <w:pPr>
        <w:pStyle w:val="Heading2"/>
        <w:numPr>
          <w:ilvl w:val="0"/>
          <w:numId w:val="0"/>
        </w:numPr>
        <w:ind w:left="360" w:hanging="360"/>
      </w:pPr>
      <w:r>
        <w:t>C.3 MIB Detail</w:t>
      </w:r>
    </w:p>
    <w:p w14:paraId="3839DB21" w14:textId="14170069" w:rsidR="00FA6BD9" w:rsidRPr="00A971F0" w:rsidRDefault="00FA6BD9" w:rsidP="00FA6BD9">
      <w:pPr>
        <w:pStyle w:val="EditingInstruction"/>
        <w:rPr>
          <w:color w:val="FF0000"/>
        </w:rPr>
      </w:pPr>
      <w:r w:rsidRPr="00A971F0">
        <w:rPr>
          <w:color w:val="FF0000"/>
        </w:rPr>
        <w:t>Insert the following text:</w:t>
      </w:r>
    </w:p>
    <w:p w14:paraId="1052A8B9" w14:textId="4DD7C5FF" w:rsidR="004E191E" w:rsidRDefault="004E191E" w:rsidP="004E191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18"/>
          <w:lang w:val="en-US"/>
        </w:rPr>
      </w:pPr>
      <w:r w:rsidRPr="004E191E">
        <w:rPr>
          <w:rFonts w:ascii="Courier New" w:hAnsi="Courier New" w:cs="Courier New"/>
          <w:sz w:val="24"/>
          <w:szCs w:val="18"/>
          <w:lang w:val="en-US"/>
        </w:rPr>
        <w:t>dot11DurationRTSThreshold</w:t>
      </w:r>
      <w:r>
        <w:rPr>
          <w:rFonts w:ascii="Courier New" w:hAnsi="Courier New" w:cs="Courier New"/>
          <w:sz w:val="24"/>
          <w:szCs w:val="18"/>
          <w:lang w:val="en-US"/>
        </w:rPr>
        <w:t xml:space="preserve"> OBJECT-TYPE</w:t>
      </w:r>
    </w:p>
    <w:p w14:paraId="4E1F7821" w14:textId="571568D3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SYNTAX </w:t>
      </w:r>
      <w:r w:rsidR="004844C3">
        <w:rPr>
          <w:rFonts w:ascii="Courier New" w:hAnsi="Courier New" w:cs="Courier New"/>
          <w:sz w:val="24"/>
          <w:szCs w:val="18"/>
          <w:lang w:val="en-US"/>
        </w:rPr>
        <w:t>Unsigned16</w:t>
      </w:r>
      <w:r w:rsidR="00CD63C8">
        <w:rPr>
          <w:rFonts w:ascii="Courier New" w:hAnsi="Courier New" w:cs="Courier New"/>
          <w:sz w:val="24"/>
          <w:szCs w:val="18"/>
          <w:lang w:val="en-US"/>
        </w:rPr>
        <w:t xml:space="preserve"> (0</w:t>
      </w:r>
      <w:proofErr w:type="gramStart"/>
      <w:r w:rsidR="00CD63C8">
        <w:rPr>
          <w:rFonts w:ascii="Courier New" w:hAnsi="Courier New" w:cs="Courier New"/>
          <w:sz w:val="24"/>
          <w:szCs w:val="18"/>
          <w:lang w:val="en-US"/>
        </w:rPr>
        <w:t>..</w:t>
      </w:r>
      <w:proofErr w:type="gramEnd"/>
      <w:r w:rsidR="00CD63C8">
        <w:rPr>
          <w:rFonts w:ascii="Courier New" w:hAnsi="Courier New" w:cs="Courier New"/>
          <w:sz w:val="24"/>
          <w:szCs w:val="18"/>
          <w:lang w:val="en-US"/>
        </w:rPr>
        <w:t>1023</w:t>
      </w:r>
      <w:r w:rsidRPr="004E191E">
        <w:rPr>
          <w:rFonts w:ascii="Courier New" w:hAnsi="Courier New" w:cs="Courier New"/>
          <w:sz w:val="24"/>
          <w:szCs w:val="18"/>
          <w:lang w:val="en-US"/>
        </w:rPr>
        <w:t>)</w:t>
      </w:r>
    </w:p>
    <w:p w14:paraId="2E881EF8" w14:textId="32D0AE91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UNITS "32 microseconds"</w:t>
      </w:r>
    </w:p>
    <w:p w14:paraId="2850694D" w14:textId="29BC8A63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MAX-ACCESS read-</w:t>
      </w:r>
      <w:r w:rsidRPr="004E191E">
        <w:rPr>
          <w:rFonts w:ascii="Courier New" w:hAnsi="Courier New" w:cs="Courier New"/>
          <w:sz w:val="24"/>
          <w:szCs w:val="18"/>
          <w:lang w:val="en-US"/>
        </w:rPr>
        <w:t>write</w:t>
      </w:r>
    </w:p>
    <w:p w14:paraId="2FE4643F" w14:textId="77777777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STATUS current</w:t>
      </w:r>
    </w:p>
    <w:p w14:paraId="67E6A458" w14:textId="77777777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>DESCRIPTION</w:t>
      </w:r>
    </w:p>
    <w:p w14:paraId="163BAD8C" w14:textId="2B33F17F" w:rsidR="004E191E" w:rsidRDefault="004E191E" w:rsidP="004E191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"This is a </w:t>
      </w:r>
      <w:r w:rsidRPr="004E191E">
        <w:rPr>
          <w:rFonts w:ascii="Courier New" w:hAnsi="Courier New" w:cs="Courier New"/>
          <w:sz w:val="24"/>
          <w:szCs w:val="18"/>
          <w:lang w:val="en-US"/>
        </w:rPr>
        <w:t xml:space="preserve">control </w:t>
      </w:r>
      <w:r>
        <w:rPr>
          <w:rFonts w:ascii="Courier New" w:hAnsi="Courier New" w:cs="Courier New"/>
          <w:sz w:val="24"/>
          <w:szCs w:val="18"/>
          <w:lang w:val="en-US"/>
        </w:rPr>
        <w:t>variable.</w:t>
      </w:r>
    </w:p>
    <w:p w14:paraId="19D70889" w14:textId="2673A801" w:rsidR="00FC7270" w:rsidRPr="00FC7270" w:rsidRDefault="00FC7270" w:rsidP="00FC7270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384EE2">
        <w:rPr>
          <w:rFonts w:ascii="Courier New" w:hAnsi="Courier New" w:cs="Courier New"/>
          <w:sz w:val="24"/>
          <w:szCs w:val="18"/>
          <w:lang w:val="en-US"/>
        </w:rPr>
        <w:t>It is written by an external management entity</w:t>
      </w:r>
      <w:r>
        <w:rPr>
          <w:rFonts w:ascii="Courier New" w:hAnsi="Courier New" w:cs="Courier New"/>
          <w:sz w:val="24"/>
          <w:szCs w:val="18"/>
          <w:lang w:val="en-US"/>
        </w:rPr>
        <w:t xml:space="preserve"> or </w:t>
      </w:r>
      <w:r w:rsidRPr="00FC7270">
        <w:rPr>
          <w:rFonts w:ascii="Courier New" w:hAnsi="Courier New" w:cs="Courier New"/>
          <w:sz w:val="24"/>
          <w:szCs w:val="18"/>
          <w:lang w:val="en-US"/>
        </w:rPr>
        <w:t>by the MAC upon receiving Duration-based RTS Threshold notification frame.</w:t>
      </w:r>
    </w:p>
    <w:p w14:paraId="399020C9" w14:textId="696F3DC5" w:rsidR="00FC7270" w:rsidRPr="00FC7270" w:rsidRDefault="00FC7270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FC7270">
        <w:rPr>
          <w:rFonts w:ascii="Courier New" w:hAnsi="Courier New" w:cs="Courier New"/>
          <w:sz w:val="24"/>
          <w:szCs w:val="18"/>
          <w:lang w:val="en-US"/>
        </w:rPr>
        <w:t>Changes take effect as soon as practical in the implementation.</w:t>
      </w:r>
    </w:p>
    <w:p w14:paraId="333915E5" w14:textId="77777777" w:rsidR="00384EE2" w:rsidRDefault="00384EE2" w:rsidP="00FC7270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</w:p>
    <w:p w14:paraId="04B93DFA" w14:textId="6C1404D7" w:rsidR="00384EE2" w:rsidRPr="00384EE2" w:rsidRDefault="00384EE2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This attribute indicates </w:t>
      </w:r>
      <w:r w:rsidRPr="00384EE2">
        <w:rPr>
          <w:rFonts w:ascii="Courier New" w:hAnsi="Courier New" w:cs="Courier New"/>
          <w:sz w:val="24"/>
          <w:szCs w:val="18"/>
          <w:lang w:val="en-US"/>
        </w:rPr>
        <w:t xml:space="preserve">the duration of the transmission or TXOP </w:t>
      </w:r>
      <w:r>
        <w:rPr>
          <w:rFonts w:ascii="Courier New" w:hAnsi="Courier New" w:cs="Courier New"/>
          <w:sz w:val="24"/>
          <w:szCs w:val="18"/>
          <w:lang w:val="en-US"/>
        </w:rPr>
        <w:t>above</w:t>
      </w:r>
      <w:r w:rsidRPr="00384EE2">
        <w:rPr>
          <w:rFonts w:ascii="Courier New" w:hAnsi="Courier New" w:cs="Courier New"/>
          <w:sz w:val="24"/>
          <w:szCs w:val="18"/>
          <w:lang w:val="en-US"/>
        </w:rPr>
        <w:t xml:space="preserve"> which an</w:t>
      </w:r>
    </w:p>
    <w:p w14:paraId="0C592472" w14:textId="44FCF4DF" w:rsidR="004E191E" w:rsidRDefault="00384EE2" w:rsidP="00384EE2">
      <w:pPr>
        <w:autoSpaceDE w:val="0"/>
        <w:autoSpaceDN w:val="0"/>
        <w:adjustRightInd w:val="0"/>
        <w:ind w:left="1440"/>
        <w:rPr>
          <w:rFonts w:ascii="Courier New" w:hAnsi="Courier New" w:cs="Courier New"/>
          <w:sz w:val="24"/>
          <w:szCs w:val="18"/>
          <w:lang w:val="en-US"/>
        </w:rPr>
      </w:pPr>
      <w:r w:rsidRPr="00384EE2">
        <w:rPr>
          <w:rFonts w:ascii="Courier New" w:hAnsi="Courier New" w:cs="Courier New"/>
          <w:sz w:val="24"/>
          <w:szCs w:val="18"/>
          <w:lang w:val="en-US"/>
        </w:rPr>
        <w:t>RTS/CTS h</w:t>
      </w:r>
      <w:r>
        <w:rPr>
          <w:rFonts w:ascii="Courier New" w:hAnsi="Courier New" w:cs="Courier New"/>
          <w:sz w:val="24"/>
          <w:szCs w:val="18"/>
          <w:lang w:val="en-US"/>
        </w:rPr>
        <w:t xml:space="preserve">andshake is </w:t>
      </w:r>
      <w:r w:rsidRPr="00384EE2">
        <w:rPr>
          <w:rFonts w:ascii="Courier New" w:hAnsi="Courier New" w:cs="Courier New"/>
          <w:sz w:val="24"/>
          <w:szCs w:val="18"/>
          <w:lang w:val="en-US"/>
        </w:rPr>
        <w:t>performed</w:t>
      </w:r>
      <w:r>
        <w:rPr>
          <w:rFonts w:ascii="Courier New" w:hAnsi="Courier New" w:cs="Courier New"/>
          <w:sz w:val="24"/>
          <w:szCs w:val="18"/>
          <w:lang w:val="en-US"/>
        </w:rPr>
        <w:t>.</w:t>
      </w:r>
      <w:r w:rsidR="00F066AE">
        <w:rPr>
          <w:rFonts w:ascii="Courier New" w:hAnsi="Courier New" w:cs="Courier New"/>
          <w:sz w:val="24"/>
          <w:szCs w:val="18"/>
          <w:lang w:val="en-US"/>
        </w:rPr>
        <w:t xml:space="preserve"> Value zero means the R</w:t>
      </w:r>
      <w:r w:rsidR="00AB1367">
        <w:rPr>
          <w:rFonts w:ascii="Courier New" w:hAnsi="Courier New" w:cs="Courier New"/>
          <w:sz w:val="24"/>
          <w:szCs w:val="18"/>
          <w:lang w:val="en-US"/>
        </w:rPr>
        <w:t xml:space="preserve">TS should be always used for </w:t>
      </w:r>
      <w:proofErr w:type="spellStart"/>
      <w:r w:rsidR="00AB1367">
        <w:rPr>
          <w:rFonts w:ascii="Courier New" w:hAnsi="Courier New" w:cs="Courier New"/>
          <w:sz w:val="24"/>
          <w:szCs w:val="18"/>
          <w:lang w:val="en-US"/>
        </w:rPr>
        <w:t>TxOP</w:t>
      </w:r>
      <w:proofErr w:type="spellEnd"/>
      <w:r w:rsidR="00AB1367">
        <w:rPr>
          <w:rFonts w:ascii="Courier New" w:hAnsi="Courier New" w:cs="Courier New"/>
          <w:sz w:val="24"/>
          <w:szCs w:val="18"/>
          <w:lang w:val="en-US"/>
        </w:rPr>
        <w:t xml:space="preserve"> transmission. Value 1023 means this feature is disabled</w:t>
      </w:r>
      <w:r w:rsidRPr="00321D88">
        <w:rPr>
          <w:rFonts w:ascii="Courier New" w:hAnsi="Courier New" w:cs="Courier New"/>
          <w:color w:val="000000"/>
          <w:sz w:val="24"/>
          <w:szCs w:val="24"/>
          <w:lang w:val="en-US" w:eastAsia="ko-KR"/>
        </w:rPr>
        <w:t>"</w:t>
      </w:r>
    </w:p>
    <w:p w14:paraId="52D7D339" w14:textId="6F2C03B5" w:rsidR="004E191E" w:rsidRDefault="004E191E" w:rsidP="004E191E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4"/>
          <w:szCs w:val="18"/>
          <w:lang w:val="en-US"/>
        </w:rPr>
      </w:pPr>
      <w:r>
        <w:rPr>
          <w:rFonts w:ascii="Courier New" w:hAnsi="Courier New" w:cs="Courier New"/>
          <w:sz w:val="24"/>
          <w:szCs w:val="18"/>
          <w:lang w:val="en-US"/>
        </w:rPr>
        <w:t xml:space="preserve">DEFVAL </w:t>
      </w:r>
      <w:proofErr w:type="gramStart"/>
      <w:r>
        <w:rPr>
          <w:rFonts w:ascii="Courier New" w:hAnsi="Courier New" w:cs="Courier New"/>
          <w:sz w:val="24"/>
          <w:szCs w:val="18"/>
          <w:lang w:val="en-US"/>
        </w:rPr>
        <w:t xml:space="preserve">{ </w:t>
      </w:r>
      <w:r w:rsidR="00AB1367">
        <w:rPr>
          <w:rFonts w:ascii="Courier New" w:hAnsi="Courier New" w:cs="Courier New"/>
          <w:sz w:val="24"/>
          <w:szCs w:val="18"/>
          <w:lang w:val="en-US"/>
        </w:rPr>
        <w:t>1023</w:t>
      </w:r>
      <w:proofErr w:type="gramEnd"/>
      <w:r>
        <w:rPr>
          <w:rFonts w:ascii="Courier New" w:hAnsi="Courier New" w:cs="Courier New"/>
          <w:sz w:val="24"/>
          <w:szCs w:val="18"/>
          <w:lang w:val="en-US"/>
        </w:rPr>
        <w:t xml:space="preserve"> }</w:t>
      </w:r>
    </w:p>
    <w:p w14:paraId="3CCF192F" w14:textId="2C9389C4" w:rsidR="004E191E" w:rsidRDefault="004E191E" w:rsidP="004E191E">
      <w:pPr>
        <w:ind w:firstLine="720"/>
        <w:rPr>
          <w:rFonts w:ascii="Courier New" w:hAnsi="Courier New" w:cs="Courier New"/>
          <w:sz w:val="30"/>
          <w:lang w:val="en-US"/>
        </w:rPr>
      </w:pPr>
      <w:proofErr w:type="gramStart"/>
      <w:r>
        <w:rPr>
          <w:rFonts w:ascii="Courier New" w:hAnsi="Courier New" w:cs="Courier New"/>
          <w:sz w:val="24"/>
          <w:szCs w:val="18"/>
          <w:lang w:val="en-US"/>
        </w:rPr>
        <w:t>::</w:t>
      </w:r>
      <w:proofErr w:type="gramEnd"/>
      <w:r>
        <w:rPr>
          <w:rFonts w:ascii="Courier New" w:hAnsi="Courier New" w:cs="Courier New"/>
          <w:sz w:val="24"/>
          <w:szCs w:val="18"/>
          <w:lang w:val="en-US"/>
        </w:rPr>
        <w:t xml:space="preserve">= { </w:t>
      </w:r>
      <w:r w:rsidR="00E43482">
        <w:rPr>
          <w:rFonts w:ascii="Courier New" w:hAnsi="Courier New" w:cs="Courier New"/>
          <w:sz w:val="24"/>
          <w:szCs w:val="18"/>
          <w:lang w:val="en-US"/>
        </w:rPr>
        <w:t xml:space="preserve">Dot11OperationEntry </w:t>
      </w:r>
      <w:r w:rsidRPr="00E43482">
        <w:rPr>
          <w:rFonts w:ascii="Courier New" w:hAnsi="Courier New" w:cs="Courier New"/>
          <w:sz w:val="24"/>
          <w:szCs w:val="18"/>
          <w:lang w:val="en-US"/>
        </w:rPr>
        <w:t>&lt;ANA&gt;</w:t>
      </w:r>
      <w:r>
        <w:rPr>
          <w:rFonts w:ascii="Courier New" w:hAnsi="Courier New" w:cs="Courier New"/>
          <w:sz w:val="24"/>
          <w:szCs w:val="18"/>
          <w:lang w:val="en-US"/>
        </w:rPr>
        <w:t xml:space="preserve"> }</w:t>
      </w:r>
    </w:p>
    <w:p w14:paraId="7A2764A5" w14:textId="77777777" w:rsidR="004E191E" w:rsidRDefault="004E191E" w:rsidP="004E191E"/>
    <w:p w14:paraId="0E4B0B34" w14:textId="77777777" w:rsidR="004E191E" w:rsidRDefault="004E191E" w:rsidP="004E191E"/>
    <w:p w14:paraId="7F458098" w14:textId="77777777" w:rsidR="00871F11" w:rsidRDefault="00871F11" w:rsidP="004E191E"/>
    <w:sectPr w:rsidR="00871F11" w:rsidSect="00481E1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92EC9" w14:textId="77777777" w:rsidR="009F0531" w:rsidRDefault="009F0531">
      <w:r>
        <w:separator/>
      </w:r>
    </w:p>
  </w:endnote>
  <w:endnote w:type="continuationSeparator" w:id="0">
    <w:p w14:paraId="00EDA55C" w14:textId="77777777" w:rsidR="009F0531" w:rsidRDefault="009F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72BC4296" w:rsidR="009F0531" w:rsidRDefault="009F0531">
    <w:pPr>
      <w:pStyle w:val="Footer"/>
      <w:tabs>
        <w:tab w:val="clear" w:pos="6480"/>
        <w:tab w:val="center" w:pos="4680"/>
        <w:tab w:val="right" w:pos="9360"/>
      </w:tabs>
    </w:pPr>
    <w:r>
      <w:t>CID 576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4C83">
      <w:rPr>
        <w:noProof/>
      </w:rPr>
      <w:t>1</w:t>
    </w:r>
    <w:r>
      <w:fldChar w:fldCharType="end"/>
    </w:r>
    <w:r>
      <w:tab/>
    </w:r>
    <w:r w:rsidR="00084C83">
      <w:fldChar w:fldCharType="begin"/>
    </w:r>
    <w:r w:rsidR="00084C83">
      <w:instrText xml:space="preserve"> COMMENTS   \* MERGEFORMAT </w:instrText>
    </w:r>
    <w:r w:rsidR="00084C83">
      <w:fldChar w:fldCharType="separate"/>
    </w:r>
    <w:r w:rsidRPr="00D25237">
      <w:t xml:space="preserve"> </w:t>
    </w:r>
    <w:r w:rsidR="00084C83">
      <w:fldChar w:fldCharType="end"/>
    </w:r>
  </w:p>
  <w:p w14:paraId="0C819658" w14:textId="77777777" w:rsidR="009F0531" w:rsidRDefault="009F053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A56D" w14:textId="77777777" w:rsidR="009F0531" w:rsidRDefault="009F0531">
      <w:r>
        <w:separator/>
      </w:r>
    </w:p>
  </w:footnote>
  <w:footnote w:type="continuationSeparator" w:id="0">
    <w:p w14:paraId="092F83EF" w14:textId="77777777" w:rsidR="009F0531" w:rsidRDefault="009F05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2CB9C988" w:rsidR="009F0531" w:rsidRDefault="00084C83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0531">
      <w:t>September 2016</w:t>
    </w:r>
    <w:r>
      <w:fldChar w:fldCharType="end"/>
    </w:r>
    <w:r w:rsidR="009F0531">
      <w:tab/>
    </w:r>
    <w:r w:rsidR="009F0531">
      <w:tab/>
    </w:r>
    <w:r>
      <w:fldChar w:fldCharType="begin"/>
    </w:r>
    <w:r>
      <w:instrText xml:space="preserve"> TITLE  \* MERGEFORMAT </w:instrText>
    </w:r>
    <w:r>
      <w:fldChar w:fldCharType="separate"/>
    </w:r>
    <w:r w:rsidR="009F0531">
      <w:t>doc.: IEEE 802.11-16/XXXXr0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9990BAFC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62"/>
      <w:numFmt w:val="decimal"/>
      <w:pStyle w:val="Heading4"/>
      <w:lvlText w:val="%1.%2.%3.%4"/>
      <w:lvlJc w:val="left"/>
      <w:pPr>
        <w:tabs>
          <w:tab w:val="num" w:pos="1224"/>
        </w:tabs>
        <w:ind w:left="72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6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6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9"/>
    </w:lvlOverride>
  </w:num>
  <w:num w:numId="14">
    <w:abstractNumId w:val="2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4148"/>
    <w:rsid w:val="000359C1"/>
    <w:rsid w:val="0003628E"/>
    <w:rsid w:val="0003647B"/>
    <w:rsid w:val="00042283"/>
    <w:rsid w:val="000432A1"/>
    <w:rsid w:val="00044F0F"/>
    <w:rsid w:val="00047FBA"/>
    <w:rsid w:val="00050BE8"/>
    <w:rsid w:val="000513BD"/>
    <w:rsid w:val="00053715"/>
    <w:rsid w:val="00055361"/>
    <w:rsid w:val="00057544"/>
    <w:rsid w:val="00057981"/>
    <w:rsid w:val="00077F5F"/>
    <w:rsid w:val="00081DB2"/>
    <w:rsid w:val="000840D0"/>
    <w:rsid w:val="00084C83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4A3A"/>
    <w:rsid w:val="000B7485"/>
    <w:rsid w:val="000B7F08"/>
    <w:rsid w:val="000C285F"/>
    <w:rsid w:val="000C565C"/>
    <w:rsid w:val="000C5A1D"/>
    <w:rsid w:val="000D180D"/>
    <w:rsid w:val="000D3B65"/>
    <w:rsid w:val="000D43F8"/>
    <w:rsid w:val="000D4C9E"/>
    <w:rsid w:val="000E151D"/>
    <w:rsid w:val="000F0F4E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37C8"/>
    <w:rsid w:val="001239E2"/>
    <w:rsid w:val="00126F7A"/>
    <w:rsid w:val="0013004F"/>
    <w:rsid w:val="00130286"/>
    <w:rsid w:val="00131834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6443B"/>
    <w:rsid w:val="001738A3"/>
    <w:rsid w:val="00174970"/>
    <w:rsid w:val="00175B26"/>
    <w:rsid w:val="00181978"/>
    <w:rsid w:val="0018245B"/>
    <w:rsid w:val="00183394"/>
    <w:rsid w:val="001850ED"/>
    <w:rsid w:val="001906B8"/>
    <w:rsid w:val="00193996"/>
    <w:rsid w:val="001945C5"/>
    <w:rsid w:val="0019712F"/>
    <w:rsid w:val="001A12AB"/>
    <w:rsid w:val="001A2B00"/>
    <w:rsid w:val="001A364E"/>
    <w:rsid w:val="001A5226"/>
    <w:rsid w:val="001A70A8"/>
    <w:rsid w:val="001B02FA"/>
    <w:rsid w:val="001B217E"/>
    <w:rsid w:val="001B36FE"/>
    <w:rsid w:val="001D25A0"/>
    <w:rsid w:val="001D3204"/>
    <w:rsid w:val="001D4CD9"/>
    <w:rsid w:val="001D5EF3"/>
    <w:rsid w:val="001D6035"/>
    <w:rsid w:val="001D6175"/>
    <w:rsid w:val="001D6905"/>
    <w:rsid w:val="001D723B"/>
    <w:rsid w:val="001E3BE4"/>
    <w:rsid w:val="001E47B8"/>
    <w:rsid w:val="001E633F"/>
    <w:rsid w:val="001F2045"/>
    <w:rsid w:val="001F376F"/>
    <w:rsid w:val="001F5A28"/>
    <w:rsid w:val="001F6E97"/>
    <w:rsid w:val="00202C82"/>
    <w:rsid w:val="0020389D"/>
    <w:rsid w:val="002126A1"/>
    <w:rsid w:val="00212EC4"/>
    <w:rsid w:val="00214C65"/>
    <w:rsid w:val="00221A9B"/>
    <w:rsid w:val="002248B1"/>
    <w:rsid w:val="00224FAA"/>
    <w:rsid w:val="00230E7B"/>
    <w:rsid w:val="002360E0"/>
    <w:rsid w:val="002377E1"/>
    <w:rsid w:val="002403E3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4924"/>
    <w:rsid w:val="00275C7B"/>
    <w:rsid w:val="0027674F"/>
    <w:rsid w:val="00277873"/>
    <w:rsid w:val="00277A9A"/>
    <w:rsid w:val="002836D0"/>
    <w:rsid w:val="00284730"/>
    <w:rsid w:val="0028670D"/>
    <w:rsid w:val="0029020B"/>
    <w:rsid w:val="002907EE"/>
    <w:rsid w:val="002917A7"/>
    <w:rsid w:val="00294B52"/>
    <w:rsid w:val="002A6FE1"/>
    <w:rsid w:val="002B0238"/>
    <w:rsid w:val="002B0359"/>
    <w:rsid w:val="002B1255"/>
    <w:rsid w:val="002B1ACA"/>
    <w:rsid w:val="002B3A59"/>
    <w:rsid w:val="002B3E52"/>
    <w:rsid w:val="002B58CB"/>
    <w:rsid w:val="002B64D4"/>
    <w:rsid w:val="002C1AFC"/>
    <w:rsid w:val="002C302B"/>
    <w:rsid w:val="002C492F"/>
    <w:rsid w:val="002C5E2C"/>
    <w:rsid w:val="002D11B2"/>
    <w:rsid w:val="002D2D96"/>
    <w:rsid w:val="002D441A"/>
    <w:rsid w:val="002D44BE"/>
    <w:rsid w:val="002D4CBF"/>
    <w:rsid w:val="002D57C4"/>
    <w:rsid w:val="002E27A4"/>
    <w:rsid w:val="002E58AC"/>
    <w:rsid w:val="002E7A28"/>
    <w:rsid w:val="002E7DF6"/>
    <w:rsid w:val="002F272A"/>
    <w:rsid w:val="002F2D4F"/>
    <w:rsid w:val="002F5C7B"/>
    <w:rsid w:val="003044AC"/>
    <w:rsid w:val="00305B68"/>
    <w:rsid w:val="00312897"/>
    <w:rsid w:val="00317E81"/>
    <w:rsid w:val="00326D9A"/>
    <w:rsid w:val="00327E24"/>
    <w:rsid w:val="0033024A"/>
    <w:rsid w:val="003361D2"/>
    <w:rsid w:val="003364FD"/>
    <w:rsid w:val="0034107D"/>
    <w:rsid w:val="00342890"/>
    <w:rsid w:val="003467AC"/>
    <w:rsid w:val="00352ACC"/>
    <w:rsid w:val="00360C64"/>
    <w:rsid w:val="00361221"/>
    <w:rsid w:val="0036165C"/>
    <w:rsid w:val="00361A7D"/>
    <w:rsid w:val="00370D13"/>
    <w:rsid w:val="00375604"/>
    <w:rsid w:val="00375F40"/>
    <w:rsid w:val="0037683B"/>
    <w:rsid w:val="00383AB6"/>
    <w:rsid w:val="00384EE2"/>
    <w:rsid w:val="0038640A"/>
    <w:rsid w:val="0039564A"/>
    <w:rsid w:val="003A2858"/>
    <w:rsid w:val="003B4F7E"/>
    <w:rsid w:val="003B7FE9"/>
    <w:rsid w:val="003C292F"/>
    <w:rsid w:val="003C49EA"/>
    <w:rsid w:val="003D2021"/>
    <w:rsid w:val="003D6E7F"/>
    <w:rsid w:val="003E49B0"/>
    <w:rsid w:val="003E612A"/>
    <w:rsid w:val="003F3E21"/>
    <w:rsid w:val="003F5886"/>
    <w:rsid w:val="003F7621"/>
    <w:rsid w:val="00402260"/>
    <w:rsid w:val="00403B31"/>
    <w:rsid w:val="00403E81"/>
    <w:rsid w:val="0040524D"/>
    <w:rsid w:val="004061C7"/>
    <w:rsid w:val="00415209"/>
    <w:rsid w:val="00415514"/>
    <w:rsid w:val="00417271"/>
    <w:rsid w:val="004222E0"/>
    <w:rsid w:val="00423877"/>
    <w:rsid w:val="00424110"/>
    <w:rsid w:val="00424588"/>
    <w:rsid w:val="00424595"/>
    <w:rsid w:val="00426089"/>
    <w:rsid w:val="004350AC"/>
    <w:rsid w:val="0043535E"/>
    <w:rsid w:val="00441E7C"/>
    <w:rsid w:val="00441EEC"/>
    <w:rsid w:val="00442037"/>
    <w:rsid w:val="004427B8"/>
    <w:rsid w:val="00442A1F"/>
    <w:rsid w:val="004465F3"/>
    <w:rsid w:val="00446628"/>
    <w:rsid w:val="00455675"/>
    <w:rsid w:val="00456C11"/>
    <w:rsid w:val="00464645"/>
    <w:rsid w:val="004675B6"/>
    <w:rsid w:val="0047111F"/>
    <w:rsid w:val="004718BB"/>
    <w:rsid w:val="00472D54"/>
    <w:rsid w:val="00475257"/>
    <w:rsid w:val="00477B34"/>
    <w:rsid w:val="00477E13"/>
    <w:rsid w:val="00481E1D"/>
    <w:rsid w:val="00481E33"/>
    <w:rsid w:val="00482864"/>
    <w:rsid w:val="004844C3"/>
    <w:rsid w:val="00486EC8"/>
    <w:rsid w:val="00487152"/>
    <w:rsid w:val="00490F85"/>
    <w:rsid w:val="00496B8D"/>
    <w:rsid w:val="00496EA5"/>
    <w:rsid w:val="004A35AB"/>
    <w:rsid w:val="004A40B7"/>
    <w:rsid w:val="004A4FAA"/>
    <w:rsid w:val="004A66D0"/>
    <w:rsid w:val="004A6910"/>
    <w:rsid w:val="004B08C7"/>
    <w:rsid w:val="004B2B82"/>
    <w:rsid w:val="004B62A3"/>
    <w:rsid w:val="004B6E9A"/>
    <w:rsid w:val="004C0C4E"/>
    <w:rsid w:val="004C133A"/>
    <w:rsid w:val="004C4208"/>
    <w:rsid w:val="004C4221"/>
    <w:rsid w:val="004C69B5"/>
    <w:rsid w:val="004C7392"/>
    <w:rsid w:val="004D24B2"/>
    <w:rsid w:val="004D2893"/>
    <w:rsid w:val="004D31C9"/>
    <w:rsid w:val="004D5005"/>
    <w:rsid w:val="004D578D"/>
    <w:rsid w:val="004E191E"/>
    <w:rsid w:val="004E1A38"/>
    <w:rsid w:val="004E1A7F"/>
    <w:rsid w:val="004E1A97"/>
    <w:rsid w:val="004E302B"/>
    <w:rsid w:val="004E3504"/>
    <w:rsid w:val="004F0D8B"/>
    <w:rsid w:val="004F23DC"/>
    <w:rsid w:val="004F42A4"/>
    <w:rsid w:val="004F6AFF"/>
    <w:rsid w:val="004F7ACE"/>
    <w:rsid w:val="00506864"/>
    <w:rsid w:val="005108BF"/>
    <w:rsid w:val="00510FF3"/>
    <w:rsid w:val="00512E35"/>
    <w:rsid w:val="0051324F"/>
    <w:rsid w:val="00516A55"/>
    <w:rsid w:val="005267E4"/>
    <w:rsid w:val="00526D33"/>
    <w:rsid w:val="00527100"/>
    <w:rsid w:val="005300A1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42F22"/>
    <w:rsid w:val="00547286"/>
    <w:rsid w:val="005500DD"/>
    <w:rsid w:val="00552778"/>
    <w:rsid w:val="00554304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3F59"/>
    <w:rsid w:val="00596F7C"/>
    <w:rsid w:val="005A0ED7"/>
    <w:rsid w:val="005A0FA8"/>
    <w:rsid w:val="005A1497"/>
    <w:rsid w:val="005A1B7C"/>
    <w:rsid w:val="005A232A"/>
    <w:rsid w:val="005A25F3"/>
    <w:rsid w:val="005A7DC3"/>
    <w:rsid w:val="005B11AC"/>
    <w:rsid w:val="005B392B"/>
    <w:rsid w:val="005B3B31"/>
    <w:rsid w:val="005B607D"/>
    <w:rsid w:val="005C004F"/>
    <w:rsid w:val="005C0130"/>
    <w:rsid w:val="005C03FC"/>
    <w:rsid w:val="005C1214"/>
    <w:rsid w:val="005C1408"/>
    <w:rsid w:val="005C1F1A"/>
    <w:rsid w:val="005C225C"/>
    <w:rsid w:val="005C4128"/>
    <w:rsid w:val="005D16E9"/>
    <w:rsid w:val="005D7E4F"/>
    <w:rsid w:val="005E3477"/>
    <w:rsid w:val="005E3A8F"/>
    <w:rsid w:val="005E4924"/>
    <w:rsid w:val="005F4203"/>
    <w:rsid w:val="005F4E9B"/>
    <w:rsid w:val="005F6434"/>
    <w:rsid w:val="00601139"/>
    <w:rsid w:val="0060160F"/>
    <w:rsid w:val="0060347D"/>
    <w:rsid w:val="00603E59"/>
    <w:rsid w:val="00613398"/>
    <w:rsid w:val="006171D0"/>
    <w:rsid w:val="006176F4"/>
    <w:rsid w:val="006229CE"/>
    <w:rsid w:val="0062440B"/>
    <w:rsid w:val="0062514A"/>
    <w:rsid w:val="0063140C"/>
    <w:rsid w:val="00631E63"/>
    <w:rsid w:val="00632143"/>
    <w:rsid w:val="00634189"/>
    <w:rsid w:val="00634FA1"/>
    <w:rsid w:val="00636B72"/>
    <w:rsid w:val="00640FBB"/>
    <w:rsid w:val="00640FEA"/>
    <w:rsid w:val="0064706A"/>
    <w:rsid w:val="0065185D"/>
    <w:rsid w:val="00651A32"/>
    <w:rsid w:val="006539BB"/>
    <w:rsid w:val="00656E90"/>
    <w:rsid w:val="00660879"/>
    <w:rsid w:val="00662356"/>
    <w:rsid w:val="006644A7"/>
    <w:rsid w:val="006670DF"/>
    <w:rsid w:val="00672EA3"/>
    <w:rsid w:val="006769EC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A48CF"/>
    <w:rsid w:val="006A49B2"/>
    <w:rsid w:val="006B1595"/>
    <w:rsid w:val="006B1B2A"/>
    <w:rsid w:val="006B204F"/>
    <w:rsid w:val="006B6F80"/>
    <w:rsid w:val="006C0727"/>
    <w:rsid w:val="006C6B77"/>
    <w:rsid w:val="006D040E"/>
    <w:rsid w:val="006D25FA"/>
    <w:rsid w:val="006D61F5"/>
    <w:rsid w:val="006E145F"/>
    <w:rsid w:val="006F2890"/>
    <w:rsid w:val="006F4200"/>
    <w:rsid w:val="006F79FA"/>
    <w:rsid w:val="006F7D0B"/>
    <w:rsid w:val="00700B6A"/>
    <w:rsid w:val="00704203"/>
    <w:rsid w:val="00704746"/>
    <w:rsid w:val="00710500"/>
    <w:rsid w:val="00711885"/>
    <w:rsid w:val="00712CAC"/>
    <w:rsid w:val="007153FB"/>
    <w:rsid w:val="007207AE"/>
    <w:rsid w:val="0072189A"/>
    <w:rsid w:val="00721E00"/>
    <w:rsid w:val="00730060"/>
    <w:rsid w:val="007327BD"/>
    <w:rsid w:val="00732A32"/>
    <w:rsid w:val="00732CC7"/>
    <w:rsid w:val="00734CE5"/>
    <w:rsid w:val="007411C6"/>
    <w:rsid w:val="00743318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6487B"/>
    <w:rsid w:val="00770572"/>
    <w:rsid w:val="00777608"/>
    <w:rsid w:val="0078188F"/>
    <w:rsid w:val="00781A78"/>
    <w:rsid w:val="00785E93"/>
    <w:rsid w:val="007908AA"/>
    <w:rsid w:val="007925C0"/>
    <w:rsid w:val="00792AA8"/>
    <w:rsid w:val="00793A62"/>
    <w:rsid w:val="007A07F6"/>
    <w:rsid w:val="007A0CF0"/>
    <w:rsid w:val="007A49CE"/>
    <w:rsid w:val="007A6041"/>
    <w:rsid w:val="007A636F"/>
    <w:rsid w:val="007A64F1"/>
    <w:rsid w:val="007A7A91"/>
    <w:rsid w:val="007B2EAB"/>
    <w:rsid w:val="007B409C"/>
    <w:rsid w:val="007C0448"/>
    <w:rsid w:val="007C67E6"/>
    <w:rsid w:val="007D26E3"/>
    <w:rsid w:val="007D3AEB"/>
    <w:rsid w:val="007D49FE"/>
    <w:rsid w:val="007E1B61"/>
    <w:rsid w:val="008023E1"/>
    <w:rsid w:val="008026FC"/>
    <w:rsid w:val="008050EC"/>
    <w:rsid w:val="00805F6D"/>
    <w:rsid w:val="00807234"/>
    <w:rsid w:val="00814D7A"/>
    <w:rsid w:val="008151DF"/>
    <w:rsid w:val="008243BD"/>
    <w:rsid w:val="00827530"/>
    <w:rsid w:val="00827A6D"/>
    <w:rsid w:val="008311D9"/>
    <w:rsid w:val="0083499A"/>
    <w:rsid w:val="00840049"/>
    <w:rsid w:val="0084029A"/>
    <w:rsid w:val="00842632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634DC"/>
    <w:rsid w:val="00867F0A"/>
    <w:rsid w:val="00870C39"/>
    <w:rsid w:val="00871F11"/>
    <w:rsid w:val="00877031"/>
    <w:rsid w:val="00880691"/>
    <w:rsid w:val="00883FB6"/>
    <w:rsid w:val="00885AE0"/>
    <w:rsid w:val="008873C3"/>
    <w:rsid w:val="0088742C"/>
    <w:rsid w:val="00890E40"/>
    <w:rsid w:val="0089289E"/>
    <w:rsid w:val="00893069"/>
    <w:rsid w:val="008A35CA"/>
    <w:rsid w:val="008A5FF8"/>
    <w:rsid w:val="008A7651"/>
    <w:rsid w:val="008A7D82"/>
    <w:rsid w:val="008B1844"/>
    <w:rsid w:val="008B1DA0"/>
    <w:rsid w:val="008B22D7"/>
    <w:rsid w:val="008B4AD6"/>
    <w:rsid w:val="008C00F1"/>
    <w:rsid w:val="008C042B"/>
    <w:rsid w:val="008C3766"/>
    <w:rsid w:val="008C422F"/>
    <w:rsid w:val="008C557D"/>
    <w:rsid w:val="008C6206"/>
    <w:rsid w:val="008C63DE"/>
    <w:rsid w:val="008C6B1F"/>
    <w:rsid w:val="008D1BE0"/>
    <w:rsid w:val="008D2384"/>
    <w:rsid w:val="008E190F"/>
    <w:rsid w:val="008E6323"/>
    <w:rsid w:val="008F1369"/>
    <w:rsid w:val="008F1D2C"/>
    <w:rsid w:val="00900B66"/>
    <w:rsid w:val="00901DF7"/>
    <w:rsid w:val="009026B5"/>
    <w:rsid w:val="00902837"/>
    <w:rsid w:val="00906EB4"/>
    <w:rsid w:val="00907325"/>
    <w:rsid w:val="0091282C"/>
    <w:rsid w:val="0092138B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B56"/>
    <w:rsid w:val="00937802"/>
    <w:rsid w:val="00943214"/>
    <w:rsid w:val="00943748"/>
    <w:rsid w:val="0094395A"/>
    <w:rsid w:val="00943B9A"/>
    <w:rsid w:val="00944135"/>
    <w:rsid w:val="009460E7"/>
    <w:rsid w:val="00947217"/>
    <w:rsid w:val="009473AA"/>
    <w:rsid w:val="00953BBF"/>
    <w:rsid w:val="00954111"/>
    <w:rsid w:val="00954676"/>
    <w:rsid w:val="00964FE7"/>
    <w:rsid w:val="00966F8B"/>
    <w:rsid w:val="00967CC8"/>
    <w:rsid w:val="00967DB0"/>
    <w:rsid w:val="00970EA6"/>
    <w:rsid w:val="00972267"/>
    <w:rsid w:val="00972431"/>
    <w:rsid w:val="0097304E"/>
    <w:rsid w:val="00975EFC"/>
    <w:rsid w:val="00976795"/>
    <w:rsid w:val="009813F0"/>
    <w:rsid w:val="009818F5"/>
    <w:rsid w:val="00981B9D"/>
    <w:rsid w:val="00986216"/>
    <w:rsid w:val="009900AE"/>
    <w:rsid w:val="00991DBD"/>
    <w:rsid w:val="00995250"/>
    <w:rsid w:val="009A24B3"/>
    <w:rsid w:val="009A250F"/>
    <w:rsid w:val="009A42B7"/>
    <w:rsid w:val="009B0CBB"/>
    <w:rsid w:val="009B3DE1"/>
    <w:rsid w:val="009B4C62"/>
    <w:rsid w:val="009B5811"/>
    <w:rsid w:val="009B7B8C"/>
    <w:rsid w:val="009C42B5"/>
    <w:rsid w:val="009D30B7"/>
    <w:rsid w:val="009D5A16"/>
    <w:rsid w:val="009E3337"/>
    <w:rsid w:val="009E4398"/>
    <w:rsid w:val="009E4B28"/>
    <w:rsid w:val="009F0531"/>
    <w:rsid w:val="009F1C25"/>
    <w:rsid w:val="009F37A9"/>
    <w:rsid w:val="009F470D"/>
    <w:rsid w:val="009F6E7A"/>
    <w:rsid w:val="009F73E5"/>
    <w:rsid w:val="00A00F1D"/>
    <w:rsid w:val="00A01B3C"/>
    <w:rsid w:val="00A01CB9"/>
    <w:rsid w:val="00A0621B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40F72"/>
    <w:rsid w:val="00A422E3"/>
    <w:rsid w:val="00A55982"/>
    <w:rsid w:val="00A56B20"/>
    <w:rsid w:val="00A57A64"/>
    <w:rsid w:val="00A637B8"/>
    <w:rsid w:val="00A640BF"/>
    <w:rsid w:val="00A64D7D"/>
    <w:rsid w:val="00A65795"/>
    <w:rsid w:val="00A6582C"/>
    <w:rsid w:val="00A65B24"/>
    <w:rsid w:val="00A71E9E"/>
    <w:rsid w:val="00A74585"/>
    <w:rsid w:val="00A74E29"/>
    <w:rsid w:val="00A761F0"/>
    <w:rsid w:val="00A77AA7"/>
    <w:rsid w:val="00A83036"/>
    <w:rsid w:val="00A8394A"/>
    <w:rsid w:val="00A83AA0"/>
    <w:rsid w:val="00A859BF"/>
    <w:rsid w:val="00A86EF0"/>
    <w:rsid w:val="00A87A04"/>
    <w:rsid w:val="00A91C7D"/>
    <w:rsid w:val="00A94B4E"/>
    <w:rsid w:val="00A94E78"/>
    <w:rsid w:val="00A96574"/>
    <w:rsid w:val="00A96F80"/>
    <w:rsid w:val="00A971F0"/>
    <w:rsid w:val="00A974F3"/>
    <w:rsid w:val="00AA1354"/>
    <w:rsid w:val="00AA427C"/>
    <w:rsid w:val="00AA75F4"/>
    <w:rsid w:val="00AB0606"/>
    <w:rsid w:val="00AB1367"/>
    <w:rsid w:val="00AB15FE"/>
    <w:rsid w:val="00AB33A6"/>
    <w:rsid w:val="00AB6F42"/>
    <w:rsid w:val="00AB7887"/>
    <w:rsid w:val="00AB7D1B"/>
    <w:rsid w:val="00AC3EDC"/>
    <w:rsid w:val="00AD27FE"/>
    <w:rsid w:val="00AD51C4"/>
    <w:rsid w:val="00AE3516"/>
    <w:rsid w:val="00AE56C0"/>
    <w:rsid w:val="00AF0D31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78BD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5BE"/>
    <w:rsid w:val="00BE68C2"/>
    <w:rsid w:val="00BE6AA9"/>
    <w:rsid w:val="00BF140C"/>
    <w:rsid w:val="00BF36F9"/>
    <w:rsid w:val="00BF3731"/>
    <w:rsid w:val="00BF6992"/>
    <w:rsid w:val="00BF72C4"/>
    <w:rsid w:val="00C04D06"/>
    <w:rsid w:val="00C0540A"/>
    <w:rsid w:val="00C06F9E"/>
    <w:rsid w:val="00C07427"/>
    <w:rsid w:val="00C1128E"/>
    <w:rsid w:val="00C140AA"/>
    <w:rsid w:val="00C140D0"/>
    <w:rsid w:val="00C154C3"/>
    <w:rsid w:val="00C25127"/>
    <w:rsid w:val="00C25750"/>
    <w:rsid w:val="00C27076"/>
    <w:rsid w:val="00C27962"/>
    <w:rsid w:val="00C27B1D"/>
    <w:rsid w:val="00C30874"/>
    <w:rsid w:val="00C32107"/>
    <w:rsid w:val="00C35E9D"/>
    <w:rsid w:val="00C408C2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938B5"/>
    <w:rsid w:val="00CA09B2"/>
    <w:rsid w:val="00CA1819"/>
    <w:rsid w:val="00CA2E56"/>
    <w:rsid w:val="00CB0D21"/>
    <w:rsid w:val="00CB218B"/>
    <w:rsid w:val="00CB2E9D"/>
    <w:rsid w:val="00CB37A3"/>
    <w:rsid w:val="00CB37F7"/>
    <w:rsid w:val="00CB487B"/>
    <w:rsid w:val="00CB623E"/>
    <w:rsid w:val="00CB6723"/>
    <w:rsid w:val="00CB7DA8"/>
    <w:rsid w:val="00CC0677"/>
    <w:rsid w:val="00CC3486"/>
    <w:rsid w:val="00CC4AA1"/>
    <w:rsid w:val="00CC5CB8"/>
    <w:rsid w:val="00CD55AA"/>
    <w:rsid w:val="00CD63C8"/>
    <w:rsid w:val="00CE046E"/>
    <w:rsid w:val="00CE3D20"/>
    <w:rsid w:val="00CE5F8F"/>
    <w:rsid w:val="00CE713E"/>
    <w:rsid w:val="00CF5327"/>
    <w:rsid w:val="00CF79CC"/>
    <w:rsid w:val="00D02143"/>
    <w:rsid w:val="00D029E5"/>
    <w:rsid w:val="00D0456A"/>
    <w:rsid w:val="00D07186"/>
    <w:rsid w:val="00D103DF"/>
    <w:rsid w:val="00D15873"/>
    <w:rsid w:val="00D16A8A"/>
    <w:rsid w:val="00D234F5"/>
    <w:rsid w:val="00D25237"/>
    <w:rsid w:val="00D378D7"/>
    <w:rsid w:val="00D402F6"/>
    <w:rsid w:val="00D41A9B"/>
    <w:rsid w:val="00D47428"/>
    <w:rsid w:val="00D50EE6"/>
    <w:rsid w:val="00D53C8A"/>
    <w:rsid w:val="00D53E89"/>
    <w:rsid w:val="00D62906"/>
    <w:rsid w:val="00D629B9"/>
    <w:rsid w:val="00D631DB"/>
    <w:rsid w:val="00D708EF"/>
    <w:rsid w:val="00D71866"/>
    <w:rsid w:val="00D71BCB"/>
    <w:rsid w:val="00D748F9"/>
    <w:rsid w:val="00D74F15"/>
    <w:rsid w:val="00D76591"/>
    <w:rsid w:val="00D81A46"/>
    <w:rsid w:val="00D85842"/>
    <w:rsid w:val="00D91C05"/>
    <w:rsid w:val="00D91FE3"/>
    <w:rsid w:val="00D9244C"/>
    <w:rsid w:val="00D9374D"/>
    <w:rsid w:val="00D971DE"/>
    <w:rsid w:val="00DA1A76"/>
    <w:rsid w:val="00DA1B53"/>
    <w:rsid w:val="00DA1D1B"/>
    <w:rsid w:val="00DA7075"/>
    <w:rsid w:val="00DB1512"/>
    <w:rsid w:val="00DB1E0B"/>
    <w:rsid w:val="00DB1EDE"/>
    <w:rsid w:val="00DB4362"/>
    <w:rsid w:val="00DB53E0"/>
    <w:rsid w:val="00DB6057"/>
    <w:rsid w:val="00DC0EDC"/>
    <w:rsid w:val="00DC1A78"/>
    <w:rsid w:val="00DC5A7B"/>
    <w:rsid w:val="00DD1554"/>
    <w:rsid w:val="00DD321A"/>
    <w:rsid w:val="00DD6F04"/>
    <w:rsid w:val="00DD7017"/>
    <w:rsid w:val="00DE10FA"/>
    <w:rsid w:val="00DE5A0B"/>
    <w:rsid w:val="00E01E2C"/>
    <w:rsid w:val="00E02A89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43482"/>
    <w:rsid w:val="00E5206F"/>
    <w:rsid w:val="00E5465F"/>
    <w:rsid w:val="00E55C95"/>
    <w:rsid w:val="00E5726C"/>
    <w:rsid w:val="00E60532"/>
    <w:rsid w:val="00E613DC"/>
    <w:rsid w:val="00E67274"/>
    <w:rsid w:val="00E71165"/>
    <w:rsid w:val="00E7136C"/>
    <w:rsid w:val="00E7515D"/>
    <w:rsid w:val="00E7565D"/>
    <w:rsid w:val="00E845EF"/>
    <w:rsid w:val="00E92CE6"/>
    <w:rsid w:val="00E97D3D"/>
    <w:rsid w:val="00EA1146"/>
    <w:rsid w:val="00EA23D6"/>
    <w:rsid w:val="00EA6B47"/>
    <w:rsid w:val="00EB032E"/>
    <w:rsid w:val="00EB2CD0"/>
    <w:rsid w:val="00EB30F6"/>
    <w:rsid w:val="00EB3482"/>
    <w:rsid w:val="00EB6EFD"/>
    <w:rsid w:val="00EB7D49"/>
    <w:rsid w:val="00EC1DCD"/>
    <w:rsid w:val="00EC3D85"/>
    <w:rsid w:val="00ED100E"/>
    <w:rsid w:val="00ED74B6"/>
    <w:rsid w:val="00EE5372"/>
    <w:rsid w:val="00EE5892"/>
    <w:rsid w:val="00EE5BFA"/>
    <w:rsid w:val="00EE672A"/>
    <w:rsid w:val="00EF0657"/>
    <w:rsid w:val="00EF1E58"/>
    <w:rsid w:val="00EF3412"/>
    <w:rsid w:val="00EF4E78"/>
    <w:rsid w:val="00EF53AB"/>
    <w:rsid w:val="00EF5467"/>
    <w:rsid w:val="00EF5579"/>
    <w:rsid w:val="00EF610C"/>
    <w:rsid w:val="00EF7F63"/>
    <w:rsid w:val="00F04210"/>
    <w:rsid w:val="00F066AE"/>
    <w:rsid w:val="00F06CD0"/>
    <w:rsid w:val="00F1357E"/>
    <w:rsid w:val="00F155EB"/>
    <w:rsid w:val="00F24613"/>
    <w:rsid w:val="00F248D7"/>
    <w:rsid w:val="00F24E5B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B27"/>
    <w:rsid w:val="00F54DA7"/>
    <w:rsid w:val="00F57301"/>
    <w:rsid w:val="00F639BA"/>
    <w:rsid w:val="00F63C3B"/>
    <w:rsid w:val="00F67D85"/>
    <w:rsid w:val="00F702A4"/>
    <w:rsid w:val="00F70910"/>
    <w:rsid w:val="00F70CF2"/>
    <w:rsid w:val="00F745D5"/>
    <w:rsid w:val="00F75356"/>
    <w:rsid w:val="00F815CA"/>
    <w:rsid w:val="00F82A01"/>
    <w:rsid w:val="00F82CE7"/>
    <w:rsid w:val="00F90D3D"/>
    <w:rsid w:val="00F919AA"/>
    <w:rsid w:val="00F93D29"/>
    <w:rsid w:val="00F9626C"/>
    <w:rsid w:val="00FA1DA8"/>
    <w:rsid w:val="00FA6BD9"/>
    <w:rsid w:val="00FB3A9A"/>
    <w:rsid w:val="00FB7E34"/>
    <w:rsid w:val="00FC65B0"/>
    <w:rsid w:val="00FC7270"/>
    <w:rsid w:val="00FD2CE9"/>
    <w:rsid w:val="00FD31D5"/>
    <w:rsid w:val="00FE0085"/>
    <w:rsid w:val="00FE08ED"/>
    <w:rsid w:val="00FE64FD"/>
    <w:rsid w:val="00FE7D5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11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8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1A46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1A46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1A46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3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FA6BD9"/>
    <w:rPr>
      <w:rFonts w:asciiTheme="majorHAnsi" w:hAnsiTheme="majorHAnsi"/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81A4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81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81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10172162">
    <w:name w:val="SP.10.172162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8D1BE0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148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11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8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link w:val="Heading2Char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1A46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1A46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1A46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3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FA6BD9"/>
    <w:rPr>
      <w:rFonts w:asciiTheme="majorHAnsi" w:hAnsiTheme="majorHAnsi"/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81A4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81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81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10172162">
    <w:name w:val="SP.10.172162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8D1BE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8D1BE0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148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2068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941F80E-F47C-954B-829E-4B17AEE2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Settings\rjstacey\Application Data\Microsoft\Templates\802-11-Submission-Portrait.dot</Template>
  <TotalTime>1</TotalTime>
  <Pages>4</Pages>
  <Words>732</Words>
  <Characters>4176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doc.: IEEE 802.11-16/0024r0</vt:lpstr>
      <vt:lpstr>doc.: IEEE 802.11-16/0024r0</vt:lpstr>
    </vt:vector>
  </TitlesOfParts>
  <Company>Intel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</cp:keywords>
  <dc:description>Robert Stacey, Intel</dc:description>
  <cp:lastModifiedBy>Huizhao Wang</cp:lastModifiedBy>
  <cp:revision>2</cp:revision>
  <cp:lastPrinted>2016-01-08T21:12:00Z</cp:lastPrinted>
  <dcterms:created xsi:type="dcterms:W3CDTF">2016-09-11T18:48:00Z</dcterms:created>
  <dcterms:modified xsi:type="dcterms:W3CDTF">2016-09-11T18:48:00Z</dcterms:modified>
</cp:coreProperties>
</file>