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74D90369" w:rsidR="00C723BC" w:rsidRPr="00183F4C" w:rsidRDefault="00E163E8" w:rsidP="0078529F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5F2FAD">
              <w:rPr>
                <w:lang w:eastAsia="ko-KR"/>
              </w:rPr>
              <w:t xml:space="preserve">PHY </w:t>
            </w:r>
            <w:r w:rsidR="00F95BD2">
              <w:rPr>
                <w:lang w:eastAsia="ko-KR"/>
              </w:rPr>
              <w:t xml:space="preserve">Miscellaneous Part </w:t>
            </w:r>
            <w:r w:rsidR="0078529F">
              <w:rPr>
                <w:lang w:eastAsia="ko-KR"/>
              </w:rPr>
              <w:t>2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76C8B97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77724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69E803EA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1413546" w14:textId="3A0DFE00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DA55E5A" w14:textId="320E8D06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620" w:type="dxa"/>
            <w:vAlign w:val="center"/>
          </w:tcPr>
          <w:p w14:paraId="0C2164B6" w14:textId="7CE20CB4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78215A07" w14:textId="49DCF213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04EB2418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441250" w14:textId="1D4BF981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7F785B" w14:textId="696A18E5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6939071C" w14:textId="49FDD8B3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358" w:type="dxa"/>
            <w:vAlign w:val="center"/>
          </w:tcPr>
          <w:p w14:paraId="4BD2A506" w14:textId="7EA2E37B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D953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TGa</w:t>
      </w:r>
      <w:r w:rsidR="00777246">
        <w:rPr>
          <w:lang w:eastAsia="ko-KR"/>
        </w:rPr>
        <w:t>x</w:t>
      </w:r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35AFACD1" w14:textId="74E13019" w:rsidR="00D93B30" w:rsidRDefault="00D93B30" w:rsidP="007E41CB">
      <w:pPr>
        <w:jc w:val="both"/>
        <w:rPr>
          <w:lang w:eastAsia="ko-KR"/>
        </w:rPr>
      </w:pPr>
      <w:r>
        <w:rPr>
          <w:lang w:eastAsia="ko-KR"/>
        </w:rPr>
        <w:t>834, 1030, 1604, 1861, 2242, and 2919</w:t>
      </w:r>
    </w:p>
    <w:p w14:paraId="5FC7BC39" w14:textId="77777777" w:rsidR="00C3596F" w:rsidRDefault="00C3596F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78D0F23A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55BD4C59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483DB73F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48DF0B1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0F99C4A4" w14:textId="66C08406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9199163" w14:textId="0295B885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EB3339" w14:textId="44D46DBB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4E18C448" w14:textId="08F5F475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2EEF4D" w14:textId="5EAFE440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E9F1B16" w14:textId="1CD44A7D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1F620B" w14:paraId="709B702A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9DD8E52" w14:textId="6BEFE559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1604</w:t>
            </w:r>
          </w:p>
        </w:tc>
        <w:tc>
          <w:tcPr>
            <w:tcW w:w="931" w:type="dxa"/>
            <w:shd w:val="clear" w:color="auto" w:fill="auto"/>
          </w:tcPr>
          <w:p w14:paraId="73A9D918" w14:textId="6D3E88F5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55FA70D8" w14:textId="13190223" w:rsidR="007046F5" w:rsidRPr="009A69C6" w:rsidRDefault="00D93B30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69.23</w:t>
            </w:r>
          </w:p>
        </w:tc>
        <w:tc>
          <w:tcPr>
            <w:tcW w:w="3048" w:type="dxa"/>
            <w:shd w:val="clear" w:color="auto" w:fill="auto"/>
          </w:tcPr>
          <w:p w14:paraId="03C7E384" w14:textId="0F6D90C9" w:rsidR="007046F5" w:rsidRPr="009A69C6" w:rsidRDefault="00D93B30" w:rsidP="007046F5">
            <w:pPr>
              <w:rPr>
                <w:sz w:val="20"/>
                <w:lang w:val="en-US"/>
              </w:rPr>
            </w:pPr>
            <w:r w:rsidRPr="00D93B30">
              <w:rPr>
                <w:sz w:val="20"/>
                <w:lang w:val="en-US"/>
              </w:rPr>
              <w:t>So an HE STA is only required to support HT and VHT PPDUs, not OFDM PPDUs (let alone ERP/DSSS PPDUs)?</w:t>
            </w:r>
          </w:p>
        </w:tc>
        <w:tc>
          <w:tcPr>
            <w:tcW w:w="2409" w:type="dxa"/>
            <w:shd w:val="clear" w:color="auto" w:fill="auto"/>
          </w:tcPr>
          <w:p w14:paraId="266FF8A6" w14:textId="753234BD" w:rsidR="007046F5" w:rsidRPr="009A69C6" w:rsidRDefault="00D93B30" w:rsidP="007046F5">
            <w:pPr>
              <w:rPr>
                <w:sz w:val="20"/>
                <w:lang w:val="en-US"/>
              </w:rPr>
            </w:pPr>
            <w:r w:rsidRPr="00D93B30">
              <w:rPr>
                <w:sz w:val="20"/>
                <w:lang w:val="en-US"/>
              </w:rPr>
              <w:t>Add requirement to support all earlier PHYs (since 11ax is for anything between 1 GHz and 6 GHz)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21E2B67" w14:textId="41F5CAD9" w:rsidR="007257AC" w:rsidRDefault="00D93B30" w:rsidP="00ED4C6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8E7C4D">
              <w:rPr>
                <w:sz w:val="20"/>
                <w:lang w:val="en-US"/>
              </w:rPr>
              <w:t>jected</w:t>
            </w:r>
            <w:r>
              <w:rPr>
                <w:sz w:val="20"/>
                <w:lang w:val="en-US"/>
              </w:rPr>
              <w:t>.</w:t>
            </w:r>
          </w:p>
          <w:p w14:paraId="13B8DAD4" w14:textId="77777777" w:rsidR="00D93B30" w:rsidRDefault="00D93B30" w:rsidP="00ED4C68">
            <w:pPr>
              <w:rPr>
                <w:sz w:val="20"/>
                <w:lang w:val="en-US"/>
              </w:rPr>
            </w:pPr>
          </w:p>
          <w:p w14:paraId="1E7C1B1E" w14:textId="58E1514D" w:rsidR="00A30693" w:rsidRDefault="008E7C4D" w:rsidP="00A30693">
            <w:pPr>
              <w:rPr>
                <w:sz w:val="20"/>
              </w:rPr>
            </w:pPr>
            <w:r>
              <w:rPr>
                <w:sz w:val="20"/>
              </w:rPr>
              <w:t>802.11ax clause 26 shall be capable of transmitting and receiving PPDUs that are compliant with the mandatory requirements of Clause 19 (HT PHY) and Clause 21 (VHT PHY)</w:t>
            </w:r>
            <w:r w:rsidR="00A30693">
              <w:rPr>
                <w:sz w:val="20"/>
              </w:rPr>
              <w:t xml:space="preserve">. </w:t>
            </w:r>
          </w:p>
          <w:p w14:paraId="1A29037A" w14:textId="77777777" w:rsidR="00A30693" w:rsidRDefault="00A30693" w:rsidP="00A30693">
            <w:pPr>
              <w:rPr>
                <w:sz w:val="20"/>
              </w:rPr>
            </w:pPr>
          </w:p>
          <w:p w14:paraId="30A2CCE6" w14:textId="54568D5B" w:rsidR="00D93B30" w:rsidRPr="009A69C6" w:rsidRDefault="00D93B30" w:rsidP="00A30693">
            <w:pPr>
              <w:rPr>
                <w:sz w:val="20"/>
                <w:lang w:val="en-US"/>
              </w:rPr>
            </w:pPr>
          </w:p>
        </w:tc>
      </w:tr>
      <w:tr w:rsidR="007046F5" w:rsidRPr="001F620B" w14:paraId="071A701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E9C92C1" w14:textId="2768FC91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834</w:t>
            </w:r>
          </w:p>
        </w:tc>
        <w:tc>
          <w:tcPr>
            <w:tcW w:w="931" w:type="dxa"/>
            <w:shd w:val="clear" w:color="auto" w:fill="auto"/>
          </w:tcPr>
          <w:p w14:paraId="27B6BF9F" w14:textId="01AE144E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28E1F182" w14:textId="0E4DAEB5" w:rsidR="007046F5" w:rsidRPr="009A69C6" w:rsidRDefault="00FD46C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7EFACB49" w14:textId="0C1B4D9E" w:rsidR="007046F5" w:rsidRPr="009A69C6" w:rsidRDefault="00FD46C8" w:rsidP="007046F5">
            <w:pPr>
              <w:rPr>
                <w:sz w:val="20"/>
                <w:lang w:val="en-US"/>
              </w:rPr>
            </w:pPr>
            <w:r w:rsidRPr="00FD46C8">
              <w:rPr>
                <w:sz w:val="20"/>
                <w:lang w:val="en-US"/>
              </w:rPr>
              <w:t>Support for the HE extended range SU PPDU was decided as mandatory.</w:t>
            </w:r>
          </w:p>
        </w:tc>
        <w:tc>
          <w:tcPr>
            <w:tcW w:w="2409" w:type="dxa"/>
            <w:shd w:val="clear" w:color="auto" w:fill="auto"/>
          </w:tcPr>
          <w:p w14:paraId="76559F29" w14:textId="4728C00D" w:rsidR="007046F5" w:rsidRPr="009A69C6" w:rsidRDefault="00FD46C8" w:rsidP="007046F5">
            <w:pPr>
              <w:rPr>
                <w:sz w:val="20"/>
                <w:lang w:val="en-US"/>
              </w:rPr>
            </w:pPr>
            <w:r w:rsidRPr="00FD46C8">
              <w:rPr>
                <w:sz w:val="20"/>
                <w:lang w:val="en-US"/>
              </w:rPr>
              <w:t>Modify as "Support for the HE extended range SU PPDU format is mandatory".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9B52A13" w14:textId="2B622DD0" w:rsidR="007B337B" w:rsidRDefault="00CF42AE" w:rsidP="00D5005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4F764A">
              <w:rPr>
                <w:sz w:val="20"/>
                <w:lang w:val="en-US"/>
              </w:rPr>
              <w:t>.</w:t>
            </w:r>
          </w:p>
          <w:p w14:paraId="473D80C0" w14:textId="77777777" w:rsidR="004F764A" w:rsidRDefault="004F764A" w:rsidP="004F764A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7D15FBFD" w14:textId="77777777" w:rsidR="004F764A" w:rsidRDefault="004F764A" w:rsidP="004F764A">
            <w:pPr>
              <w:rPr>
                <w:sz w:val="20"/>
              </w:rPr>
            </w:pPr>
          </w:p>
          <w:p w14:paraId="4DC7DA9C" w14:textId="5368A2B2" w:rsidR="004F764A" w:rsidRPr="009A69C6" w:rsidRDefault="004F764A" w:rsidP="0078529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TGax Editor to make the changes shown in IEEE 802.11-16/</w:t>
            </w:r>
            <w:r w:rsidR="0078529F">
              <w:rPr>
                <w:sz w:val="20"/>
              </w:rPr>
              <w:t>1176</w:t>
            </w:r>
            <w:r w:rsidR="00AE2F31">
              <w:rPr>
                <w:sz w:val="20"/>
              </w:rPr>
              <w:t>r1</w:t>
            </w:r>
            <w:r>
              <w:rPr>
                <w:sz w:val="20"/>
              </w:rPr>
              <w:t xml:space="preserve"> under all headings that include CID 834</w:t>
            </w:r>
          </w:p>
        </w:tc>
      </w:tr>
      <w:tr w:rsidR="007046F5" w:rsidRPr="001F620B" w14:paraId="1402CF9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61D8E9C" w14:textId="1BDB65BA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1030</w:t>
            </w:r>
          </w:p>
        </w:tc>
        <w:tc>
          <w:tcPr>
            <w:tcW w:w="931" w:type="dxa"/>
            <w:shd w:val="clear" w:color="auto" w:fill="auto"/>
          </w:tcPr>
          <w:p w14:paraId="56F4CAAA" w14:textId="4ADA40AD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080FCD5A" w14:textId="31EFF7DA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145B742" w14:textId="0B20D4E5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>HE trigger-based PPDU format which is abbreviated as HE_TRIG seems inpropriate, like the HE trigger frame itself</w:t>
            </w:r>
          </w:p>
        </w:tc>
        <w:tc>
          <w:tcPr>
            <w:tcW w:w="2409" w:type="dxa"/>
            <w:shd w:val="clear" w:color="auto" w:fill="auto"/>
          </w:tcPr>
          <w:p w14:paraId="4A943658" w14:textId="7E914B11" w:rsidR="007046F5" w:rsidRPr="009A69C6" w:rsidRDefault="00F5168C" w:rsidP="007046F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Pr="00F5168C">
              <w:rPr>
                <w:sz w:val="20"/>
                <w:lang w:val="en-US"/>
              </w:rPr>
              <w:t>uggest to change for another one such as HE_TRIG_BSD or other type which can be easily differentiate from the HE trigger frame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F9BD25" w14:textId="77777777" w:rsidR="007046F5" w:rsidRDefault="00F5168C" w:rsidP="00056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Reject.</w:t>
            </w:r>
          </w:p>
          <w:p w14:paraId="32F59FDE" w14:textId="253B21AE" w:rsidR="00F5168C" w:rsidRPr="009A69C6" w:rsidRDefault="00F5168C" w:rsidP="0005688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HE_TRIG accroyn looks reasonable.</w:t>
            </w:r>
          </w:p>
        </w:tc>
      </w:tr>
      <w:tr w:rsidR="007046F5" w:rsidRPr="001F620B" w14:paraId="119FCF0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AE248FE" w14:textId="21233421" w:rsidR="007046F5" w:rsidRPr="00220581" w:rsidRDefault="00F5168C" w:rsidP="007046F5">
            <w:pPr>
              <w:jc w:val="center"/>
              <w:rPr>
                <w:sz w:val="20"/>
                <w:highlight w:val="green"/>
                <w:lang w:val="en-US"/>
              </w:rPr>
            </w:pPr>
            <w:r>
              <w:rPr>
                <w:sz w:val="20"/>
                <w:lang w:val="en-US"/>
              </w:rPr>
              <w:t>1861</w:t>
            </w:r>
          </w:p>
        </w:tc>
        <w:tc>
          <w:tcPr>
            <w:tcW w:w="931" w:type="dxa"/>
            <w:shd w:val="clear" w:color="auto" w:fill="auto"/>
          </w:tcPr>
          <w:p w14:paraId="66170526" w14:textId="197C85EF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26.3.10.10</w:t>
            </w:r>
          </w:p>
        </w:tc>
        <w:tc>
          <w:tcPr>
            <w:tcW w:w="720" w:type="dxa"/>
            <w:shd w:val="clear" w:color="auto" w:fill="auto"/>
          </w:tcPr>
          <w:p w14:paraId="1C2D6A95" w14:textId="48329B15" w:rsidR="007046F5" w:rsidRPr="009A69C6" w:rsidRDefault="00F5168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144.23</w:t>
            </w:r>
          </w:p>
        </w:tc>
        <w:tc>
          <w:tcPr>
            <w:tcW w:w="3048" w:type="dxa"/>
            <w:shd w:val="clear" w:color="auto" w:fill="auto"/>
          </w:tcPr>
          <w:p w14:paraId="155E9F90" w14:textId="208176A7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>LDPC tone mapper for DCM is not consistent with PHY Motion 130 passed in Jan 2016</w:t>
            </w:r>
          </w:p>
        </w:tc>
        <w:tc>
          <w:tcPr>
            <w:tcW w:w="2409" w:type="dxa"/>
            <w:shd w:val="clear" w:color="auto" w:fill="auto"/>
          </w:tcPr>
          <w:p w14:paraId="6A1C0B16" w14:textId="54F6BB97" w:rsidR="007046F5" w:rsidRPr="009A69C6" w:rsidRDefault="00F5168C" w:rsidP="007046F5">
            <w:pPr>
              <w:rPr>
                <w:sz w:val="20"/>
                <w:lang w:val="en-US"/>
              </w:rPr>
            </w:pPr>
            <w:r w:rsidRPr="00F5168C">
              <w:rPr>
                <w:sz w:val="20"/>
                <w:lang w:val="en-US"/>
              </w:rPr>
              <w:t>as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1B2F519" w14:textId="77777777" w:rsidR="00F5168C" w:rsidRDefault="00F5168C" w:rsidP="00F516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9718F5B" w14:textId="77777777" w:rsidR="00F5168C" w:rsidRDefault="00F5168C" w:rsidP="00F5168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49576A4" w14:textId="77777777" w:rsidR="00F5168C" w:rsidRDefault="00F5168C" w:rsidP="00F5168C">
            <w:pPr>
              <w:rPr>
                <w:sz w:val="20"/>
              </w:rPr>
            </w:pPr>
          </w:p>
          <w:p w14:paraId="50E23889" w14:textId="72C79385" w:rsidR="00220581" w:rsidRPr="009A69C6" w:rsidRDefault="00F5168C" w:rsidP="0078529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TGax Editor to make the changes shown in IEEE 802.11-16/</w:t>
            </w:r>
            <w:r w:rsidR="0078529F">
              <w:rPr>
                <w:sz w:val="20"/>
              </w:rPr>
              <w:t>1176r</w:t>
            </w:r>
            <w:r w:rsidR="00AE2F31">
              <w:rPr>
                <w:sz w:val="20"/>
              </w:rPr>
              <w:t>1</w:t>
            </w:r>
            <w:r>
              <w:rPr>
                <w:sz w:val="20"/>
              </w:rPr>
              <w:t xml:space="preserve"> under </w:t>
            </w:r>
            <w:r w:rsidR="00A30693">
              <w:rPr>
                <w:sz w:val="20"/>
              </w:rPr>
              <w:t>all headings that include CID 1861</w:t>
            </w:r>
          </w:p>
        </w:tc>
      </w:tr>
      <w:tr w:rsidR="008840EE" w:rsidRPr="001F620B" w14:paraId="39696648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573C62B" w14:textId="4BFC3EFA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2242</w:t>
            </w:r>
          </w:p>
        </w:tc>
        <w:tc>
          <w:tcPr>
            <w:tcW w:w="931" w:type="dxa"/>
            <w:shd w:val="clear" w:color="auto" w:fill="auto"/>
          </w:tcPr>
          <w:p w14:paraId="55863C88" w14:textId="2708E4E6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19CD103D" w14:textId="1B420A7F" w:rsidR="008840EE" w:rsidRDefault="00C04E2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AF4BE0A" w14:textId="79E965C7" w:rsidR="008840EE" w:rsidRPr="00A22986" w:rsidRDefault="00C04E29" w:rsidP="007046F5">
            <w:pPr>
              <w:rPr>
                <w:sz w:val="20"/>
              </w:rPr>
            </w:pPr>
            <w:r w:rsidRPr="00C04E29">
              <w:rPr>
                <w:sz w:val="20"/>
              </w:rPr>
              <w:t>HE_TRIG PPDU format should be mandatory</w:t>
            </w:r>
          </w:p>
        </w:tc>
        <w:tc>
          <w:tcPr>
            <w:tcW w:w="2409" w:type="dxa"/>
            <w:shd w:val="clear" w:color="auto" w:fill="auto"/>
          </w:tcPr>
          <w:p w14:paraId="4A2B6338" w14:textId="1C6BEA4D" w:rsidR="008840EE" w:rsidRPr="00A22986" w:rsidRDefault="00C04E29" w:rsidP="007046F5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Pr="00C04E29">
              <w:rPr>
                <w:sz w:val="20"/>
              </w:rPr>
              <w:t>E_TRIG PPDU format should be mandatory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7BA59D2" w14:textId="2DD6E8CC" w:rsidR="00141528" w:rsidRDefault="001B719B" w:rsidP="0014152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141528">
              <w:rPr>
                <w:sz w:val="20"/>
              </w:rPr>
              <w:t>.</w:t>
            </w:r>
          </w:p>
          <w:p w14:paraId="6314808A" w14:textId="77777777" w:rsidR="00141528" w:rsidRDefault="00141528" w:rsidP="0014152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4941144" w14:textId="77777777" w:rsidR="00141528" w:rsidRDefault="00141528" w:rsidP="00141528">
            <w:pPr>
              <w:rPr>
                <w:sz w:val="20"/>
              </w:rPr>
            </w:pPr>
          </w:p>
          <w:p w14:paraId="7D8A303C" w14:textId="7DC9D3DE" w:rsidR="004F1733" w:rsidRDefault="00141528" w:rsidP="00141528">
            <w:pPr>
              <w:rPr>
                <w:sz w:val="20"/>
              </w:rPr>
            </w:pPr>
            <w:r>
              <w:rPr>
                <w:sz w:val="20"/>
              </w:rPr>
              <w:t>TGax Editor to make the change</w:t>
            </w:r>
            <w:r w:rsidR="00AE2F31">
              <w:rPr>
                <w:sz w:val="20"/>
              </w:rPr>
              <w:t>s shown in IEEE 802.11-16/1176r1</w:t>
            </w:r>
            <w:r>
              <w:rPr>
                <w:sz w:val="20"/>
              </w:rPr>
              <w:t xml:space="preserve"> under all headings that include CID 2242.</w:t>
            </w:r>
          </w:p>
        </w:tc>
      </w:tr>
      <w:tr w:rsidR="003231DA" w:rsidRPr="001F620B" w14:paraId="00978CC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A84D9FD" w14:textId="003D3D8B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2919</w:t>
            </w:r>
          </w:p>
        </w:tc>
        <w:tc>
          <w:tcPr>
            <w:tcW w:w="931" w:type="dxa"/>
            <w:shd w:val="clear" w:color="auto" w:fill="auto"/>
          </w:tcPr>
          <w:p w14:paraId="05ABA724" w14:textId="486EA1F3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26.1.4</w:t>
            </w:r>
          </w:p>
        </w:tc>
        <w:tc>
          <w:tcPr>
            <w:tcW w:w="720" w:type="dxa"/>
            <w:shd w:val="clear" w:color="auto" w:fill="auto"/>
          </w:tcPr>
          <w:p w14:paraId="2537B698" w14:textId="5747BC0F" w:rsidR="003231DA" w:rsidRDefault="00C70133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71.23</w:t>
            </w:r>
          </w:p>
        </w:tc>
        <w:tc>
          <w:tcPr>
            <w:tcW w:w="3048" w:type="dxa"/>
            <w:shd w:val="clear" w:color="auto" w:fill="auto"/>
          </w:tcPr>
          <w:p w14:paraId="6564A6A1" w14:textId="0C3A81A4" w:rsidR="003231DA" w:rsidRPr="00FA41D2" w:rsidRDefault="00C70133" w:rsidP="007046F5">
            <w:pPr>
              <w:rPr>
                <w:sz w:val="20"/>
              </w:rPr>
            </w:pPr>
            <w:r w:rsidRPr="00C70133">
              <w:rPr>
                <w:sz w:val="20"/>
              </w:rPr>
              <w:t>PHY Motion #115 (Extended range SU format (mandatory)) was approved but corresponding spec text is not modified in the draft</w:t>
            </w:r>
          </w:p>
        </w:tc>
        <w:tc>
          <w:tcPr>
            <w:tcW w:w="2409" w:type="dxa"/>
            <w:shd w:val="clear" w:color="auto" w:fill="auto"/>
          </w:tcPr>
          <w:p w14:paraId="61595E48" w14:textId="15BC13B6" w:rsidR="003231DA" w:rsidRPr="00810E4A" w:rsidRDefault="00C70133" w:rsidP="007046F5">
            <w:pPr>
              <w:rPr>
                <w:sz w:val="20"/>
              </w:rPr>
            </w:pPr>
            <w:r w:rsidRPr="00C70133">
              <w:rPr>
                <w:sz w:val="20"/>
              </w:rPr>
              <w:t xml:space="preserve">Change "HE extended range SU PPDU format (HE_EXT_SU) carries a single PSDU. It is similar to the SU format, except that the HE-SIG-A field is repeated. Support for the HE extended range SU PPDU format is TBD </w:t>
            </w:r>
            <w:r w:rsidRPr="00C70133">
              <w:rPr>
                <w:sz w:val="20"/>
              </w:rPr>
              <w:lastRenderedPageBreak/>
              <w:t>(mandatory or optional). " to “HE extended range SU PPDU format (HE_EXT_SU) carries a single PSDU. It is similar to the SU format, except that the HE-SIG-A field is repeated. Support for the HE extended range SU PPDU format is mandatory.”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D4ADA90" w14:textId="28B6601B" w:rsidR="003231DA" w:rsidRDefault="001B719B" w:rsidP="003231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</w:t>
            </w:r>
            <w:r w:rsidR="00C70133">
              <w:rPr>
                <w:sz w:val="20"/>
              </w:rPr>
              <w:t>.</w:t>
            </w:r>
          </w:p>
          <w:p w14:paraId="4BAF9BF5" w14:textId="77777777" w:rsidR="00C70133" w:rsidRDefault="00C70133" w:rsidP="00C7013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AFEDC8C" w14:textId="77777777" w:rsidR="00C70133" w:rsidRDefault="00C70133" w:rsidP="00C70133">
            <w:pPr>
              <w:rPr>
                <w:sz w:val="20"/>
              </w:rPr>
            </w:pPr>
          </w:p>
          <w:p w14:paraId="3C82CA4C" w14:textId="0B8E0DB8" w:rsidR="00C70133" w:rsidRDefault="00C70133" w:rsidP="0078529F">
            <w:pPr>
              <w:rPr>
                <w:sz w:val="20"/>
              </w:rPr>
            </w:pPr>
            <w:r>
              <w:rPr>
                <w:sz w:val="20"/>
              </w:rPr>
              <w:t>TGax Editor to make the changes shown in IEEE 802.11-16/</w:t>
            </w:r>
            <w:r w:rsidR="0078529F">
              <w:rPr>
                <w:sz w:val="20"/>
              </w:rPr>
              <w:t>1176</w:t>
            </w:r>
            <w:r w:rsidR="00AE2F31">
              <w:rPr>
                <w:sz w:val="20"/>
              </w:rPr>
              <w:t>r1</w:t>
            </w:r>
            <w:r>
              <w:rPr>
                <w:sz w:val="20"/>
              </w:rPr>
              <w:t xml:space="preserve"> under all headings that include CID 2919.</w:t>
            </w:r>
          </w:p>
        </w:tc>
      </w:tr>
    </w:tbl>
    <w:p w14:paraId="5C11A37D" w14:textId="33AB2A2A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5BAB13A" w14:textId="353653E5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FD46C8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4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related to CID </w:t>
      </w:r>
      <w:r w:rsidR="00FD46C8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834</w:t>
      </w:r>
      <w:r w:rsidR="00C70133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, 2242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:</w:t>
      </w:r>
    </w:p>
    <w:p w14:paraId="762DE3BF" w14:textId="0249E032" w:rsidR="00BE015C" w:rsidRPr="00BE015C" w:rsidRDefault="00FD46C8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>
        <w:rPr>
          <w:rFonts w:ascii="Arial" w:eastAsia="Calibri" w:hAnsi="Arial" w:cs="Arial"/>
          <w:b/>
          <w:sz w:val="20"/>
          <w:lang w:val="en-US"/>
        </w:rPr>
        <w:t>26.1.4</w:t>
      </w:r>
      <w:r w:rsidR="00BE015C" w:rsidRPr="00BE015C">
        <w:rPr>
          <w:rFonts w:ascii="Arial" w:eastAsia="Calibri" w:hAnsi="Arial" w:cs="Arial"/>
          <w:b/>
          <w:sz w:val="20"/>
          <w:lang w:val="en-US"/>
        </w:rPr>
        <w:t xml:space="preserve"> </w:t>
      </w:r>
      <w:r>
        <w:rPr>
          <w:rFonts w:ascii="Arial" w:eastAsia="Calibri" w:hAnsi="Arial" w:cs="Arial"/>
          <w:b/>
          <w:sz w:val="20"/>
          <w:lang w:val="en-US"/>
        </w:rPr>
        <w:t>PPDU formats</w:t>
      </w:r>
    </w:p>
    <w:p w14:paraId="598702E2" w14:textId="0FEA93D7" w:rsidR="00BE015C" w:rsidRPr="00BE015C" w:rsidRDefault="00BE015C" w:rsidP="00BE015C">
      <w:pPr>
        <w:spacing w:after="160" w:line="259" w:lineRule="auto"/>
        <w:rPr>
          <w:rFonts w:eastAsia="Calibri"/>
          <w:b/>
          <w:i/>
          <w:sz w:val="20"/>
          <w:lang w:val="en-US"/>
        </w:rPr>
      </w:pP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TGax Editor: Change the </w:t>
      </w:r>
      <w:r w:rsidR="00937DAD" w:rsidRPr="00937DAD">
        <w:rPr>
          <w:rFonts w:eastAsia="Calibri"/>
          <w:b/>
          <w:i/>
          <w:sz w:val="20"/>
          <w:highlight w:val="yellow"/>
          <w:lang w:val="en-US"/>
        </w:rPr>
        <w:t>lines 25-38 on page 113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as follows (#</w:t>
      </w:r>
      <w:r w:rsidR="00DD3824" w:rsidRPr="00937DAD">
        <w:rPr>
          <w:rFonts w:eastAsia="Calibri"/>
          <w:b/>
          <w:i/>
          <w:sz w:val="20"/>
          <w:highlight w:val="yellow"/>
          <w:lang w:val="en-US"/>
        </w:rPr>
        <w:t>834</w:t>
      </w:r>
      <w:r w:rsidR="00C70133">
        <w:rPr>
          <w:rFonts w:eastAsia="Calibri"/>
          <w:b/>
          <w:i/>
          <w:sz w:val="20"/>
          <w:highlight w:val="yellow"/>
          <w:lang w:val="en-US"/>
        </w:rPr>
        <w:t>, #2242</w:t>
      </w:r>
      <w:r w:rsidRPr="00937DAD">
        <w:rPr>
          <w:rFonts w:eastAsia="Calibri"/>
          <w:b/>
          <w:i/>
          <w:sz w:val="20"/>
          <w:highlight w:val="yellow"/>
          <w:lang w:val="en-US"/>
        </w:rPr>
        <w:t>):</w:t>
      </w:r>
    </w:p>
    <w:p w14:paraId="54547D6C" w14:textId="0B90C620" w:rsidR="00E20BEE" w:rsidRPr="00841E7D" w:rsidRDefault="00DD3824" w:rsidP="002833DD">
      <w:pPr>
        <w:autoSpaceDE w:val="0"/>
        <w:autoSpaceDN w:val="0"/>
        <w:adjustRightInd w:val="0"/>
        <w:jc w:val="both"/>
        <w:rPr>
          <w:strike/>
          <w:sz w:val="20"/>
        </w:rPr>
      </w:pPr>
      <w:r>
        <w:rPr>
          <w:sz w:val="20"/>
        </w:rPr>
        <w:t xml:space="preserve">HE extended range SU PPDU format (HE_EXT_SU) carries a single PSDU. It is similar to the SU format, except that the HE-SIG-A field is repeated. Support for the HE extended range SU PPDU format is </w:t>
      </w:r>
      <w:r w:rsidRPr="00DD3824">
        <w:rPr>
          <w:color w:val="FF0000"/>
          <w:sz w:val="20"/>
          <w:u w:val="single"/>
        </w:rPr>
        <w:t>mandatory</w:t>
      </w:r>
      <w:r>
        <w:rPr>
          <w:sz w:val="20"/>
        </w:rPr>
        <w:t xml:space="preserve">. </w:t>
      </w:r>
      <w:r w:rsidRPr="00841E7D">
        <w:rPr>
          <w:strike/>
          <w:sz w:val="20"/>
        </w:rPr>
        <w:t xml:space="preserve">TBD (mandatory or </w:t>
      </w:r>
      <w:bookmarkStart w:id="0" w:name="_GoBack"/>
      <w:bookmarkEnd w:id="0"/>
      <w:r w:rsidRPr="00841E7D">
        <w:rPr>
          <w:strike/>
          <w:sz w:val="20"/>
        </w:rPr>
        <w:t>optional).</w:t>
      </w:r>
    </w:p>
    <w:p w14:paraId="0973B995" w14:textId="77777777" w:rsidR="00C04E29" w:rsidRDefault="00C04E29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37A34200" w14:textId="18EE113B" w:rsidR="00C04E29" w:rsidRDefault="00C04E29" w:rsidP="002833DD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HE trigger-based PPDU format (HE_TRIG) carries a single PSDU and is sent in response to a PPDU that carries a Trigger frame. The preamble format prior to the HE-STF field is identical to the HE SU PPDU. Support for the HE trigger-based PPDU format is </w:t>
      </w:r>
      <w:r w:rsidRPr="00C04E29">
        <w:rPr>
          <w:color w:val="FF0000"/>
          <w:sz w:val="20"/>
          <w:u w:val="single"/>
        </w:rPr>
        <w:t>mandatory.</w:t>
      </w:r>
      <w:r>
        <w:rPr>
          <w:sz w:val="20"/>
        </w:rPr>
        <w:t xml:space="preserve"> </w:t>
      </w:r>
      <w:r w:rsidRPr="00C04E29">
        <w:rPr>
          <w:strike/>
          <w:sz w:val="20"/>
        </w:rPr>
        <w:t>TBD (mandatory or optional).</w:t>
      </w:r>
    </w:p>
    <w:p w14:paraId="4221709F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267A330D" w14:textId="04FA7A8A" w:rsidR="00F5168C" w:rsidRPr="00BE015C" w:rsidRDefault="00F5168C" w:rsidP="00F5168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4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related to CID 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1861</w:t>
      </w: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:</w:t>
      </w:r>
    </w:p>
    <w:p w14:paraId="390546AD" w14:textId="627CF4AB" w:rsidR="00F5168C" w:rsidRPr="00BE015C" w:rsidRDefault="00F5168C" w:rsidP="00F5168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>
        <w:rPr>
          <w:rFonts w:ascii="Arial" w:eastAsia="Calibri" w:hAnsi="Arial" w:cs="Arial"/>
          <w:b/>
          <w:sz w:val="20"/>
          <w:lang w:val="en-US"/>
        </w:rPr>
        <w:t>26.3.11.10 LDPC Tone Mapper</w:t>
      </w:r>
    </w:p>
    <w:p w14:paraId="1A75233B" w14:textId="1E8C3AE6" w:rsidR="00F5168C" w:rsidRPr="00BE015C" w:rsidRDefault="00F5168C" w:rsidP="00F5168C">
      <w:pPr>
        <w:spacing w:after="160" w:line="259" w:lineRule="auto"/>
        <w:rPr>
          <w:rFonts w:eastAsia="Calibri"/>
          <w:b/>
          <w:i/>
          <w:sz w:val="20"/>
          <w:lang w:val="en-US"/>
        </w:rPr>
      </w:pP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TGax Editor: Change the </w:t>
      </w:r>
      <w:r>
        <w:rPr>
          <w:rFonts w:eastAsia="Calibri"/>
          <w:b/>
          <w:i/>
          <w:sz w:val="20"/>
          <w:highlight w:val="yellow"/>
          <w:lang w:val="en-US"/>
        </w:rPr>
        <w:t>Table 26-26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on page </w:t>
      </w:r>
      <w:r>
        <w:rPr>
          <w:rFonts w:eastAsia="Calibri"/>
          <w:b/>
          <w:i/>
          <w:sz w:val="20"/>
          <w:highlight w:val="yellow"/>
          <w:lang w:val="en-US"/>
        </w:rPr>
        <w:t>211</w:t>
      </w:r>
      <w:r w:rsidRPr="00937DAD">
        <w:rPr>
          <w:rFonts w:eastAsia="Calibri"/>
          <w:b/>
          <w:i/>
          <w:sz w:val="20"/>
          <w:highlight w:val="yellow"/>
          <w:lang w:val="en-US"/>
        </w:rPr>
        <w:t xml:space="preserve"> as follows (#</w:t>
      </w:r>
      <w:r>
        <w:rPr>
          <w:rFonts w:eastAsia="Calibri"/>
          <w:b/>
          <w:i/>
          <w:sz w:val="20"/>
          <w:highlight w:val="yellow"/>
          <w:lang w:val="en-US"/>
        </w:rPr>
        <w:t>1861</w:t>
      </w:r>
      <w:r w:rsidRPr="00937DAD">
        <w:rPr>
          <w:rFonts w:eastAsia="Calibri"/>
          <w:b/>
          <w:i/>
          <w:sz w:val="20"/>
          <w:highlight w:val="yellow"/>
          <w:lang w:val="en-US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261"/>
        <w:gridCol w:w="1261"/>
        <w:gridCol w:w="1261"/>
        <w:gridCol w:w="1261"/>
        <w:gridCol w:w="1261"/>
        <w:gridCol w:w="1261"/>
        <w:gridCol w:w="1261"/>
      </w:tblGrid>
      <w:tr w:rsidR="00F5168C" w14:paraId="435508C4" w14:textId="77777777" w:rsidTr="00F5168C">
        <w:trPr>
          <w:trHeight w:val="143"/>
        </w:trPr>
        <w:tc>
          <w:tcPr>
            <w:tcW w:w="1027" w:type="dxa"/>
            <w:vMerge w:val="restart"/>
          </w:tcPr>
          <w:p w14:paraId="68FB6A66" w14:textId="22780C7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8827" w:type="dxa"/>
            <w:gridSpan w:val="7"/>
          </w:tcPr>
          <w:p w14:paraId="102DAD10" w14:textId="035E4C9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RU Size (tones)</w:t>
            </w:r>
          </w:p>
        </w:tc>
      </w:tr>
      <w:tr w:rsidR="00F5168C" w14:paraId="317651D4" w14:textId="77777777" w:rsidTr="00F5168C">
        <w:trPr>
          <w:trHeight w:val="142"/>
        </w:trPr>
        <w:tc>
          <w:tcPr>
            <w:tcW w:w="1027" w:type="dxa"/>
            <w:vMerge/>
          </w:tcPr>
          <w:p w14:paraId="4DC11CC1" w14:textId="77777777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61" w:type="dxa"/>
          </w:tcPr>
          <w:p w14:paraId="061C3EB5" w14:textId="11DE2AED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61" w:type="dxa"/>
          </w:tcPr>
          <w:p w14:paraId="049E4DD8" w14:textId="1321777A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61" w:type="dxa"/>
          </w:tcPr>
          <w:p w14:paraId="481D11C3" w14:textId="05F151B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61" w:type="dxa"/>
          </w:tcPr>
          <w:p w14:paraId="1E3F4BD2" w14:textId="15D7F35B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261" w:type="dxa"/>
          </w:tcPr>
          <w:p w14:paraId="7D4C72EE" w14:textId="189FADCC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261" w:type="dxa"/>
          </w:tcPr>
          <w:p w14:paraId="78E204C6" w14:textId="40DB2661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261" w:type="dxa"/>
          </w:tcPr>
          <w:p w14:paraId="0479030A" w14:textId="69D3E6AC" w:rsidR="00F5168C" w:rsidRDefault="00F5168C" w:rsidP="00F5168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m:oMath>
              <m:r>
                <w:rPr>
                  <w:rFonts w:ascii="Cambria Math" w:hAnsi="Cambria Math"/>
                  <w:sz w:val="20"/>
                </w:rPr>
                <m:t>×</m:t>
              </m:r>
            </m:oMath>
            <w:r>
              <w:rPr>
                <w:sz w:val="20"/>
              </w:rPr>
              <w:t>996</w:t>
            </w:r>
          </w:p>
        </w:tc>
      </w:tr>
      <w:tr w:rsidR="00F5168C" w14:paraId="0C8BC3E1" w14:textId="77777777" w:rsidTr="00186306">
        <w:tc>
          <w:tcPr>
            <w:tcW w:w="1027" w:type="dxa"/>
          </w:tcPr>
          <w:p w14:paraId="303E2BC2" w14:textId="3DB6976B" w:rsidR="00F5168C" w:rsidRDefault="00674847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TM</m:t>
                    </m:r>
                  </m:sub>
                </m:sSub>
              </m:oMath>
            </m:oMathPara>
          </w:p>
        </w:tc>
        <w:tc>
          <w:tcPr>
            <w:tcW w:w="1261" w:type="dxa"/>
          </w:tcPr>
          <w:p w14:paraId="7E5E0510" w14:textId="43225220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77F54326" w14:textId="16B55AF0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</w:tcPr>
          <w:p w14:paraId="171E1140" w14:textId="466E5D56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1" w:type="dxa"/>
          </w:tcPr>
          <w:p w14:paraId="7788953F" w14:textId="12FF9645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4DD2794A" w14:textId="7234895D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1" w:type="dxa"/>
          </w:tcPr>
          <w:p w14:paraId="1E83D8D6" w14:textId="6486ACBE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1" w:type="dxa"/>
          </w:tcPr>
          <w:p w14:paraId="5C21822C" w14:textId="1D9DEDE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5168C" w14:paraId="58BDFFCF" w14:textId="77777777" w:rsidTr="00457CA2">
        <w:tc>
          <w:tcPr>
            <w:tcW w:w="1027" w:type="dxa"/>
          </w:tcPr>
          <w:p w14:paraId="68E645CF" w14:textId="55BBC035" w:rsidR="00F5168C" w:rsidRDefault="00674847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TM_DCM</m:t>
                    </m:r>
                  </m:sub>
                </m:sSub>
              </m:oMath>
            </m:oMathPara>
          </w:p>
        </w:tc>
        <w:tc>
          <w:tcPr>
            <w:tcW w:w="1261" w:type="dxa"/>
          </w:tcPr>
          <w:p w14:paraId="1BF81450" w14:textId="48664A48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17300759" w14:textId="173C877F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1" w:type="dxa"/>
          </w:tcPr>
          <w:p w14:paraId="2896A358" w14:textId="0826D6BA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</w:tcPr>
          <w:p w14:paraId="360541C8" w14:textId="55084AE7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02B97532" w14:textId="3A2E55A3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1" w:type="dxa"/>
          </w:tcPr>
          <w:p w14:paraId="1FD1A2FB" w14:textId="1E982044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61" w:type="dxa"/>
          </w:tcPr>
          <w:p w14:paraId="65110371" w14:textId="0CB5513E" w:rsidR="00F5168C" w:rsidRDefault="00F5168C" w:rsidP="002833D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5168C">
              <w:rPr>
                <w:strike/>
                <w:sz w:val="20"/>
              </w:rPr>
              <w:t>20</w:t>
            </w:r>
            <w:r w:rsidRPr="00F5168C">
              <w:rPr>
                <w:color w:val="FF0000"/>
                <w:sz w:val="20"/>
                <w:u w:val="single"/>
              </w:rPr>
              <w:t>14</w:t>
            </w:r>
          </w:p>
        </w:tc>
      </w:tr>
    </w:tbl>
    <w:p w14:paraId="780F14F4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75A3C2EF" w14:textId="77777777" w:rsidR="00F5168C" w:rsidRDefault="00F5168C" w:rsidP="002833DD">
      <w:pPr>
        <w:autoSpaceDE w:val="0"/>
        <w:autoSpaceDN w:val="0"/>
        <w:adjustRightInd w:val="0"/>
        <w:jc w:val="both"/>
        <w:rPr>
          <w:sz w:val="20"/>
        </w:rPr>
      </w:pPr>
    </w:p>
    <w:p w14:paraId="112EE87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F99FB5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14D3DEE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B4DCC2B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229E7F5D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F7CB88F" w14:textId="5E1DBBAA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35B550E9" w14:textId="3404AEE6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65554C">
        <w:rPr>
          <w:b/>
          <w:color w:val="000000"/>
          <w:sz w:val="28"/>
          <w:lang w:val="en-US" w:eastAsia="ko-KR"/>
        </w:rPr>
        <w:t>/D0.4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5554C">
        <w:rPr>
          <w:b/>
          <w:color w:val="000000"/>
          <w:sz w:val="28"/>
          <w:lang w:val="en-US" w:eastAsia="ko-KR"/>
        </w:rPr>
        <w:t>Aug.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DFC4" w14:textId="77777777" w:rsidR="00674847" w:rsidRDefault="00674847">
      <w:r>
        <w:separator/>
      </w:r>
    </w:p>
  </w:endnote>
  <w:endnote w:type="continuationSeparator" w:id="0">
    <w:p w14:paraId="43796D1C" w14:textId="77777777" w:rsidR="00674847" w:rsidRDefault="0067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8C5FE39" w:rsidR="00CF3BB2" w:rsidRDefault="006748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3BB2">
      <w:t>Submission</w:t>
    </w:r>
    <w:r>
      <w:fldChar w:fldCharType="end"/>
    </w:r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596E74">
      <w:rPr>
        <w:noProof/>
      </w:rPr>
      <w:t>3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78B10FFF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B9D3F" w14:textId="77777777" w:rsidR="00674847" w:rsidRDefault="00674847">
      <w:r>
        <w:separator/>
      </w:r>
    </w:p>
  </w:footnote>
  <w:footnote w:type="continuationSeparator" w:id="0">
    <w:p w14:paraId="7FD2CBC4" w14:textId="77777777" w:rsidR="00674847" w:rsidRDefault="0067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6B6D8CD" w:rsidR="00CF3BB2" w:rsidRDefault="005F2FA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r w:rsidR="00674847">
      <w:fldChar w:fldCharType="begin"/>
    </w:r>
    <w:r w:rsidR="00674847">
      <w:instrText xml:space="preserve"> TITLE  \* MERGEFORMAT </w:instrText>
    </w:r>
    <w:r w:rsidR="00674847">
      <w:fldChar w:fldCharType="separate"/>
    </w:r>
    <w:r w:rsidR="0078529F">
      <w:t>doc.: IEEE 802.11-16/1176</w:t>
    </w:r>
    <w:r w:rsidR="00CF3BB2">
      <w:rPr>
        <w:lang w:eastAsia="ko-KR"/>
      </w:rPr>
      <w:t>r</w:t>
    </w:r>
    <w:r w:rsidR="00674847">
      <w:rPr>
        <w:lang w:eastAsia="ko-KR"/>
      </w:rPr>
      <w:fldChar w:fldCharType="end"/>
    </w:r>
    <w:r w:rsidR="00AE2F3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4DC0"/>
    <w:rsid w:val="000478EE"/>
    <w:rsid w:val="000479A5"/>
    <w:rsid w:val="00052123"/>
    <w:rsid w:val="00053519"/>
    <w:rsid w:val="00054694"/>
    <w:rsid w:val="000567DA"/>
    <w:rsid w:val="0005688B"/>
    <w:rsid w:val="000642FC"/>
    <w:rsid w:val="0006469A"/>
    <w:rsid w:val="00066421"/>
    <w:rsid w:val="0006732A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50F5"/>
    <w:rsid w:val="000B59FE"/>
    <w:rsid w:val="000C1B3F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1528"/>
    <w:rsid w:val="001420E5"/>
    <w:rsid w:val="001448D8"/>
    <w:rsid w:val="001450BB"/>
    <w:rsid w:val="001459E7"/>
    <w:rsid w:val="00145C98"/>
    <w:rsid w:val="00146D19"/>
    <w:rsid w:val="00150F68"/>
    <w:rsid w:val="00151729"/>
    <w:rsid w:val="00151BBE"/>
    <w:rsid w:val="00154791"/>
    <w:rsid w:val="00154B26"/>
    <w:rsid w:val="001557CB"/>
    <w:rsid w:val="001559BB"/>
    <w:rsid w:val="0016428D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69E8"/>
    <w:rsid w:val="00187129"/>
    <w:rsid w:val="0019164F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9B"/>
    <w:rsid w:val="001C501D"/>
    <w:rsid w:val="001C6CD8"/>
    <w:rsid w:val="001C78D9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270E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10A6"/>
    <w:rsid w:val="003622ED"/>
    <w:rsid w:val="00362C5B"/>
    <w:rsid w:val="00366AF0"/>
    <w:rsid w:val="003713CA"/>
    <w:rsid w:val="0037201A"/>
    <w:rsid w:val="003724BD"/>
    <w:rsid w:val="003729FC"/>
    <w:rsid w:val="00372FCA"/>
    <w:rsid w:val="00374C87"/>
    <w:rsid w:val="00374CBC"/>
    <w:rsid w:val="003766B9"/>
    <w:rsid w:val="00376E69"/>
    <w:rsid w:val="00381F98"/>
    <w:rsid w:val="00382C54"/>
    <w:rsid w:val="00383766"/>
    <w:rsid w:val="00383C0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0C7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1DA"/>
    <w:rsid w:val="00492A82"/>
    <w:rsid w:val="0049468A"/>
    <w:rsid w:val="00495DAB"/>
    <w:rsid w:val="00497C1D"/>
    <w:rsid w:val="004A0AF4"/>
    <w:rsid w:val="004A0FC9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74F8"/>
    <w:rsid w:val="004F764A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96E74"/>
    <w:rsid w:val="005A16CF"/>
    <w:rsid w:val="005A1A3D"/>
    <w:rsid w:val="005A23DB"/>
    <w:rsid w:val="005A2ECA"/>
    <w:rsid w:val="005A4504"/>
    <w:rsid w:val="005A624A"/>
    <w:rsid w:val="005A6BC3"/>
    <w:rsid w:val="005B151D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78C"/>
    <w:rsid w:val="005E3E49"/>
    <w:rsid w:val="005E4E9C"/>
    <w:rsid w:val="005E58D3"/>
    <w:rsid w:val="005E768D"/>
    <w:rsid w:val="005E7B13"/>
    <w:rsid w:val="005F00B1"/>
    <w:rsid w:val="005F00E7"/>
    <w:rsid w:val="005F04D6"/>
    <w:rsid w:val="005F19DD"/>
    <w:rsid w:val="005F23B2"/>
    <w:rsid w:val="005F2FAD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8B7"/>
    <w:rsid w:val="00654B3B"/>
    <w:rsid w:val="0065554C"/>
    <w:rsid w:val="00656882"/>
    <w:rsid w:val="00657061"/>
    <w:rsid w:val="00657363"/>
    <w:rsid w:val="00657DBD"/>
    <w:rsid w:val="00660ACE"/>
    <w:rsid w:val="00662343"/>
    <w:rsid w:val="0066483B"/>
    <w:rsid w:val="00664CCC"/>
    <w:rsid w:val="00666B90"/>
    <w:rsid w:val="00667D96"/>
    <w:rsid w:val="0067069C"/>
    <w:rsid w:val="00671F29"/>
    <w:rsid w:val="0067305F"/>
    <w:rsid w:val="00673E73"/>
    <w:rsid w:val="00674847"/>
    <w:rsid w:val="0067737F"/>
    <w:rsid w:val="00680308"/>
    <w:rsid w:val="00680634"/>
    <w:rsid w:val="006813E4"/>
    <w:rsid w:val="0068276E"/>
    <w:rsid w:val="0068429C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E05"/>
    <w:rsid w:val="007121E9"/>
    <w:rsid w:val="00714DE0"/>
    <w:rsid w:val="007164A7"/>
    <w:rsid w:val="00716DFF"/>
    <w:rsid w:val="00721A60"/>
    <w:rsid w:val="007220CF"/>
    <w:rsid w:val="007223A2"/>
    <w:rsid w:val="00723821"/>
    <w:rsid w:val="00724942"/>
    <w:rsid w:val="007257AC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96C"/>
    <w:rsid w:val="00763239"/>
    <w:rsid w:val="00766B1A"/>
    <w:rsid w:val="00766DFE"/>
    <w:rsid w:val="00772027"/>
    <w:rsid w:val="0077584D"/>
    <w:rsid w:val="00777246"/>
    <w:rsid w:val="0077797F"/>
    <w:rsid w:val="00783B46"/>
    <w:rsid w:val="00784800"/>
    <w:rsid w:val="0078529F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6B5D"/>
    <w:rsid w:val="007D7FFC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1E7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39BF"/>
    <w:rsid w:val="00895A28"/>
    <w:rsid w:val="00897183"/>
    <w:rsid w:val="008A2992"/>
    <w:rsid w:val="008A46D9"/>
    <w:rsid w:val="008A5AFD"/>
    <w:rsid w:val="008A6CD4"/>
    <w:rsid w:val="008A788A"/>
    <w:rsid w:val="008B1E33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5BF1"/>
    <w:rsid w:val="008E7C4D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37DAD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0693"/>
    <w:rsid w:val="00A32A9C"/>
    <w:rsid w:val="00A3560F"/>
    <w:rsid w:val="00A358FF"/>
    <w:rsid w:val="00A35D4E"/>
    <w:rsid w:val="00A35DD1"/>
    <w:rsid w:val="00A36DC1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2F31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0DD7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BF6A2C"/>
    <w:rsid w:val="00BF6C40"/>
    <w:rsid w:val="00C00D18"/>
    <w:rsid w:val="00C03B8D"/>
    <w:rsid w:val="00C0428C"/>
    <w:rsid w:val="00C04532"/>
    <w:rsid w:val="00C04E29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0133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147A"/>
    <w:rsid w:val="00CB285C"/>
    <w:rsid w:val="00CB4BD0"/>
    <w:rsid w:val="00CB6234"/>
    <w:rsid w:val="00CB62CB"/>
    <w:rsid w:val="00CB7A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42AE"/>
    <w:rsid w:val="00CF6654"/>
    <w:rsid w:val="00CF6F66"/>
    <w:rsid w:val="00CF7E12"/>
    <w:rsid w:val="00D020F4"/>
    <w:rsid w:val="00D04391"/>
    <w:rsid w:val="00D05769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3A4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3B30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B1D"/>
    <w:rsid w:val="00DC40E8"/>
    <w:rsid w:val="00DC77AA"/>
    <w:rsid w:val="00DD0981"/>
    <w:rsid w:val="00DD369B"/>
    <w:rsid w:val="00DD3824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3E8"/>
    <w:rsid w:val="00E16539"/>
    <w:rsid w:val="00E16650"/>
    <w:rsid w:val="00E20BEE"/>
    <w:rsid w:val="00E245D5"/>
    <w:rsid w:val="00E31C35"/>
    <w:rsid w:val="00E332E8"/>
    <w:rsid w:val="00E33B8F"/>
    <w:rsid w:val="00E40624"/>
    <w:rsid w:val="00E408BF"/>
    <w:rsid w:val="00E41D30"/>
    <w:rsid w:val="00E4329F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6A5A"/>
    <w:rsid w:val="00E873C2"/>
    <w:rsid w:val="00E94720"/>
    <w:rsid w:val="00E94A6B"/>
    <w:rsid w:val="00E9535F"/>
    <w:rsid w:val="00E95B0F"/>
    <w:rsid w:val="00E95CC4"/>
    <w:rsid w:val="00E96E8E"/>
    <w:rsid w:val="00E9732D"/>
    <w:rsid w:val="00EA0BB5"/>
    <w:rsid w:val="00EA2CE4"/>
    <w:rsid w:val="00EA48D0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1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3AE"/>
    <w:rsid w:val="00EE25EA"/>
    <w:rsid w:val="00EE276D"/>
    <w:rsid w:val="00EE2AF3"/>
    <w:rsid w:val="00EE34B6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4BC2"/>
    <w:rsid w:val="00F16057"/>
    <w:rsid w:val="00F16324"/>
    <w:rsid w:val="00F2022C"/>
    <w:rsid w:val="00F20FE5"/>
    <w:rsid w:val="00F228D0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168C"/>
    <w:rsid w:val="00F525A9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46C8"/>
    <w:rsid w:val="00FD554D"/>
    <w:rsid w:val="00FD5B24"/>
    <w:rsid w:val="00FE1231"/>
    <w:rsid w:val="00FE1734"/>
    <w:rsid w:val="00FE30C5"/>
    <w:rsid w:val="00FE31E9"/>
    <w:rsid w:val="00FE362B"/>
    <w:rsid w:val="00FE37EF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FBDA-4C42-41CB-B817-625C2107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4629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2</cp:revision>
  <cp:lastPrinted>2010-05-04T03:47:00Z</cp:lastPrinted>
  <dcterms:created xsi:type="dcterms:W3CDTF">2016-09-12T19:13:00Z</dcterms:created>
  <dcterms:modified xsi:type="dcterms:W3CDTF">2016-09-12T19:13:00Z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-1991523336</vt:i4>
  </property>
  <property fmtid="{D5CDD505-2E9C-101B-9397-08002B2CF9AE}" pid="3" name="_NewReviewCycle">
    <vt:lpwstr/>
  </property>
  <property fmtid="{D5CDD505-2E9C-101B-9397-08002B2CF9AE}" pid="4" name="_EmailSubject">
    <vt:lpwstr>Comment resolution 11ax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