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D53325" w:rsidP="00D70046">
            <w:pPr>
              <w:pStyle w:val="T2"/>
            </w:pPr>
            <w:r>
              <w:rPr>
                <w:lang w:eastAsia="ko-KR"/>
              </w:rPr>
              <w:t>11ax D0.</w:t>
            </w:r>
            <w:r w:rsidR="00D70046">
              <w:rPr>
                <w:lang w:eastAsia="ko-KR"/>
              </w:rPr>
              <w:t>3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A90D8E">
              <w:rPr>
                <w:lang w:eastAsia="ko-KR"/>
              </w:rPr>
              <w:t>CID 995, 2597, 2584</w:t>
            </w:r>
          </w:p>
        </w:tc>
      </w:tr>
      <w:tr w:rsidR="00C723BC" w:rsidRPr="00183F4C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53325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5F64B5">
              <w:rPr>
                <w:b w:val="0"/>
                <w:sz w:val="20"/>
                <w:lang w:eastAsia="ko-KR"/>
              </w:rPr>
              <w:t>08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F64B5">
              <w:rPr>
                <w:b w:val="0"/>
                <w:sz w:val="20"/>
                <w:lang w:eastAsia="ko-KR"/>
              </w:rPr>
              <w:t>29</w:t>
            </w:r>
            <w:bookmarkStart w:id="0" w:name="_GoBack"/>
            <w:bookmarkEnd w:id="0"/>
          </w:p>
        </w:tc>
      </w:tr>
      <w:tr w:rsidR="00C723BC" w:rsidRPr="00183F4C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B034CE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B034CE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034CE" w:rsidRPr="00B034C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B98435" wp14:editId="4111B52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856" w:rsidRDefault="00DF685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90D8E" w:rsidRDefault="00DF685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D70046">
                              <w:rPr>
                                <w:lang w:eastAsia="ko-KR"/>
                              </w:rPr>
                              <w:t>0.3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  <w:r w:rsidR="00A90D8E">
                              <w:rPr>
                                <w:lang w:eastAsia="ko-KR"/>
                              </w:rPr>
                              <w:t xml:space="preserve"> 995,</w:t>
                            </w:r>
                            <w:r w:rsidR="00D70046">
                              <w:rPr>
                                <w:lang w:eastAsia="ko-KR"/>
                              </w:rPr>
                              <w:t xml:space="preserve"> 2597, </w:t>
                            </w:r>
                            <w:proofErr w:type="gramStart"/>
                            <w:r w:rsidR="00D70046">
                              <w:rPr>
                                <w:lang w:eastAsia="ko-KR"/>
                              </w:rPr>
                              <w:t>2584</w:t>
                            </w:r>
                            <w:proofErr w:type="gramEnd"/>
                            <w:r w:rsidR="00A90D8E"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:rsidR="00DF6856" w:rsidRDefault="00DF6856" w:rsidP="006A40FB">
                            <w:pPr>
                              <w:jc w:val="both"/>
                            </w:pPr>
                          </w:p>
                          <w:p w:rsidR="00DF6856" w:rsidRDefault="00DF6856" w:rsidP="006A40FB">
                            <w:pPr>
                              <w:jc w:val="both"/>
                            </w:pPr>
                          </w:p>
                          <w:p w:rsidR="00DF6856" w:rsidRDefault="00DF6856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DF6856" w:rsidRDefault="00DF6856" w:rsidP="006A40FB">
                            <w:pPr>
                              <w:jc w:val="both"/>
                            </w:pPr>
                          </w:p>
                          <w:p w:rsidR="00DF6856" w:rsidRDefault="00DF6856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:rsidR="00951E08" w:rsidRDefault="00951E08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</w:p>
                          <w:p w:rsidR="00DF6856" w:rsidRDefault="00DF6856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984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DF6856" w:rsidRDefault="00DF685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90D8E" w:rsidRDefault="00DF685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D70046">
                        <w:rPr>
                          <w:lang w:eastAsia="ko-KR"/>
                        </w:rPr>
                        <w:t>0.3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  <w:r w:rsidR="00A90D8E">
                        <w:rPr>
                          <w:lang w:eastAsia="ko-KR"/>
                        </w:rPr>
                        <w:t xml:space="preserve"> 995,</w:t>
                      </w:r>
                      <w:r w:rsidR="00D70046">
                        <w:rPr>
                          <w:lang w:eastAsia="ko-KR"/>
                        </w:rPr>
                        <w:t xml:space="preserve"> 2597, </w:t>
                      </w:r>
                      <w:proofErr w:type="gramStart"/>
                      <w:r w:rsidR="00D70046">
                        <w:rPr>
                          <w:lang w:eastAsia="ko-KR"/>
                        </w:rPr>
                        <w:t>2584</w:t>
                      </w:r>
                      <w:proofErr w:type="gramEnd"/>
                      <w:r w:rsidR="00A90D8E">
                        <w:rPr>
                          <w:lang w:eastAsia="ko-KR"/>
                        </w:rPr>
                        <w:t xml:space="preserve"> </w:t>
                      </w:r>
                    </w:p>
                    <w:p w:rsidR="00DF6856" w:rsidRDefault="00DF6856" w:rsidP="006A40FB">
                      <w:pPr>
                        <w:jc w:val="both"/>
                      </w:pPr>
                    </w:p>
                    <w:p w:rsidR="00DF6856" w:rsidRDefault="00DF6856" w:rsidP="006A40FB">
                      <w:pPr>
                        <w:jc w:val="both"/>
                      </w:pPr>
                    </w:p>
                    <w:p w:rsidR="00DF6856" w:rsidRDefault="00DF6856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:rsidR="00DF6856" w:rsidRDefault="00DF6856" w:rsidP="006A40FB">
                      <w:pPr>
                        <w:jc w:val="both"/>
                      </w:pPr>
                    </w:p>
                    <w:p w:rsidR="00DF6856" w:rsidRDefault="00DF6856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:rsidR="00951E08" w:rsidRDefault="00951E08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</w:p>
                    <w:p w:rsidR="00DF6856" w:rsidRDefault="00DF6856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FE54BD">
        <w:rPr>
          <w:lang w:eastAsia="ko-KR"/>
        </w:rPr>
        <w:t>x</w:t>
      </w:r>
      <w:proofErr w:type="spellEnd"/>
      <w:r w:rsidR="00FE54BD">
        <w:rPr>
          <w:lang w:eastAsia="ko-KR"/>
        </w:rPr>
        <w:t xml:space="preserve"> D0.</w:t>
      </w:r>
      <w:r w:rsidR="002C2E30">
        <w:rPr>
          <w:lang w:eastAsia="ko-KR"/>
        </w:rPr>
        <w:t>3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E54BD">
        <w:rPr>
          <w:b/>
          <w:bCs/>
          <w:i/>
          <w:iCs/>
          <w:lang w:eastAsia="ko-KR"/>
        </w:rPr>
        <w:t>D0.</w:t>
      </w:r>
      <w:r w:rsidR="00D70046">
        <w:rPr>
          <w:b/>
          <w:bCs/>
          <w:i/>
          <w:iCs/>
          <w:lang w:eastAsia="ko-KR"/>
        </w:rPr>
        <w:t>3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541"/>
        <w:gridCol w:w="1080"/>
        <w:gridCol w:w="630"/>
        <w:gridCol w:w="990"/>
        <w:gridCol w:w="2875"/>
        <w:gridCol w:w="1613"/>
        <w:gridCol w:w="3219"/>
      </w:tblGrid>
      <w:tr w:rsidR="00EC662D" w:rsidRPr="0043413E" w:rsidTr="00677427">
        <w:trPr>
          <w:trHeight w:val="373"/>
        </w:trPr>
        <w:tc>
          <w:tcPr>
            <w:tcW w:w="541" w:type="dxa"/>
          </w:tcPr>
          <w:p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80" w:type="dxa"/>
          </w:tcPr>
          <w:p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630" w:type="dxa"/>
          </w:tcPr>
          <w:p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90" w:type="dxa"/>
          </w:tcPr>
          <w:p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13" w:type="dxa"/>
          </w:tcPr>
          <w:p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19" w:type="dxa"/>
          </w:tcPr>
          <w:p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6B5656" w:rsidRPr="00F74EB9" w:rsidTr="00677427">
        <w:trPr>
          <w:trHeight w:val="1002"/>
        </w:trPr>
        <w:tc>
          <w:tcPr>
            <w:tcW w:w="541" w:type="dxa"/>
          </w:tcPr>
          <w:p w:rsidR="006B5656" w:rsidRPr="00A90D8E" w:rsidRDefault="006B5656" w:rsidP="00A90D8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>995</w:t>
            </w:r>
          </w:p>
        </w:tc>
        <w:tc>
          <w:tcPr>
            <w:tcW w:w="1080" w:type="dxa"/>
          </w:tcPr>
          <w:p w:rsidR="006B5656" w:rsidRPr="00A90D8E" w:rsidRDefault="006B5656" w:rsidP="00A90D8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proofErr w:type="spellStart"/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>kaiying</w:t>
            </w:r>
            <w:proofErr w:type="spellEnd"/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>Lv</w:t>
            </w:r>
            <w:proofErr w:type="spellEnd"/>
          </w:p>
        </w:tc>
        <w:tc>
          <w:tcPr>
            <w:tcW w:w="630" w:type="dxa"/>
          </w:tcPr>
          <w:p w:rsidR="006B5656" w:rsidRPr="00A90D8E" w:rsidRDefault="006B5656" w:rsidP="00A90D8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>41.36</w:t>
            </w:r>
          </w:p>
        </w:tc>
        <w:tc>
          <w:tcPr>
            <w:tcW w:w="990" w:type="dxa"/>
          </w:tcPr>
          <w:p w:rsidR="006B5656" w:rsidRPr="00A90D8E" w:rsidRDefault="006B5656" w:rsidP="00A90D8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>10.3.2.8a.3</w:t>
            </w:r>
          </w:p>
        </w:tc>
        <w:tc>
          <w:tcPr>
            <w:tcW w:w="2875" w:type="dxa"/>
          </w:tcPr>
          <w:p w:rsidR="006B5656" w:rsidRPr="00A90D8E" w:rsidRDefault="006B5656" w:rsidP="00A90D8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>CTS response to MU-RTS should be further clarified</w:t>
            </w:r>
          </w:p>
        </w:tc>
        <w:tc>
          <w:tcPr>
            <w:tcW w:w="1613" w:type="dxa"/>
          </w:tcPr>
          <w:p w:rsidR="006B5656" w:rsidRPr="00A90D8E" w:rsidRDefault="006B5656" w:rsidP="00A90D8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>Comment resolution and supporting PPT will be provided</w:t>
            </w:r>
          </w:p>
        </w:tc>
        <w:tc>
          <w:tcPr>
            <w:tcW w:w="3219" w:type="dxa"/>
          </w:tcPr>
          <w:p w:rsidR="006B5656" w:rsidRDefault="006772AB" w:rsidP="00A25CA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Revised</w:t>
            </w:r>
            <w:r w:rsidR="00006414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–</w:t>
            </w:r>
          </w:p>
          <w:p w:rsidR="006772AB" w:rsidRDefault="006772AB" w:rsidP="00A25CA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:rsidR="00006414" w:rsidRDefault="006772AB" w:rsidP="006772A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Agree in principle with the commenter. </w:t>
            </w:r>
            <w:r w:rsidR="00006414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After offline discussion, the concern of the author is already addressed in </w:t>
            </w:r>
            <w:hyperlink r:id="rId8" w:history="1">
              <w:r w:rsidR="00006414" w:rsidRPr="0032294C">
                <w:rPr>
                  <w:rStyle w:val="Hyperlink"/>
                  <w:rFonts w:ascii="Calibri" w:hAnsi="Calibri"/>
                  <w:bCs/>
                  <w:sz w:val="16"/>
                  <w:szCs w:val="16"/>
                  <w:lang w:eastAsia="ko-KR"/>
                </w:rPr>
                <w:t>16/807r2</w:t>
              </w:r>
            </w:hyperlink>
            <w:r w:rsidR="00006414">
              <w:rPr>
                <w:rFonts w:ascii="Calibri" w:hAnsi="Calibri"/>
                <w:bCs/>
                <w:sz w:val="16"/>
                <w:szCs w:val="16"/>
                <w:lang w:eastAsia="ko-KR"/>
              </w:rPr>
              <w:t>.</w:t>
            </w:r>
          </w:p>
          <w:p w:rsidR="006772AB" w:rsidRDefault="006772AB" w:rsidP="00A25CA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:rsidR="006772AB" w:rsidRPr="00A25CAE" w:rsidRDefault="006772AB" w:rsidP="00A25CA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6772AB">
              <w:rPr>
                <w:rFonts w:ascii="Calibri" w:hAnsi="Calibri"/>
                <w:bCs/>
                <w:sz w:val="16"/>
                <w:szCs w:val="16"/>
                <w:lang w:eastAsia="ko-KR"/>
              </w:rPr>
              <w:t>Specifically, the format of responding CTS</w:t>
            </w: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, </w:t>
            </w:r>
            <w:r w:rsidRPr="006772AB">
              <w:rPr>
                <w:rFonts w:ascii="Calibri" w:hAnsi="Calibri"/>
                <w:bCs/>
                <w:sz w:val="16"/>
                <w:szCs w:val="16"/>
                <w:lang w:eastAsia="ko-KR"/>
              </w:rPr>
              <w:t>the bandwidth of responding CTS</w:t>
            </w: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, and </w:t>
            </w:r>
            <w:r w:rsidRPr="00A25CAE">
              <w:rPr>
                <w:rFonts w:ascii="Calibri" w:hAnsi="Calibri"/>
                <w:bCs/>
                <w:sz w:val="16"/>
                <w:szCs w:val="16"/>
                <w:lang w:eastAsia="ko-KR"/>
              </w:rPr>
              <w:t>the RU indication for CTS response bandwidth are clarified.</w:t>
            </w:r>
          </w:p>
          <w:p w:rsidR="006772AB" w:rsidRPr="00A25CAE" w:rsidRDefault="006772AB" w:rsidP="00A25CA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:rsidR="006772AB" w:rsidRDefault="006772AB" w:rsidP="00A25CA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proofErr w:type="spellStart"/>
            <w:r w:rsidRPr="00A25CAE">
              <w:rPr>
                <w:rFonts w:ascii="Calibri" w:hAnsi="Calibri"/>
                <w:bCs/>
                <w:sz w:val="16"/>
                <w:szCs w:val="16"/>
                <w:lang w:eastAsia="ko-KR"/>
              </w:rPr>
              <w:t>TGax</w:t>
            </w:r>
            <w:proofErr w:type="spellEnd"/>
            <w:r w:rsidRPr="00A25CAE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editor to make the changes shown in 11-16/0807r2 under all headings that include CID 13, 1727, 2428.</w:t>
            </w:r>
          </w:p>
          <w:p w:rsidR="006772AB" w:rsidRDefault="006772AB" w:rsidP="00006414">
            <w:pPr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:rsidR="006772AB" w:rsidRPr="00A90D8E" w:rsidRDefault="006772AB" w:rsidP="00006414">
            <w:pPr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</w:tc>
      </w:tr>
      <w:tr w:rsidR="00006414" w:rsidRPr="00F74EB9" w:rsidTr="00677427">
        <w:trPr>
          <w:trHeight w:val="1002"/>
        </w:trPr>
        <w:tc>
          <w:tcPr>
            <w:tcW w:w="541" w:type="dxa"/>
          </w:tcPr>
          <w:p w:rsidR="00006414" w:rsidRPr="00A90D8E" w:rsidRDefault="00006414" w:rsidP="00006414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>2584</w:t>
            </w:r>
          </w:p>
        </w:tc>
        <w:tc>
          <w:tcPr>
            <w:tcW w:w="1080" w:type="dxa"/>
          </w:tcPr>
          <w:p w:rsidR="00006414" w:rsidRPr="00A90D8E" w:rsidRDefault="00006414" w:rsidP="00006414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>Young Hoon Kwon</w:t>
            </w:r>
          </w:p>
        </w:tc>
        <w:tc>
          <w:tcPr>
            <w:tcW w:w="630" w:type="dxa"/>
          </w:tcPr>
          <w:p w:rsidR="00006414" w:rsidRPr="00A90D8E" w:rsidRDefault="00006414" w:rsidP="00006414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>20.30</w:t>
            </w:r>
          </w:p>
          <w:p w:rsidR="00006414" w:rsidRPr="00A90D8E" w:rsidRDefault="00006414" w:rsidP="00006414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990" w:type="dxa"/>
          </w:tcPr>
          <w:p w:rsidR="00006414" w:rsidRPr="00A90D8E" w:rsidRDefault="00006414" w:rsidP="00006414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>9.3.1.23</w:t>
            </w:r>
          </w:p>
          <w:p w:rsidR="00006414" w:rsidRPr="00A90D8E" w:rsidRDefault="00006414" w:rsidP="00006414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2875" w:type="dxa"/>
          </w:tcPr>
          <w:p w:rsidR="00006414" w:rsidRPr="00A90D8E" w:rsidRDefault="00006414" w:rsidP="00006414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>Response to a Trigger frame can be not only in Trigger based PPDU format but also in other PPDU format. For example, in case MU-RTS is transmitted, the response frame will most likely be in non-HT (duplicate) frame format. Therefore, how to set HE-SIG-A Info field in case the response frame is not in Trigger based PPDU format shall be described.</w:t>
            </w:r>
          </w:p>
        </w:tc>
        <w:tc>
          <w:tcPr>
            <w:tcW w:w="1613" w:type="dxa"/>
          </w:tcPr>
          <w:p w:rsidR="00006414" w:rsidRPr="00A90D8E" w:rsidRDefault="00006414" w:rsidP="00006414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>Two possible solutions are available: (</w:t>
            </w:r>
            <w:proofErr w:type="spellStart"/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>i</w:t>
            </w:r>
            <w:proofErr w:type="spellEnd"/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) Move contents of HE-SIG-A Info subfield to Trigger Dependent Common Info subfield. Or, (ii) Set HE-SIG-A Info subfield to a default value in case the Trigger frame solicits a response frame in </w:t>
            </w:r>
            <w:proofErr w:type="spellStart"/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>non Trigger</w:t>
            </w:r>
            <w:proofErr w:type="spellEnd"/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based PPDU.</w:t>
            </w:r>
          </w:p>
        </w:tc>
        <w:tc>
          <w:tcPr>
            <w:tcW w:w="3219" w:type="dxa"/>
          </w:tcPr>
          <w:p w:rsidR="00006414" w:rsidRDefault="006772AB" w:rsidP="00006414">
            <w:pPr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Revised –</w:t>
            </w:r>
          </w:p>
          <w:p w:rsidR="00006414" w:rsidRDefault="00006414" w:rsidP="006772A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:rsidR="002C2E30" w:rsidRPr="002C2E30" w:rsidRDefault="006772AB" w:rsidP="00A25CA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Agree in principle with the commenter. </w:t>
            </w:r>
            <w:r w:rsidR="002C2E30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As discussed in </w:t>
            </w:r>
            <w:hyperlink r:id="rId9" w:history="1">
              <w:r w:rsidR="002C2E30" w:rsidRPr="0032294C">
                <w:rPr>
                  <w:rStyle w:val="Hyperlink"/>
                  <w:rFonts w:ascii="Calibri" w:hAnsi="Calibri"/>
                  <w:bCs/>
                  <w:sz w:val="16"/>
                  <w:szCs w:val="16"/>
                  <w:lang w:eastAsia="ko-KR"/>
                </w:rPr>
                <w:t>16/808r2</w:t>
              </w:r>
            </w:hyperlink>
            <w:r w:rsidR="002C2E30" w:rsidRPr="002C2E30">
              <w:rPr>
                <w:rFonts w:ascii="Calibri" w:hAnsi="Calibri"/>
                <w:bCs/>
                <w:sz w:val="16"/>
                <w:szCs w:val="16"/>
                <w:lang w:eastAsia="ko-KR"/>
              </w:rPr>
              <w:t>, CTS solicited by MU-RTS shall be carried in non-HT or non-HT duplicate PPDU. Hence, the subfields in MU-RTS used to solicit HE trigger-based PPDU are not used by the MU-RTS and is treated as reserved.</w:t>
            </w:r>
          </w:p>
          <w:p w:rsidR="00006414" w:rsidRDefault="00006414" w:rsidP="00A25CA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:rsidR="00A25CAE" w:rsidRPr="00A25CAE" w:rsidRDefault="00A25CAE" w:rsidP="00A25CA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proofErr w:type="spellStart"/>
            <w:r w:rsidRPr="00A25CAE">
              <w:rPr>
                <w:rFonts w:ascii="Calibri" w:hAnsi="Calibri"/>
                <w:bCs/>
                <w:sz w:val="16"/>
                <w:szCs w:val="16"/>
                <w:lang w:eastAsia="ko-KR"/>
              </w:rPr>
              <w:t>TGax</w:t>
            </w:r>
            <w:proofErr w:type="spellEnd"/>
            <w:r w:rsidRPr="00A25CAE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editor to make the changes shown in 11-16/0808r2 under all headings that include CID 2222.</w:t>
            </w:r>
          </w:p>
          <w:p w:rsidR="00A25CAE" w:rsidRPr="00A90D8E" w:rsidRDefault="00A25CAE" w:rsidP="00006414">
            <w:pPr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</w:tc>
      </w:tr>
      <w:tr w:rsidR="006B5656" w:rsidRPr="00F74EB9" w:rsidTr="00677427">
        <w:trPr>
          <w:trHeight w:val="1002"/>
        </w:trPr>
        <w:tc>
          <w:tcPr>
            <w:tcW w:w="541" w:type="dxa"/>
          </w:tcPr>
          <w:p w:rsidR="006B5656" w:rsidRPr="00A90D8E" w:rsidRDefault="006B5656" w:rsidP="00A90D8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>2597</w:t>
            </w:r>
          </w:p>
        </w:tc>
        <w:tc>
          <w:tcPr>
            <w:tcW w:w="1080" w:type="dxa"/>
          </w:tcPr>
          <w:p w:rsidR="006B5656" w:rsidRPr="00A90D8E" w:rsidRDefault="006B5656" w:rsidP="00A90D8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>Young Hoon Kwon</w:t>
            </w:r>
          </w:p>
        </w:tc>
        <w:tc>
          <w:tcPr>
            <w:tcW w:w="630" w:type="dxa"/>
          </w:tcPr>
          <w:p w:rsidR="006B5656" w:rsidRPr="00A90D8E" w:rsidRDefault="006B5656" w:rsidP="00A90D8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>39.39</w:t>
            </w:r>
          </w:p>
        </w:tc>
        <w:tc>
          <w:tcPr>
            <w:tcW w:w="990" w:type="dxa"/>
          </w:tcPr>
          <w:p w:rsidR="006B5656" w:rsidRPr="00A90D8E" w:rsidRDefault="006B5656" w:rsidP="00A90D8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>10.3.2.1</w:t>
            </w:r>
          </w:p>
        </w:tc>
        <w:tc>
          <w:tcPr>
            <w:tcW w:w="2875" w:type="dxa"/>
          </w:tcPr>
          <w:p w:rsidR="006B5656" w:rsidRPr="00A90D8E" w:rsidRDefault="006B5656" w:rsidP="00A90D8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>TXOP duration information is included in HE-SIG-A field. However, in some cases Duration/ID field in the MAC header is not used for "Duration</w:t>
            </w:r>
            <w:proofErr w:type="gramStart"/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>"  but</w:t>
            </w:r>
            <w:proofErr w:type="gramEnd"/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for other purposes. One example is PS-Poll frame, in which case the Duration/ID field is used to indicate AID information. In this case, TXOP duration information in HE-SIG-A field shall indicate Duration information, not the AID information.</w:t>
            </w:r>
          </w:p>
        </w:tc>
        <w:tc>
          <w:tcPr>
            <w:tcW w:w="1613" w:type="dxa"/>
          </w:tcPr>
          <w:p w:rsidR="006B5656" w:rsidRPr="00A90D8E" w:rsidRDefault="006B5656" w:rsidP="00A90D8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At the end of the second paragraph of 10.3.2.4 of REVmc_D5.2, add the following text: "The TXOP Duration sub-field in HE-SIG-A field of a PS-Poll frame in HE PPDU format shall be set to a duration value equal to the time required to transmit one </w:t>
            </w:r>
            <w:proofErr w:type="spellStart"/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>Ack</w:t>
            </w:r>
            <w:proofErr w:type="spellEnd"/>
            <w:r w:rsidRPr="00A90D8E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frame plus one SIFS."</w:t>
            </w:r>
          </w:p>
        </w:tc>
        <w:tc>
          <w:tcPr>
            <w:tcW w:w="3219" w:type="dxa"/>
          </w:tcPr>
          <w:p w:rsidR="00A25CAE" w:rsidRDefault="00A25CAE" w:rsidP="00A25CAE">
            <w:pPr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Revised –</w:t>
            </w:r>
          </w:p>
          <w:p w:rsidR="00A25CAE" w:rsidRDefault="00A25CAE" w:rsidP="00A25CAE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:rsidR="002C2E30" w:rsidRDefault="00A25CAE" w:rsidP="00A25CAE">
            <w:pPr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Agree in principle with the commenter that the setting rule of TXOP duration field when the HE PPDU carries PS-Poll should be clarified. </w:t>
            </w:r>
            <w:r w:rsidR="002C2E30" w:rsidRPr="002C2E30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As discussed in </w:t>
            </w:r>
            <w:hyperlink r:id="rId10" w:history="1">
              <w:r w:rsidR="002C2E30" w:rsidRPr="0032294C">
                <w:rPr>
                  <w:rStyle w:val="Hyperlink"/>
                  <w:rFonts w:ascii="Calibri" w:hAnsi="Calibri"/>
                  <w:bCs/>
                  <w:sz w:val="16"/>
                  <w:szCs w:val="16"/>
                  <w:lang w:eastAsia="ko-KR"/>
                </w:rPr>
                <w:t>16/951r0</w:t>
              </w:r>
            </w:hyperlink>
            <w:r w:rsidR="002C2E30" w:rsidRPr="002C2E30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and </w:t>
            </w:r>
            <w:hyperlink r:id="rId11" w:history="1">
              <w:r w:rsidR="002C2E30" w:rsidRPr="0032294C">
                <w:rPr>
                  <w:rStyle w:val="Hyperlink"/>
                  <w:rFonts w:ascii="Calibri" w:hAnsi="Calibri"/>
                  <w:bCs/>
                  <w:sz w:val="16"/>
                  <w:szCs w:val="16"/>
                  <w:lang w:eastAsia="ko-KR"/>
                </w:rPr>
                <w:t>16/953r2</w:t>
              </w:r>
            </w:hyperlink>
            <w:r w:rsidR="002C2E30" w:rsidRPr="002C2E30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, if a STA transmits </w:t>
            </w:r>
            <w:proofErr w:type="spellStart"/>
            <w:r w:rsidR="002C2E30" w:rsidRPr="002C2E30">
              <w:rPr>
                <w:rFonts w:ascii="Calibri" w:hAnsi="Calibri"/>
                <w:bCs/>
                <w:sz w:val="16"/>
                <w:szCs w:val="16"/>
                <w:lang w:eastAsia="ko-KR"/>
              </w:rPr>
              <w:t>an</w:t>
            </w:r>
            <w:proofErr w:type="spellEnd"/>
            <w:r w:rsidR="002C2E30" w:rsidRPr="002C2E30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HE SU PPDU, HE extended range PPDU, or HE MU PPDU that carries a PS-Poll frame, the STA shall set the TXVECTOR parameter TXOP_DURATION to all 1s.</w:t>
            </w: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</w:t>
            </w:r>
          </w:p>
          <w:p w:rsidR="00A25CAE" w:rsidRDefault="00A25CAE" w:rsidP="00A25CAE">
            <w:pPr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:rsidR="00A25CAE" w:rsidRPr="002C2E30" w:rsidRDefault="00A25CAE" w:rsidP="00A25CAE">
            <w:pPr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As a result, if the PS-Poll is decoded, then legacy NAV setting rule can be used to provide more accurate NAV setting than TXOP Duration field. If the PS-Poll is not decoded, then EIFS can be used </w:t>
            </w:r>
            <w:r w:rsidR="0032294C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if TXOP </w:t>
            </w:r>
            <w:r w:rsidR="0032294C">
              <w:rPr>
                <w:rFonts w:ascii="Calibri" w:hAnsi="Calibri"/>
                <w:bCs/>
                <w:sz w:val="16"/>
                <w:szCs w:val="16"/>
                <w:lang w:eastAsia="ko-KR"/>
              </w:rPr>
              <w:lastRenderedPageBreak/>
              <w:t xml:space="preserve">Duration field is decoded </w:t>
            </w: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as discussed in 16/835r1.  </w:t>
            </w:r>
          </w:p>
          <w:p w:rsidR="002C2E30" w:rsidRDefault="002C2E30" w:rsidP="00A90D8E">
            <w:pPr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:rsidR="002C2E30" w:rsidRDefault="002C2E30" w:rsidP="00A90D8E">
            <w:pPr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Hence, the setting of TXOP Duration fie</w:t>
            </w:r>
            <w:r w:rsidR="00241049">
              <w:rPr>
                <w:rFonts w:ascii="Calibri" w:hAnsi="Calibri"/>
                <w:bCs/>
                <w:sz w:val="16"/>
                <w:szCs w:val="16"/>
                <w:lang w:eastAsia="ko-KR"/>
              </w:rPr>
              <w:t>ld for a HE PPDU carried PS-Poll</w:t>
            </w: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frame is addressed.</w:t>
            </w:r>
          </w:p>
          <w:p w:rsidR="002C2E30" w:rsidRDefault="002C2E30" w:rsidP="00A90D8E">
            <w:pPr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:rsidR="00A25CAE" w:rsidRPr="00A90D8E" w:rsidRDefault="00A25CAE" w:rsidP="00A90D8E">
            <w:pPr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proofErr w:type="spellStart"/>
            <w:r w:rsidRPr="00A25CAE">
              <w:rPr>
                <w:rFonts w:ascii="Calibri" w:hAnsi="Calibri"/>
                <w:bCs/>
                <w:sz w:val="16"/>
                <w:szCs w:val="16"/>
                <w:lang w:eastAsia="ko-KR"/>
              </w:rPr>
              <w:t>TGax</w:t>
            </w:r>
            <w:proofErr w:type="spellEnd"/>
            <w:r w:rsidRPr="00A25CAE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editor to make</w:t>
            </w: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the changes shown in 11-16/0953</w:t>
            </w:r>
            <w:r w:rsidRPr="00A25CAE">
              <w:rPr>
                <w:rFonts w:ascii="Calibri" w:hAnsi="Calibri"/>
                <w:bCs/>
                <w:sz w:val="16"/>
                <w:szCs w:val="16"/>
                <w:lang w:eastAsia="ko-KR"/>
              </w:rPr>
              <w:t>r2</w:t>
            </w: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.</w:t>
            </w:r>
          </w:p>
        </w:tc>
      </w:tr>
    </w:tbl>
    <w:p w:rsidR="005A4504" w:rsidRDefault="005A4504" w:rsidP="005A4504">
      <w:pPr>
        <w:rPr>
          <w:szCs w:val="22"/>
          <w:lang w:eastAsia="ko-KR"/>
        </w:rPr>
      </w:pPr>
    </w:p>
    <w:p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</w:p>
    <w:p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:rsidR="0032294C" w:rsidRDefault="0032294C" w:rsidP="001F0465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Note that document </w:t>
      </w:r>
      <w:r w:rsidRPr="0032294C">
        <w:rPr>
          <w:rFonts w:ascii="TimesNewRomanPSMT" w:hAnsi="TimesNewRomanPSMT"/>
          <w:color w:val="000000"/>
          <w:sz w:val="20"/>
        </w:rPr>
        <w:t>11-16/0807r2, 11-16/0808r2, and 11-16/0953r2 have been agree</w:t>
      </w:r>
      <w:r w:rsidR="00951E08">
        <w:rPr>
          <w:rFonts w:ascii="TimesNewRomanPSMT" w:hAnsi="TimesNewRomanPSMT"/>
          <w:color w:val="000000"/>
          <w:sz w:val="20"/>
        </w:rPr>
        <w:t xml:space="preserve">d by the group in July IEEE F2F (see </w:t>
      </w:r>
      <w:hyperlink r:id="rId12" w:history="1">
        <w:r w:rsidR="00951E08" w:rsidRPr="00951E08">
          <w:rPr>
            <w:rStyle w:val="Hyperlink"/>
            <w:rFonts w:ascii="TimesNewRomanPSMT" w:hAnsi="TimesNewRomanPSMT"/>
            <w:sz w:val="20"/>
          </w:rPr>
          <w:t>16/779r6</w:t>
        </w:r>
      </w:hyperlink>
      <w:r w:rsidR="00951E08">
        <w:rPr>
          <w:rFonts w:ascii="TimesNewRomanPSMT" w:hAnsi="TimesNewRomanPSMT"/>
          <w:color w:val="000000"/>
          <w:sz w:val="20"/>
        </w:rPr>
        <w:t>).</w:t>
      </w:r>
    </w:p>
    <w:p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:rsidR="00FF0E49" w:rsidRPr="003E04BA" w:rsidRDefault="00FF0E49" w:rsidP="00FF0E49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06414">
        <w:rPr>
          <w:b/>
          <w:u w:val="single"/>
          <w:lang w:eastAsia="ko-KR"/>
        </w:rPr>
        <w:t xml:space="preserve"> </w:t>
      </w:r>
      <w:r w:rsidR="00006414" w:rsidRPr="00581F39">
        <w:rPr>
          <w:i/>
          <w:u w:val="single"/>
        </w:rPr>
        <w:t>None</w:t>
      </w:r>
    </w:p>
    <w:p w:rsidR="006049B8" w:rsidRPr="006049B8" w:rsidRDefault="006049B8" w:rsidP="000348B1">
      <w:pPr>
        <w:rPr>
          <w:rFonts w:ascii="TimesNewRomanPSMT" w:hAnsi="TimesNewRomanPSMT"/>
          <w:strike/>
          <w:color w:val="000000"/>
          <w:sz w:val="20"/>
          <w:u w:val="single"/>
        </w:rPr>
      </w:pPr>
    </w:p>
    <w:sectPr w:rsidR="006049B8" w:rsidRPr="006049B8" w:rsidSect="00654B3B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EA8" w:rsidRDefault="00412EA8">
      <w:r>
        <w:separator/>
      </w:r>
    </w:p>
  </w:endnote>
  <w:endnote w:type="continuationSeparator" w:id="0">
    <w:p w:rsidR="00412EA8" w:rsidRDefault="0041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856" w:rsidRDefault="00412EA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</w:instrText>
    </w:r>
    <w:r>
      <w:instrText xml:space="preserve">ORMAT </w:instrText>
    </w:r>
    <w:r>
      <w:fldChar w:fldCharType="separate"/>
    </w:r>
    <w:r w:rsidR="00DF6856">
      <w:t>Submission</w:t>
    </w:r>
    <w:r>
      <w:fldChar w:fldCharType="end"/>
    </w:r>
    <w:r w:rsidR="00DF6856">
      <w:tab/>
      <w:t xml:space="preserve">page </w:t>
    </w:r>
    <w:r w:rsidR="00DF6856">
      <w:fldChar w:fldCharType="begin"/>
    </w:r>
    <w:r w:rsidR="00DF6856">
      <w:instrText xml:space="preserve">page </w:instrText>
    </w:r>
    <w:r w:rsidR="00DF6856">
      <w:fldChar w:fldCharType="separate"/>
    </w:r>
    <w:r w:rsidR="005F64B5">
      <w:rPr>
        <w:noProof/>
      </w:rPr>
      <w:t>1</w:t>
    </w:r>
    <w:r w:rsidR="00DF6856">
      <w:rPr>
        <w:noProof/>
      </w:rPr>
      <w:fldChar w:fldCharType="end"/>
    </w:r>
    <w:r w:rsidR="00DF6856">
      <w:tab/>
    </w:r>
    <w:r w:rsidR="00DF6856">
      <w:rPr>
        <w:lang w:eastAsia="ko-KR"/>
      </w:rPr>
      <w:t>Po-Kai Huang</w:t>
    </w:r>
    <w:r w:rsidR="00DF6856">
      <w:t>, Intel Corporation</w:t>
    </w:r>
  </w:p>
  <w:p w:rsidR="00DF6856" w:rsidRDefault="00DF68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EA8" w:rsidRDefault="00412EA8">
      <w:r>
        <w:separator/>
      </w:r>
    </w:p>
  </w:footnote>
  <w:footnote w:type="continuationSeparator" w:id="0">
    <w:p w:rsidR="00412EA8" w:rsidRDefault="00412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856" w:rsidRDefault="0000641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Aug</w:t>
    </w:r>
    <w:r w:rsidR="00DF6856">
      <w:rPr>
        <w:lang w:eastAsia="ko-KR"/>
      </w:rPr>
      <w:t xml:space="preserve"> </w:t>
    </w:r>
    <w:r w:rsidR="00DF6856">
      <w:t>201</w:t>
    </w:r>
    <w:r w:rsidR="00DF6856">
      <w:rPr>
        <w:lang w:eastAsia="ko-KR"/>
      </w:rPr>
      <w:t>6</w:t>
    </w:r>
    <w:r w:rsidR="00DF6856">
      <w:tab/>
    </w:r>
    <w:r w:rsidR="00DF6856">
      <w:tab/>
    </w:r>
    <w:r w:rsidR="00412EA8">
      <w:fldChar w:fldCharType="begin"/>
    </w:r>
    <w:r w:rsidR="00412EA8">
      <w:instrText xml:space="preserve"> TITLE  \* MERGEFORMAT </w:instrText>
    </w:r>
    <w:r w:rsidR="00412EA8">
      <w:fldChar w:fldCharType="separate"/>
    </w:r>
    <w:r w:rsidR="00DF6856">
      <w:t>doc.: IEEE 802.11-16/</w:t>
    </w:r>
    <w:r w:rsidR="005F64B5">
      <w:t>1122</w:t>
    </w:r>
    <w:r w:rsidR="00DF6856">
      <w:t>r</w:t>
    </w:r>
    <w:r w:rsidR="00412EA8">
      <w:fldChar w:fldCharType="end"/>
    </w:r>
    <w:r w:rsidR="00DF6856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414"/>
    <w:rsid w:val="00006DBB"/>
    <w:rsid w:val="0000743C"/>
    <w:rsid w:val="00013F87"/>
    <w:rsid w:val="000157CC"/>
    <w:rsid w:val="00016EF9"/>
    <w:rsid w:val="00017D25"/>
    <w:rsid w:val="000230FB"/>
    <w:rsid w:val="00024344"/>
    <w:rsid w:val="00024487"/>
    <w:rsid w:val="00027D05"/>
    <w:rsid w:val="000348B1"/>
    <w:rsid w:val="000359F2"/>
    <w:rsid w:val="000368C8"/>
    <w:rsid w:val="000405C4"/>
    <w:rsid w:val="00041260"/>
    <w:rsid w:val="000437A5"/>
    <w:rsid w:val="00046AD7"/>
    <w:rsid w:val="0004727F"/>
    <w:rsid w:val="00047A89"/>
    <w:rsid w:val="00052123"/>
    <w:rsid w:val="00061F50"/>
    <w:rsid w:val="00062E86"/>
    <w:rsid w:val="0006732A"/>
    <w:rsid w:val="00073BB4"/>
    <w:rsid w:val="00074BBE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35CD"/>
    <w:rsid w:val="000865AA"/>
    <w:rsid w:val="00086780"/>
    <w:rsid w:val="00090640"/>
    <w:rsid w:val="00092AC6"/>
    <w:rsid w:val="00094FFA"/>
    <w:rsid w:val="000975D0"/>
    <w:rsid w:val="000A2C67"/>
    <w:rsid w:val="000A6161"/>
    <w:rsid w:val="000B1416"/>
    <w:rsid w:val="000B6B24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0096"/>
    <w:rsid w:val="000F2658"/>
    <w:rsid w:val="000F4937"/>
    <w:rsid w:val="000F5088"/>
    <w:rsid w:val="000F5B5A"/>
    <w:rsid w:val="000F685B"/>
    <w:rsid w:val="001015F8"/>
    <w:rsid w:val="00105918"/>
    <w:rsid w:val="001101C2"/>
    <w:rsid w:val="001109AA"/>
    <w:rsid w:val="001129FB"/>
    <w:rsid w:val="00112C6A"/>
    <w:rsid w:val="00115A75"/>
    <w:rsid w:val="00120298"/>
    <w:rsid w:val="001215C0"/>
    <w:rsid w:val="00122D51"/>
    <w:rsid w:val="001230AA"/>
    <w:rsid w:val="00123AE2"/>
    <w:rsid w:val="00124877"/>
    <w:rsid w:val="001248D8"/>
    <w:rsid w:val="001275D7"/>
    <w:rsid w:val="00134114"/>
    <w:rsid w:val="001376CD"/>
    <w:rsid w:val="00137ADC"/>
    <w:rsid w:val="001448D8"/>
    <w:rsid w:val="001450BB"/>
    <w:rsid w:val="0014547E"/>
    <w:rsid w:val="001459E7"/>
    <w:rsid w:val="00151BBE"/>
    <w:rsid w:val="00152B0F"/>
    <w:rsid w:val="00154B26"/>
    <w:rsid w:val="001559BB"/>
    <w:rsid w:val="00160CFE"/>
    <w:rsid w:val="00165844"/>
    <w:rsid w:val="00165BE6"/>
    <w:rsid w:val="00170E8C"/>
    <w:rsid w:val="00172CF4"/>
    <w:rsid w:val="00172DD9"/>
    <w:rsid w:val="001738FD"/>
    <w:rsid w:val="001753FC"/>
    <w:rsid w:val="00175CDF"/>
    <w:rsid w:val="00175DAA"/>
    <w:rsid w:val="0017659B"/>
    <w:rsid w:val="001812B0"/>
    <w:rsid w:val="00181423"/>
    <w:rsid w:val="00183F4C"/>
    <w:rsid w:val="0018437B"/>
    <w:rsid w:val="00186D69"/>
    <w:rsid w:val="00187129"/>
    <w:rsid w:val="0019164F"/>
    <w:rsid w:val="00192C6E"/>
    <w:rsid w:val="001938AD"/>
    <w:rsid w:val="00193C39"/>
    <w:rsid w:val="001943F7"/>
    <w:rsid w:val="00197107"/>
    <w:rsid w:val="001A0EDB"/>
    <w:rsid w:val="001A2240"/>
    <w:rsid w:val="001B0087"/>
    <w:rsid w:val="001B2326"/>
    <w:rsid w:val="001B252D"/>
    <w:rsid w:val="001B2904"/>
    <w:rsid w:val="001B63BC"/>
    <w:rsid w:val="001C0A3E"/>
    <w:rsid w:val="001C52D6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10DDD"/>
    <w:rsid w:val="002125EA"/>
    <w:rsid w:val="00214B50"/>
    <w:rsid w:val="00215A82"/>
    <w:rsid w:val="00215E32"/>
    <w:rsid w:val="0022139A"/>
    <w:rsid w:val="002222A9"/>
    <w:rsid w:val="002239F2"/>
    <w:rsid w:val="00224957"/>
    <w:rsid w:val="00224E19"/>
    <w:rsid w:val="00225508"/>
    <w:rsid w:val="00225570"/>
    <w:rsid w:val="00230D4D"/>
    <w:rsid w:val="002323FE"/>
    <w:rsid w:val="002329AF"/>
    <w:rsid w:val="00234C13"/>
    <w:rsid w:val="002369FD"/>
    <w:rsid w:val="00236A7E"/>
    <w:rsid w:val="0023760F"/>
    <w:rsid w:val="00237985"/>
    <w:rsid w:val="00240895"/>
    <w:rsid w:val="00241049"/>
    <w:rsid w:val="00241AD7"/>
    <w:rsid w:val="002470AC"/>
    <w:rsid w:val="00252D47"/>
    <w:rsid w:val="00255A8B"/>
    <w:rsid w:val="002569BF"/>
    <w:rsid w:val="00261940"/>
    <w:rsid w:val="00263092"/>
    <w:rsid w:val="002639EE"/>
    <w:rsid w:val="002662A5"/>
    <w:rsid w:val="00273257"/>
    <w:rsid w:val="00274BC1"/>
    <w:rsid w:val="00277392"/>
    <w:rsid w:val="00277F6F"/>
    <w:rsid w:val="00281A5D"/>
    <w:rsid w:val="00281D56"/>
    <w:rsid w:val="00282053"/>
    <w:rsid w:val="002825B1"/>
    <w:rsid w:val="002840C6"/>
    <w:rsid w:val="00284C5E"/>
    <w:rsid w:val="00291A10"/>
    <w:rsid w:val="00294B37"/>
    <w:rsid w:val="002A195C"/>
    <w:rsid w:val="002A4A61"/>
    <w:rsid w:val="002B297A"/>
    <w:rsid w:val="002B45C3"/>
    <w:rsid w:val="002C0375"/>
    <w:rsid w:val="002C2E30"/>
    <w:rsid w:val="002C61FC"/>
    <w:rsid w:val="002C66AA"/>
    <w:rsid w:val="002C6B4F"/>
    <w:rsid w:val="002C72E1"/>
    <w:rsid w:val="002D1D40"/>
    <w:rsid w:val="002D518F"/>
    <w:rsid w:val="002D7ED5"/>
    <w:rsid w:val="002E1B18"/>
    <w:rsid w:val="002E39A2"/>
    <w:rsid w:val="002E6FF6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214E2"/>
    <w:rsid w:val="003228F1"/>
    <w:rsid w:val="0032294C"/>
    <w:rsid w:val="00325AB6"/>
    <w:rsid w:val="003308A8"/>
    <w:rsid w:val="00332B0D"/>
    <w:rsid w:val="0034133D"/>
    <w:rsid w:val="003449F9"/>
    <w:rsid w:val="003479E4"/>
    <w:rsid w:val="00347C43"/>
    <w:rsid w:val="00355B7F"/>
    <w:rsid w:val="00360C87"/>
    <w:rsid w:val="00366AF0"/>
    <w:rsid w:val="003713CA"/>
    <w:rsid w:val="003729FC"/>
    <w:rsid w:val="00372FCA"/>
    <w:rsid w:val="003766B9"/>
    <w:rsid w:val="003803EA"/>
    <w:rsid w:val="00382C54"/>
    <w:rsid w:val="0038516A"/>
    <w:rsid w:val="00385654"/>
    <w:rsid w:val="0038601E"/>
    <w:rsid w:val="00387286"/>
    <w:rsid w:val="003906A1"/>
    <w:rsid w:val="003924F8"/>
    <w:rsid w:val="003945E3"/>
    <w:rsid w:val="00395356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079D"/>
    <w:rsid w:val="003B4DAD"/>
    <w:rsid w:val="003B52F2"/>
    <w:rsid w:val="003B76BD"/>
    <w:rsid w:val="003B7BBA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D6C"/>
    <w:rsid w:val="003F3ECD"/>
    <w:rsid w:val="003F496B"/>
    <w:rsid w:val="004014AE"/>
    <w:rsid w:val="00403645"/>
    <w:rsid w:val="004051EE"/>
    <w:rsid w:val="00407C5B"/>
    <w:rsid w:val="00412EA8"/>
    <w:rsid w:val="00421159"/>
    <w:rsid w:val="00430648"/>
    <w:rsid w:val="0043413E"/>
    <w:rsid w:val="00440FF1"/>
    <w:rsid w:val="004417F2"/>
    <w:rsid w:val="00442799"/>
    <w:rsid w:val="00443FBF"/>
    <w:rsid w:val="00444677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2CC3"/>
    <w:rsid w:val="00484A7A"/>
    <w:rsid w:val="004852CC"/>
    <w:rsid w:val="004869A3"/>
    <w:rsid w:val="00486EB3"/>
    <w:rsid w:val="0049468A"/>
    <w:rsid w:val="004A0AF4"/>
    <w:rsid w:val="004A3EA8"/>
    <w:rsid w:val="004B493F"/>
    <w:rsid w:val="004B50E4"/>
    <w:rsid w:val="004B69A0"/>
    <w:rsid w:val="004C0F0A"/>
    <w:rsid w:val="004C12FF"/>
    <w:rsid w:val="004C3C2A"/>
    <w:rsid w:val="004C7919"/>
    <w:rsid w:val="004C7CE0"/>
    <w:rsid w:val="004D031C"/>
    <w:rsid w:val="004D03A1"/>
    <w:rsid w:val="004D071D"/>
    <w:rsid w:val="004D1850"/>
    <w:rsid w:val="004D2D75"/>
    <w:rsid w:val="004D4077"/>
    <w:rsid w:val="004D6BE8"/>
    <w:rsid w:val="004D7188"/>
    <w:rsid w:val="004E2A33"/>
    <w:rsid w:val="004E46DF"/>
    <w:rsid w:val="004E5DBC"/>
    <w:rsid w:val="004E63E6"/>
    <w:rsid w:val="004E6EA4"/>
    <w:rsid w:val="004F0CB7"/>
    <w:rsid w:val="004F4564"/>
    <w:rsid w:val="004F4B21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400AC"/>
    <w:rsid w:val="005409C5"/>
    <w:rsid w:val="0054235E"/>
    <w:rsid w:val="0054425D"/>
    <w:rsid w:val="00547CC9"/>
    <w:rsid w:val="0055459B"/>
    <w:rsid w:val="00554995"/>
    <w:rsid w:val="00554EEF"/>
    <w:rsid w:val="00557272"/>
    <w:rsid w:val="00564AE2"/>
    <w:rsid w:val="00567934"/>
    <w:rsid w:val="005702B6"/>
    <w:rsid w:val="005703A1"/>
    <w:rsid w:val="00571583"/>
    <w:rsid w:val="00572E7A"/>
    <w:rsid w:val="00574AD3"/>
    <w:rsid w:val="00581F39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989"/>
    <w:rsid w:val="005A2ECA"/>
    <w:rsid w:val="005A4504"/>
    <w:rsid w:val="005A5CA8"/>
    <w:rsid w:val="005A685A"/>
    <w:rsid w:val="005B0F8F"/>
    <w:rsid w:val="005B151D"/>
    <w:rsid w:val="005B30C0"/>
    <w:rsid w:val="005B31EA"/>
    <w:rsid w:val="005B34A6"/>
    <w:rsid w:val="005B5EF1"/>
    <w:rsid w:val="005B6C67"/>
    <w:rsid w:val="005C0CBC"/>
    <w:rsid w:val="005C3BD4"/>
    <w:rsid w:val="005C4204"/>
    <w:rsid w:val="005C6823"/>
    <w:rsid w:val="005C7933"/>
    <w:rsid w:val="005D1461"/>
    <w:rsid w:val="005D33B5"/>
    <w:rsid w:val="005D3A27"/>
    <w:rsid w:val="005D5C6E"/>
    <w:rsid w:val="005D7951"/>
    <w:rsid w:val="005E04F5"/>
    <w:rsid w:val="005E3E49"/>
    <w:rsid w:val="005E768D"/>
    <w:rsid w:val="005F01EE"/>
    <w:rsid w:val="005F19DD"/>
    <w:rsid w:val="005F4AD8"/>
    <w:rsid w:val="005F5ADA"/>
    <w:rsid w:val="005F64B5"/>
    <w:rsid w:val="005F695C"/>
    <w:rsid w:val="005F6B4C"/>
    <w:rsid w:val="00600A10"/>
    <w:rsid w:val="0060105F"/>
    <w:rsid w:val="00602FE4"/>
    <w:rsid w:val="006049B8"/>
    <w:rsid w:val="00605617"/>
    <w:rsid w:val="006104B6"/>
    <w:rsid w:val="00615E8C"/>
    <w:rsid w:val="00621286"/>
    <w:rsid w:val="0062254C"/>
    <w:rsid w:val="0062298E"/>
    <w:rsid w:val="0062350A"/>
    <w:rsid w:val="0062440B"/>
    <w:rsid w:val="006254B0"/>
    <w:rsid w:val="00626C73"/>
    <w:rsid w:val="006302F7"/>
    <w:rsid w:val="00631EB7"/>
    <w:rsid w:val="00635200"/>
    <w:rsid w:val="00636154"/>
    <w:rsid w:val="006362D2"/>
    <w:rsid w:val="00644E29"/>
    <w:rsid w:val="006469A1"/>
    <w:rsid w:val="006504A1"/>
    <w:rsid w:val="006548B7"/>
    <w:rsid w:val="00654B3B"/>
    <w:rsid w:val="0065586F"/>
    <w:rsid w:val="00656882"/>
    <w:rsid w:val="00657DBD"/>
    <w:rsid w:val="00662343"/>
    <w:rsid w:val="0066483B"/>
    <w:rsid w:val="0067069C"/>
    <w:rsid w:val="00671F29"/>
    <w:rsid w:val="00672F21"/>
    <w:rsid w:val="0067305F"/>
    <w:rsid w:val="006762D5"/>
    <w:rsid w:val="006772AB"/>
    <w:rsid w:val="00677427"/>
    <w:rsid w:val="00680308"/>
    <w:rsid w:val="0068170D"/>
    <w:rsid w:val="0068429C"/>
    <w:rsid w:val="00687476"/>
    <w:rsid w:val="0069038E"/>
    <w:rsid w:val="006910BB"/>
    <w:rsid w:val="006936F0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45AA"/>
    <w:rsid w:val="006B5656"/>
    <w:rsid w:val="006C0178"/>
    <w:rsid w:val="006C05D0"/>
    <w:rsid w:val="006C063A"/>
    <w:rsid w:val="006C0E55"/>
    <w:rsid w:val="006C1FA8"/>
    <w:rsid w:val="006C2C97"/>
    <w:rsid w:val="006C4219"/>
    <w:rsid w:val="006C707A"/>
    <w:rsid w:val="006D2BF9"/>
    <w:rsid w:val="006D3377"/>
    <w:rsid w:val="006D3E5E"/>
    <w:rsid w:val="006D5362"/>
    <w:rsid w:val="006E181A"/>
    <w:rsid w:val="006E2D44"/>
    <w:rsid w:val="006F3DD4"/>
    <w:rsid w:val="006F6897"/>
    <w:rsid w:val="00707A74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621F"/>
    <w:rsid w:val="007463FB"/>
    <w:rsid w:val="007513CD"/>
    <w:rsid w:val="0075603B"/>
    <w:rsid w:val="0076196C"/>
    <w:rsid w:val="00763833"/>
    <w:rsid w:val="00766B1A"/>
    <w:rsid w:val="00766DFE"/>
    <w:rsid w:val="0078235E"/>
    <w:rsid w:val="00783B46"/>
    <w:rsid w:val="00786A15"/>
    <w:rsid w:val="007914E4"/>
    <w:rsid w:val="007914F3"/>
    <w:rsid w:val="007926D8"/>
    <w:rsid w:val="00792AA3"/>
    <w:rsid w:val="00794BC4"/>
    <w:rsid w:val="00794F1E"/>
    <w:rsid w:val="00795C50"/>
    <w:rsid w:val="007A098E"/>
    <w:rsid w:val="007A5765"/>
    <w:rsid w:val="007A5B89"/>
    <w:rsid w:val="007C0795"/>
    <w:rsid w:val="007C1424"/>
    <w:rsid w:val="007C14AD"/>
    <w:rsid w:val="007C2E26"/>
    <w:rsid w:val="007C3484"/>
    <w:rsid w:val="007C5046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43A0"/>
    <w:rsid w:val="007E5479"/>
    <w:rsid w:val="007F2243"/>
    <w:rsid w:val="007F2366"/>
    <w:rsid w:val="007F6EC7"/>
    <w:rsid w:val="007F75A8"/>
    <w:rsid w:val="00801D7A"/>
    <w:rsid w:val="00802FC5"/>
    <w:rsid w:val="00806EFB"/>
    <w:rsid w:val="0081078F"/>
    <w:rsid w:val="00810A26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2BF2"/>
    <w:rsid w:val="00833CF6"/>
    <w:rsid w:val="00835A0A"/>
    <w:rsid w:val="008377E3"/>
    <w:rsid w:val="008378E7"/>
    <w:rsid w:val="00840654"/>
    <w:rsid w:val="00840667"/>
    <w:rsid w:val="00841094"/>
    <w:rsid w:val="008420C1"/>
    <w:rsid w:val="008428E1"/>
    <w:rsid w:val="00850566"/>
    <w:rsid w:val="008513B8"/>
    <w:rsid w:val="00852B3C"/>
    <w:rsid w:val="008532E6"/>
    <w:rsid w:val="0085795D"/>
    <w:rsid w:val="00865DAE"/>
    <w:rsid w:val="0086745D"/>
    <w:rsid w:val="008739D8"/>
    <w:rsid w:val="00875B51"/>
    <w:rsid w:val="008776B0"/>
    <w:rsid w:val="0088012D"/>
    <w:rsid w:val="00881C47"/>
    <w:rsid w:val="008820C7"/>
    <w:rsid w:val="00883FD4"/>
    <w:rsid w:val="00884237"/>
    <w:rsid w:val="00887583"/>
    <w:rsid w:val="00891445"/>
    <w:rsid w:val="00897183"/>
    <w:rsid w:val="008A5AFD"/>
    <w:rsid w:val="008A65A8"/>
    <w:rsid w:val="008B3241"/>
    <w:rsid w:val="008B33AC"/>
    <w:rsid w:val="008B44B8"/>
    <w:rsid w:val="008B47B4"/>
    <w:rsid w:val="008B5396"/>
    <w:rsid w:val="008C157D"/>
    <w:rsid w:val="008C36D8"/>
    <w:rsid w:val="008C4913"/>
    <w:rsid w:val="008C5478"/>
    <w:rsid w:val="008C57E5"/>
    <w:rsid w:val="008C5AD6"/>
    <w:rsid w:val="008C5D4E"/>
    <w:rsid w:val="008C769A"/>
    <w:rsid w:val="008C7A4B"/>
    <w:rsid w:val="008D0C05"/>
    <w:rsid w:val="008D10DC"/>
    <w:rsid w:val="008D246D"/>
    <w:rsid w:val="008D44BB"/>
    <w:rsid w:val="008D6441"/>
    <w:rsid w:val="008D692F"/>
    <w:rsid w:val="008D71CE"/>
    <w:rsid w:val="008E0C7F"/>
    <w:rsid w:val="008E0E94"/>
    <w:rsid w:val="008E4011"/>
    <w:rsid w:val="008E444B"/>
    <w:rsid w:val="008E5470"/>
    <w:rsid w:val="008F039B"/>
    <w:rsid w:val="008F1C67"/>
    <w:rsid w:val="008F238D"/>
    <w:rsid w:val="008F3288"/>
    <w:rsid w:val="00905A7F"/>
    <w:rsid w:val="00910F8F"/>
    <w:rsid w:val="0091118D"/>
    <w:rsid w:val="009122B8"/>
    <w:rsid w:val="00913CB3"/>
    <w:rsid w:val="0091653B"/>
    <w:rsid w:val="00917AB8"/>
    <w:rsid w:val="0092168F"/>
    <w:rsid w:val="009225A7"/>
    <w:rsid w:val="0092372A"/>
    <w:rsid w:val="00926019"/>
    <w:rsid w:val="00927FEB"/>
    <w:rsid w:val="00933947"/>
    <w:rsid w:val="009362E0"/>
    <w:rsid w:val="00936D66"/>
    <w:rsid w:val="0094091B"/>
    <w:rsid w:val="00944591"/>
    <w:rsid w:val="00944CAA"/>
    <w:rsid w:val="00951CE8"/>
    <w:rsid w:val="00951E08"/>
    <w:rsid w:val="0095350F"/>
    <w:rsid w:val="00953565"/>
    <w:rsid w:val="00954C90"/>
    <w:rsid w:val="00962886"/>
    <w:rsid w:val="009631AD"/>
    <w:rsid w:val="00967966"/>
    <w:rsid w:val="009723A1"/>
    <w:rsid w:val="009723DF"/>
    <w:rsid w:val="00973614"/>
    <w:rsid w:val="0097724C"/>
    <w:rsid w:val="00980866"/>
    <w:rsid w:val="00980D24"/>
    <w:rsid w:val="009824DF"/>
    <w:rsid w:val="0098405A"/>
    <w:rsid w:val="00987BED"/>
    <w:rsid w:val="00991A93"/>
    <w:rsid w:val="009A0E5E"/>
    <w:rsid w:val="009A2E6A"/>
    <w:rsid w:val="009B09CD"/>
    <w:rsid w:val="009B2383"/>
    <w:rsid w:val="009B4356"/>
    <w:rsid w:val="009B4963"/>
    <w:rsid w:val="009B57C9"/>
    <w:rsid w:val="009C30AA"/>
    <w:rsid w:val="009C43D1"/>
    <w:rsid w:val="009C4955"/>
    <w:rsid w:val="009C59A6"/>
    <w:rsid w:val="009C6A52"/>
    <w:rsid w:val="009D0AB2"/>
    <w:rsid w:val="009D3276"/>
    <w:rsid w:val="009D444C"/>
    <w:rsid w:val="009D4525"/>
    <w:rsid w:val="009D790B"/>
    <w:rsid w:val="009E1533"/>
    <w:rsid w:val="009E2496"/>
    <w:rsid w:val="009E2785"/>
    <w:rsid w:val="009F08F6"/>
    <w:rsid w:val="009F0F91"/>
    <w:rsid w:val="009F1D97"/>
    <w:rsid w:val="009F3F07"/>
    <w:rsid w:val="00A00483"/>
    <w:rsid w:val="00A00EE5"/>
    <w:rsid w:val="00A049E2"/>
    <w:rsid w:val="00A04BE9"/>
    <w:rsid w:val="00A05DC9"/>
    <w:rsid w:val="00A1014B"/>
    <w:rsid w:val="00A11029"/>
    <w:rsid w:val="00A1344B"/>
    <w:rsid w:val="00A15E41"/>
    <w:rsid w:val="00A219E7"/>
    <w:rsid w:val="00A2417A"/>
    <w:rsid w:val="00A25CAE"/>
    <w:rsid w:val="00A26D8D"/>
    <w:rsid w:val="00A33AE4"/>
    <w:rsid w:val="00A35180"/>
    <w:rsid w:val="00A40884"/>
    <w:rsid w:val="00A429DD"/>
    <w:rsid w:val="00A42C28"/>
    <w:rsid w:val="00A43B6B"/>
    <w:rsid w:val="00A45C7E"/>
    <w:rsid w:val="00A477E6"/>
    <w:rsid w:val="00A47C1B"/>
    <w:rsid w:val="00A5337D"/>
    <w:rsid w:val="00A5374C"/>
    <w:rsid w:val="00A57CE8"/>
    <w:rsid w:val="00A66CBC"/>
    <w:rsid w:val="00A70990"/>
    <w:rsid w:val="00A717AE"/>
    <w:rsid w:val="00A76B51"/>
    <w:rsid w:val="00A77C8F"/>
    <w:rsid w:val="00A80E2F"/>
    <w:rsid w:val="00A844CE"/>
    <w:rsid w:val="00A8709D"/>
    <w:rsid w:val="00A87F5D"/>
    <w:rsid w:val="00A90385"/>
    <w:rsid w:val="00A90D8E"/>
    <w:rsid w:val="00A91EAA"/>
    <w:rsid w:val="00A9264B"/>
    <w:rsid w:val="00A96DCC"/>
    <w:rsid w:val="00AA188F"/>
    <w:rsid w:val="00AA3C3D"/>
    <w:rsid w:val="00AA615F"/>
    <w:rsid w:val="00AA63A9"/>
    <w:rsid w:val="00AA6F19"/>
    <w:rsid w:val="00AA7E07"/>
    <w:rsid w:val="00AB120D"/>
    <w:rsid w:val="00AB17F6"/>
    <w:rsid w:val="00AB2979"/>
    <w:rsid w:val="00AB2B6E"/>
    <w:rsid w:val="00AB39D9"/>
    <w:rsid w:val="00AC2EDB"/>
    <w:rsid w:val="00AC7350"/>
    <w:rsid w:val="00AC76C6"/>
    <w:rsid w:val="00AD268D"/>
    <w:rsid w:val="00AD3749"/>
    <w:rsid w:val="00AD6723"/>
    <w:rsid w:val="00AD6AE6"/>
    <w:rsid w:val="00AD7CDA"/>
    <w:rsid w:val="00AD7E54"/>
    <w:rsid w:val="00AF430E"/>
    <w:rsid w:val="00AF44DB"/>
    <w:rsid w:val="00AF55BC"/>
    <w:rsid w:val="00B0051A"/>
    <w:rsid w:val="00B0132F"/>
    <w:rsid w:val="00B0267C"/>
    <w:rsid w:val="00B034CE"/>
    <w:rsid w:val="00B03DB7"/>
    <w:rsid w:val="00B04957"/>
    <w:rsid w:val="00B04CB8"/>
    <w:rsid w:val="00B11981"/>
    <w:rsid w:val="00B14841"/>
    <w:rsid w:val="00B16515"/>
    <w:rsid w:val="00B170AA"/>
    <w:rsid w:val="00B170D8"/>
    <w:rsid w:val="00B214A3"/>
    <w:rsid w:val="00B2361F"/>
    <w:rsid w:val="00B3753B"/>
    <w:rsid w:val="00B447D8"/>
    <w:rsid w:val="00B45A5E"/>
    <w:rsid w:val="00B46A00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7006B"/>
    <w:rsid w:val="00B722B7"/>
    <w:rsid w:val="00B72B3F"/>
    <w:rsid w:val="00B73C63"/>
    <w:rsid w:val="00B74E3D"/>
    <w:rsid w:val="00B753D1"/>
    <w:rsid w:val="00B77BB8"/>
    <w:rsid w:val="00B83455"/>
    <w:rsid w:val="00B83A7F"/>
    <w:rsid w:val="00B844E8"/>
    <w:rsid w:val="00B84847"/>
    <w:rsid w:val="00B856F7"/>
    <w:rsid w:val="00B91103"/>
    <w:rsid w:val="00B9272C"/>
    <w:rsid w:val="00B94B98"/>
    <w:rsid w:val="00B94CAC"/>
    <w:rsid w:val="00BA06B3"/>
    <w:rsid w:val="00BA3938"/>
    <w:rsid w:val="00BA787B"/>
    <w:rsid w:val="00BB0AA5"/>
    <w:rsid w:val="00BB20F2"/>
    <w:rsid w:val="00BB67AE"/>
    <w:rsid w:val="00BC32D3"/>
    <w:rsid w:val="00BC5869"/>
    <w:rsid w:val="00BC58C3"/>
    <w:rsid w:val="00BC59E6"/>
    <w:rsid w:val="00BD003A"/>
    <w:rsid w:val="00BD1D45"/>
    <w:rsid w:val="00BD3099"/>
    <w:rsid w:val="00BD3E62"/>
    <w:rsid w:val="00BD4AF5"/>
    <w:rsid w:val="00BD73E6"/>
    <w:rsid w:val="00BE0818"/>
    <w:rsid w:val="00BE4088"/>
    <w:rsid w:val="00BE733D"/>
    <w:rsid w:val="00BF321B"/>
    <w:rsid w:val="00BF3773"/>
    <w:rsid w:val="00BF3E14"/>
    <w:rsid w:val="00BF4644"/>
    <w:rsid w:val="00BF4972"/>
    <w:rsid w:val="00C00D18"/>
    <w:rsid w:val="00C03B8D"/>
    <w:rsid w:val="00C04532"/>
    <w:rsid w:val="00C06D1A"/>
    <w:rsid w:val="00C071EE"/>
    <w:rsid w:val="00C078F3"/>
    <w:rsid w:val="00C07922"/>
    <w:rsid w:val="00C1356B"/>
    <w:rsid w:val="00C14AFC"/>
    <w:rsid w:val="00C151D0"/>
    <w:rsid w:val="00C1770E"/>
    <w:rsid w:val="00C237F5"/>
    <w:rsid w:val="00C24241"/>
    <w:rsid w:val="00C247D2"/>
    <w:rsid w:val="00C24A70"/>
    <w:rsid w:val="00C24CC7"/>
    <w:rsid w:val="00C317AA"/>
    <w:rsid w:val="00C325C5"/>
    <w:rsid w:val="00C34B1A"/>
    <w:rsid w:val="00C36247"/>
    <w:rsid w:val="00C4177E"/>
    <w:rsid w:val="00C45A69"/>
    <w:rsid w:val="00C46AA2"/>
    <w:rsid w:val="00C52C84"/>
    <w:rsid w:val="00C542F0"/>
    <w:rsid w:val="00C548FB"/>
    <w:rsid w:val="00C55F0E"/>
    <w:rsid w:val="00C57CDB"/>
    <w:rsid w:val="00C60A9B"/>
    <w:rsid w:val="00C6108B"/>
    <w:rsid w:val="00C61CD1"/>
    <w:rsid w:val="00C62190"/>
    <w:rsid w:val="00C67159"/>
    <w:rsid w:val="00C723BC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F19"/>
    <w:rsid w:val="00C95FF7"/>
    <w:rsid w:val="00C975ED"/>
    <w:rsid w:val="00CA2591"/>
    <w:rsid w:val="00CB285C"/>
    <w:rsid w:val="00CB7A46"/>
    <w:rsid w:val="00CC2CD1"/>
    <w:rsid w:val="00CC35B4"/>
    <w:rsid w:val="00CC3806"/>
    <w:rsid w:val="00CC76CE"/>
    <w:rsid w:val="00CD0ABD"/>
    <w:rsid w:val="00CD259C"/>
    <w:rsid w:val="00CD6072"/>
    <w:rsid w:val="00CE102F"/>
    <w:rsid w:val="00CE3DDC"/>
    <w:rsid w:val="00CE63EE"/>
    <w:rsid w:val="00CF0C85"/>
    <w:rsid w:val="00CF16FB"/>
    <w:rsid w:val="00CF2295"/>
    <w:rsid w:val="00CF3BDE"/>
    <w:rsid w:val="00CF6E4B"/>
    <w:rsid w:val="00D06106"/>
    <w:rsid w:val="00D0622E"/>
    <w:rsid w:val="00D06848"/>
    <w:rsid w:val="00D07ABE"/>
    <w:rsid w:val="00D14538"/>
    <w:rsid w:val="00D16BDB"/>
    <w:rsid w:val="00D22431"/>
    <w:rsid w:val="00D22E7D"/>
    <w:rsid w:val="00D24B64"/>
    <w:rsid w:val="00D307A6"/>
    <w:rsid w:val="00D36C35"/>
    <w:rsid w:val="00D42073"/>
    <w:rsid w:val="00D4289B"/>
    <w:rsid w:val="00D4400D"/>
    <w:rsid w:val="00D475F2"/>
    <w:rsid w:val="00D50BCC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6786C"/>
    <w:rsid w:val="00D70046"/>
    <w:rsid w:val="00D72906"/>
    <w:rsid w:val="00D72BC8"/>
    <w:rsid w:val="00D73E07"/>
    <w:rsid w:val="00D77402"/>
    <w:rsid w:val="00D80B8A"/>
    <w:rsid w:val="00D826B4"/>
    <w:rsid w:val="00D84566"/>
    <w:rsid w:val="00D87ED5"/>
    <w:rsid w:val="00D92951"/>
    <w:rsid w:val="00D94B05"/>
    <w:rsid w:val="00D9667F"/>
    <w:rsid w:val="00DA19DB"/>
    <w:rsid w:val="00DA3D06"/>
    <w:rsid w:val="00DA4885"/>
    <w:rsid w:val="00DB17F3"/>
    <w:rsid w:val="00DB29A5"/>
    <w:rsid w:val="00DB2B10"/>
    <w:rsid w:val="00DB4BC5"/>
    <w:rsid w:val="00DB5542"/>
    <w:rsid w:val="00DB6B0C"/>
    <w:rsid w:val="00DB7D1B"/>
    <w:rsid w:val="00DC0CA2"/>
    <w:rsid w:val="00DC176F"/>
    <w:rsid w:val="00DC2B1D"/>
    <w:rsid w:val="00DC445D"/>
    <w:rsid w:val="00DC654A"/>
    <w:rsid w:val="00DC77AA"/>
    <w:rsid w:val="00DD3BD5"/>
    <w:rsid w:val="00DD6EB7"/>
    <w:rsid w:val="00DE06F3"/>
    <w:rsid w:val="00DE0E45"/>
    <w:rsid w:val="00DE2E19"/>
    <w:rsid w:val="00DE385C"/>
    <w:rsid w:val="00DE6B30"/>
    <w:rsid w:val="00DF03EE"/>
    <w:rsid w:val="00DF15D7"/>
    <w:rsid w:val="00DF6004"/>
    <w:rsid w:val="00DF6856"/>
    <w:rsid w:val="00DF6CC2"/>
    <w:rsid w:val="00E006E4"/>
    <w:rsid w:val="00E02AAD"/>
    <w:rsid w:val="00E0769B"/>
    <w:rsid w:val="00E07E4A"/>
    <w:rsid w:val="00E126EA"/>
    <w:rsid w:val="00E20BFB"/>
    <w:rsid w:val="00E27609"/>
    <w:rsid w:val="00E30423"/>
    <w:rsid w:val="00E33B8F"/>
    <w:rsid w:val="00E34D55"/>
    <w:rsid w:val="00E4679F"/>
    <w:rsid w:val="00E51072"/>
    <w:rsid w:val="00E5361C"/>
    <w:rsid w:val="00E53C1B"/>
    <w:rsid w:val="00E541F1"/>
    <w:rsid w:val="00E546AA"/>
    <w:rsid w:val="00E54D26"/>
    <w:rsid w:val="00E5708C"/>
    <w:rsid w:val="00E610D6"/>
    <w:rsid w:val="00E62381"/>
    <w:rsid w:val="00E636B8"/>
    <w:rsid w:val="00E63781"/>
    <w:rsid w:val="00E64755"/>
    <w:rsid w:val="00E65013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535F"/>
    <w:rsid w:val="00EA2CE4"/>
    <w:rsid w:val="00EA48D0"/>
    <w:rsid w:val="00EA58B8"/>
    <w:rsid w:val="00EA6DCB"/>
    <w:rsid w:val="00EB158A"/>
    <w:rsid w:val="00EB3C4B"/>
    <w:rsid w:val="00EB5ADB"/>
    <w:rsid w:val="00EB6F80"/>
    <w:rsid w:val="00EC4322"/>
    <w:rsid w:val="00EC662D"/>
    <w:rsid w:val="00EC700C"/>
    <w:rsid w:val="00ED1BAF"/>
    <w:rsid w:val="00ED3892"/>
    <w:rsid w:val="00ED6FC5"/>
    <w:rsid w:val="00EE0C15"/>
    <w:rsid w:val="00EE2AF3"/>
    <w:rsid w:val="00EE55B2"/>
    <w:rsid w:val="00EE6A80"/>
    <w:rsid w:val="00EE7DA9"/>
    <w:rsid w:val="00EF34D3"/>
    <w:rsid w:val="00EF3E19"/>
    <w:rsid w:val="00EF6B9E"/>
    <w:rsid w:val="00F02009"/>
    <w:rsid w:val="00F037F8"/>
    <w:rsid w:val="00F03BFD"/>
    <w:rsid w:val="00F04C96"/>
    <w:rsid w:val="00F04FF6"/>
    <w:rsid w:val="00F109FC"/>
    <w:rsid w:val="00F1711A"/>
    <w:rsid w:val="00F2476E"/>
    <w:rsid w:val="00F2561F"/>
    <w:rsid w:val="00F2637D"/>
    <w:rsid w:val="00F342FD"/>
    <w:rsid w:val="00F34AAA"/>
    <w:rsid w:val="00F34E9E"/>
    <w:rsid w:val="00F376B4"/>
    <w:rsid w:val="00F41684"/>
    <w:rsid w:val="00F44755"/>
    <w:rsid w:val="00F455E0"/>
    <w:rsid w:val="00F45E7C"/>
    <w:rsid w:val="00F5458D"/>
    <w:rsid w:val="00F54F3A"/>
    <w:rsid w:val="00F61833"/>
    <w:rsid w:val="00F659E1"/>
    <w:rsid w:val="00F6611A"/>
    <w:rsid w:val="00F67EB1"/>
    <w:rsid w:val="00F74EB9"/>
    <w:rsid w:val="00F74EC1"/>
    <w:rsid w:val="00F808C5"/>
    <w:rsid w:val="00F832E1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B4B25"/>
    <w:rsid w:val="00FB6C2B"/>
    <w:rsid w:val="00FC18E0"/>
    <w:rsid w:val="00FC20C3"/>
    <w:rsid w:val="00FC29BA"/>
    <w:rsid w:val="00FC64E4"/>
    <w:rsid w:val="00FD554D"/>
    <w:rsid w:val="00FD5B24"/>
    <w:rsid w:val="00FE2CB4"/>
    <w:rsid w:val="00FE31E9"/>
    <w:rsid w:val="00FE362B"/>
    <w:rsid w:val="00FE37EF"/>
    <w:rsid w:val="00FE45CC"/>
    <w:rsid w:val="00FE5076"/>
    <w:rsid w:val="00FE54BD"/>
    <w:rsid w:val="00FE5C16"/>
    <w:rsid w:val="00FF0C2A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322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6/11-16-0807-02-00ax-comment-resolution-on-mu-rts-cts-procedure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6/11-16-0779-06-00ax-tgax-july-2016-meeting-agenda.p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6/11-16-0953-02-00ax-comment-resoluaton-and-spec-text-for-setting-for-txop-duration-field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16/11-16-0951-00-00ax-setting-for-txop-duration-field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6/11-16-0808-02-00ax-comment-resolution-on-trigger-frame-format-mu-rts-variant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9D16-2F8F-4F13-8E3F-85FC0240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4830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Huang, Po-kai</cp:lastModifiedBy>
  <cp:revision>25</cp:revision>
  <cp:lastPrinted>2010-05-04T03:47:00Z</cp:lastPrinted>
  <dcterms:created xsi:type="dcterms:W3CDTF">2016-05-18T21:39:00Z</dcterms:created>
  <dcterms:modified xsi:type="dcterms:W3CDTF">2016-08-30T02:21:00Z</dcterms:modified>
</cp:coreProperties>
</file>