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2777E79" w:rsidR="00C723BC" w:rsidRPr="00183F4C" w:rsidRDefault="00E163E8" w:rsidP="00E56C17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A135FE">
              <w:rPr>
                <w:lang w:eastAsia="ko-KR"/>
              </w:rPr>
              <w:t>on Clause 9.4.1</w:t>
            </w:r>
            <w:r w:rsidR="00953D56">
              <w:rPr>
                <w:lang w:eastAsia="ko-KR"/>
              </w:rPr>
              <w:t xml:space="preserve"> Part </w:t>
            </w:r>
            <w:r w:rsidR="00E56C17">
              <w:rPr>
                <w:lang w:eastAsia="ko-KR"/>
              </w:rPr>
              <w:t>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866CDD7" w:rsidR="00C723BC" w:rsidRPr="00183F4C" w:rsidRDefault="00C723BC" w:rsidP="00E56C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56C17">
              <w:rPr>
                <w:b w:val="0"/>
                <w:sz w:val="20"/>
                <w:lang w:eastAsia="ko-KR"/>
              </w:rPr>
              <w:t>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56C17">
              <w:rPr>
                <w:b w:val="0"/>
                <w:sz w:val="20"/>
                <w:lang w:eastAsia="ko-KR"/>
              </w:rPr>
              <w:t>02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CF593C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507" w:type="dxa"/>
            <w:vAlign w:val="center"/>
          </w:tcPr>
          <w:p w14:paraId="489F33FB" w14:textId="77777777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2CAFC6EF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E6F98BC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A43634D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D46843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4A304400" w:rsidR="00D46843" w:rsidRDefault="001408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Align w:val="center"/>
          </w:tcPr>
          <w:p w14:paraId="4807B592" w14:textId="38AD9F73" w:rsidR="00D46843" w:rsidRDefault="001408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 Digital</w:t>
            </w:r>
          </w:p>
        </w:tc>
        <w:tc>
          <w:tcPr>
            <w:tcW w:w="2610" w:type="dxa"/>
            <w:vAlign w:val="center"/>
          </w:tcPr>
          <w:p w14:paraId="6ACD8850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7EC554A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77CAC462" w:rsidR="00D46843" w:rsidRDefault="001408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</w:tc>
        <w:tc>
          <w:tcPr>
            <w:tcW w:w="1440" w:type="dxa"/>
            <w:vAlign w:val="center"/>
          </w:tcPr>
          <w:p w14:paraId="6ACE42C6" w14:textId="38DCD9FD" w:rsidR="00D46843" w:rsidRDefault="001408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03BB3EFB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15CEDE53" w14:textId="77777777" w:rsidR="00C3596F" w:rsidRDefault="00C3596F" w:rsidP="003E4403">
      <w:pPr>
        <w:jc w:val="both"/>
      </w:pPr>
    </w:p>
    <w:p w14:paraId="405E2EDB" w14:textId="4E1E8E64" w:rsidR="000079FE" w:rsidRDefault="000079FE" w:rsidP="008E1430">
      <w:pPr>
        <w:pStyle w:val="T1"/>
        <w:spacing w:after="120"/>
        <w:jc w:val="left"/>
        <w:rPr>
          <w:b w:val="0"/>
          <w:sz w:val="18"/>
        </w:rPr>
      </w:pPr>
      <w:r w:rsidRPr="000079FE">
        <w:rPr>
          <w:b w:val="0"/>
          <w:sz w:val="18"/>
          <w:highlight w:val="yellow"/>
        </w:rPr>
        <w:t>The 11-16/0836r1 has the following issues. The document 11-16/1097r</w:t>
      </w:r>
      <w:r w:rsidR="00D23347">
        <w:rPr>
          <w:b w:val="0"/>
          <w:sz w:val="18"/>
          <w:highlight w:val="yellow"/>
        </w:rPr>
        <w:t>1</w:t>
      </w:r>
      <w:bookmarkStart w:id="0" w:name="_GoBack"/>
      <w:bookmarkEnd w:id="0"/>
      <w:r w:rsidRPr="000079FE">
        <w:rPr>
          <w:b w:val="0"/>
          <w:sz w:val="18"/>
          <w:highlight w:val="yellow"/>
        </w:rPr>
        <w:t xml:space="preserve"> resolves all the issues. NOTE to ad-hoc Chairs: The proposed resolutions in this document are </w:t>
      </w:r>
      <w:r w:rsidR="00882FD2">
        <w:rPr>
          <w:b w:val="0"/>
          <w:sz w:val="18"/>
          <w:highlight w:val="yellow"/>
        </w:rPr>
        <w:t>with respect to D0.4</w:t>
      </w:r>
      <w:r w:rsidRPr="000079FE">
        <w:rPr>
          <w:b w:val="0"/>
          <w:sz w:val="18"/>
          <w:highlight w:val="yellow"/>
        </w:rPr>
        <w:t>.</w:t>
      </w:r>
    </w:p>
    <w:p w14:paraId="2A899A47" w14:textId="15D672BC" w:rsidR="00B42EF4" w:rsidRDefault="00B42EF4" w:rsidP="008E1430">
      <w:pPr>
        <w:pStyle w:val="T1"/>
        <w:numPr>
          <w:ilvl w:val="0"/>
          <w:numId w:val="24"/>
        </w:numPr>
        <w:spacing w:after="120"/>
        <w:jc w:val="left"/>
        <w:rPr>
          <w:b w:val="0"/>
          <w:sz w:val="18"/>
        </w:rPr>
      </w:pPr>
      <w:r>
        <w:rPr>
          <w:b w:val="0"/>
          <w:sz w:val="18"/>
        </w:rPr>
        <w:t xml:space="preserve">The HE Compressed Beamforming Report Information refers to Table 8-53f (VHT Compressed Beamforming Report information) from 802.11ac. This table includes a note only applicable to 802.11ac and not </w:t>
      </w:r>
      <w:proofErr w:type="spellStart"/>
      <w:r>
        <w:rPr>
          <w:b w:val="0"/>
          <w:sz w:val="18"/>
        </w:rPr>
        <w:t>relavent</w:t>
      </w:r>
      <w:proofErr w:type="spellEnd"/>
      <w:r>
        <w:rPr>
          <w:b w:val="0"/>
          <w:sz w:val="18"/>
        </w:rPr>
        <w:t xml:space="preserve"> to 802.11ax. Thus redefining Ns and </w:t>
      </w:r>
      <w:proofErr w:type="spellStart"/>
      <w:proofErr w:type="gramStart"/>
      <w:r>
        <w:rPr>
          <w:b w:val="0"/>
          <w:sz w:val="18"/>
        </w:rPr>
        <w:t>scidx</w:t>
      </w:r>
      <w:proofErr w:type="spellEnd"/>
      <w:r>
        <w:rPr>
          <w:b w:val="0"/>
          <w:sz w:val="18"/>
        </w:rPr>
        <w:t>(</w:t>
      </w:r>
      <w:proofErr w:type="gramEnd"/>
      <w:r>
        <w:rPr>
          <w:b w:val="0"/>
          <w:sz w:val="18"/>
        </w:rPr>
        <w:t xml:space="preserve">) as applicable to 802.11ax does not make the Table 8-53f </w:t>
      </w:r>
      <w:r w:rsidR="00A2621E">
        <w:rPr>
          <w:b w:val="0"/>
          <w:sz w:val="18"/>
        </w:rPr>
        <w:t xml:space="preserve">completely </w:t>
      </w:r>
      <w:proofErr w:type="spellStart"/>
      <w:r>
        <w:rPr>
          <w:b w:val="0"/>
          <w:sz w:val="18"/>
        </w:rPr>
        <w:t>reuseable</w:t>
      </w:r>
      <w:proofErr w:type="spellEnd"/>
      <w:r>
        <w:rPr>
          <w:b w:val="0"/>
          <w:sz w:val="18"/>
        </w:rPr>
        <w:t>.</w:t>
      </w:r>
    </w:p>
    <w:p w14:paraId="2B68C95B" w14:textId="6DBD9BC1" w:rsidR="00B42EF4" w:rsidRDefault="00B42EF4" w:rsidP="008E1430">
      <w:pPr>
        <w:pStyle w:val="T1"/>
        <w:spacing w:after="120"/>
        <w:ind w:left="360"/>
        <w:jc w:val="left"/>
        <w:rPr>
          <w:b w:val="0"/>
          <w:sz w:val="18"/>
        </w:rPr>
      </w:pPr>
      <w:r>
        <w:rPr>
          <w:b w:val="0"/>
          <w:sz w:val="18"/>
        </w:rPr>
        <w:t xml:space="preserve">This issue is resolved by defining a new table for </w:t>
      </w:r>
      <w:r w:rsidR="00FC620E">
        <w:rPr>
          <w:b w:val="0"/>
          <w:sz w:val="18"/>
        </w:rPr>
        <w:t xml:space="preserve">HE </w:t>
      </w:r>
      <w:r>
        <w:rPr>
          <w:b w:val="0"/>
          <w:sz w:val="18"/>
        </w:rPr>
        <w:t>Compressed Beamforming Report Information.</w:t>
      </w:r>
    </w:p>
    <w:p w14:paraId="1679A9F8" w14:textId="5EFC578F" w:rsidR="00FC620E" w:rsidRDefault="00B42EF4" w:rsidP="008E1430">
      <w:pPr>
        <w:pStyle w:val="T1"/>
        <w:numPr>
          <w:ilvl w:val="0"/>
          <w:numId w:val="24"/>
        </w:numPr>
        <w:spacing w:after="120"/>
        <w:jc w:val="left"/>
        <w:rPr>
          <w:b w:val="0"/>
          <w:sz w:val="18"/>
        </w:rPr>
      </w:pPr>
      <w:r w:rsidRPr="00FC620E">
        <w:rPr>
          <w:b w:val="0"/>
          <w:sz w:val="18"/>
        </w:rPr>
        <w:t xml:space="preserve">The HE MU Exclusive Beamforming Report information refers to Table 8-53i (MU Exclusive Beamforming Report information from 802.11ac. This table includes a note only applicable to 802.11ac and not </w:t>
      </w:r>
      <w:proofErr w:type="spellStart"/>
      <w:r w:rsidRPr="00FC620E">
        <w:rPr>
          <w:b w:val="0"/>
          <w:sz w:val="18"/>
        </w:rPr>
        <w:t>relavent</w:t>
      </w:r>
      <w:proofErr w:type="spellEnd"/>
      <w:r w:rsidRPr="00FC620E">
        <w:rPr>
          <w:b w:val="0"/>
          <w:sz w:val="18"/>
        </w:rPr>
        <w:t xml:space="preserve"> to 802.11ax. Thus redefining Ns’ and </w:t>
      </w:r>
      <w:proofErr w:type="spellStart"/>
      <w:proofErr w:type="gramStart"/>
      <w:r w:rsidRPr="00FC620E">
        <w:rPr>
          <w:b w:val="0"/>
          <w:sz w:val="18"/>
        </w:rPr>
        <w:t>sscidx</w:t>
      </w:r>
      <w:proofErr w:type="spellEnd"/>
      <w:r w:rsidRPr="00FC620E">
        <w:rPr>
          <w:b w:val="0"/>
          <w:sz w:val="18"/>
        </w:rPr>
        <w:t>(</w:t>
      </w:r>
      <w:proofErr w:type="gramEnd"/>
      <w:r w:rsidRPr="00FC620E">
        <w:rPr>
          <w:b w:val="0"/>
          <w:sz w:val="18"/>
        </w:rPr>
        <w:t xml:space="preserve">) as applicable to 802.11ac does not make the Table 8-53i </w:t>
      </w:r>
      <w:r w:rsidR="00A2621E">
        <w:rPr>
          <w:b w:val="0"/>
          <w:sz w:val="18"/>
        </w:rPr>
        <w:t xml:space="preserve">completely </w:t>
      </w:r>
      <w:proofErr w:type="spellStart"/>
      <w:r w:rsidRPr="00FC620E">
        <w:rPr>
          <w:b w:val="0"/>
          <w:sz w:val="18"/>
        </w:rPr>
        <w:t>reuseable</w:t>
      </w:r>
      <w:proofErr w:type="spellEnd"/>
      <w:r w:rsidRPr="00FC620E">
        <w:rPr>
          <w:b w:val="0"/>
          <w:sz w:val="18"/>
        </w:rPr>
        <w:t xml:space="preserve">. Furthermore, Ns’ and </w:t>
      </w:r>
      <w:proofErr w:type="spellStart"/>
      <w:proofErr w:type="gramStart"/>
      <w:r w:rsidRPr="00FC620E">
        <w:rPr>
          <w:b w:val="0"/>
          <w:sz w:val="18"/>
        </w:rPr>
        <w:t>sscidx</w:t>
      </w:r>
      <w:proofErr w:type="spellEnd"/>
      <w:r w:rsidRPr="00FC620E">
        <w:rPr>
          <w:b w:val="0"/>
          <w:sz w:val="18"/>
        </w:rPr>
        <w:t>(</w:t>
      </w:r>
      <w:proofErr w:type="gramEnd"/>
      <w:r w:rsidRPr="00FC620E">
        <w:rPr>
          <w:b w:val="0"/>
          <w:sz w:val="18"/>
        </w:rPr>
        <w:t xml:space="preserve">) are identical to Ns and </w:t>
      </w:r>
      <w:proofErr w:type="spellStart"/>
      <w:r w:rsidRPr="00FC620E">
        <w:rPr>
          <w:b w:val="0"/>
          <w:sz w:val="18"/>
        </w:rPr>
        <w:t>scidx</w:t>
      </w:r>
      <w:proofErr w:type="spellEnd"/>
      <w:r w:rsidRPr="00FC620E">
        <w:rPr>
          <w:b w:val="0"/>
          <w:sz w:val="18"/>
        </w:rPr>
        <w:t>(), respectively. Hence defining new variables for representing the same information should be avoided.</w:t>
      </w:r>
    </w:p>
    <w:p w14:paraId="733B96FB" w14:textId="1E0D2058" w:rsidR="00FC620E" w:rsidRDefault="00FC620E" w:rsidP="008E1430">
      <w:pPr>
        <w:pStyle w:val="T1"/>
        <w:spacing w:after="120"/>
        <w:ind w:left="360"/>
        <w:jc w:val="left"/>
        <w:rPr>
          <w:b w:val="0"/>
          <w:sz w:val="18"/>
        </w:rPr>
      </w:pPr>
      <w:r>
        <w:rPr>
          <w:b w:val="0"/>
          <w:sz w:val="18"/>
        </w:rPr>
        <w:t xml:space="preserve">The issue is resolved by defining a new table for HE MU Exclusive </w:t>
      </w:r>
      <w:proofErr w:type="spellStart"/>
      <w:r>
        <w:rPr>
          <w:b w:val="0"/>
          <w:sz w:val="18"/>
        </w:rPr>
        <w:t>Beamfoming</w:t>
      </w:r>
      <w:proofErr w:type="spellEnd"/>
      <w:r>
        <w:rPr>
          <w:b w:val="0"/>
          <w:sz w:val="18"/>
        </w:rPr>
        <w:t xml:space="preserve"> Report information.</w:t>
      </w:r>
    </w:p>
    <w:p w14:paraId="124965D6" w14:textId="547A4F28" w:rsidR="00B42EF4" w:rsidRDefault="00B42EF4" w:rsidP="008E1430">
      <w:pPr>
        <w:pStyle w:val="T1"/>
        <w:numPr>
          <w:ilvl w:val="0"/>
          <w:numId w:val="24"/>
        </w:numPr>
        <w:spacing w:after="120"/>
        <w:jc w:val="left"/>
        <w:rPr>
          <w:b w:val="0"/>
          <w:sz w:val="18"/>
        </w:rPr>
      </w:pPr>
      <w:r w:rsidRPr="00FC620E">
        <w:rPr>
          <w:b w:val="0"/>
          <w:sz w:val="18"/>
        </w:rPr>
        <w:t xml:space="preserve">Feedback subcarrier indices given by </w:t>
      </w:r>
      <w:proofErr w:type="spellStart"/>
      <w:proofErr w:type="gramStart"/>
      <w:r w:rsidRPr="00FC620E">
        <w:rPr>
          <w:b w:val="0"/>
          <w:sz w:val="18"/>
        </w:rPr>
        <w:t>scidx</w:t>
      </w:r>
      <w:proofErr w:type="spellEnd"/>
      <w:r w:rsidRPr="00FC620E">
        <w:rPr>
          <w:b w:val="0"/>
          <w:sz w:val="18"/>
        </w:rPr>
        <w:t>(</w:t>
      </w:r>
      <w:proofErr w:type="spellStart"/>
      <w:proofErr w:type="gramEnd"/>
      <w:r w:rsidRPr="00FC620E">
        <w:rPr>
          <w:b w:val="0"/>
          <w:sz w:val="18"/>
        </w:rPr>
        <w:t>i</w:t>
      </w:r>
      <w:proofErr w:type="spellEnd"/>
      <w:r w:rsidRPr="00FC620E">
        <w:rPr>
          <w:b w:val="0"/>
          <w:sz w:val="18"/>
        </w:rPr>
        <w:t xml:space="preserve">) = </w:t>
      </w:r>
      <w:proofErr w:type="spellStart"/>
      <w:r w:rsidRPr="00FC620E">
        <w:rPr>
          <w:b w:val="0"/>
          <w:sz w:val="18"/>
        </w:rPr>
        <w:t>scidx</w:t>
      </w:r>
      <w:proofErr w:type="spellEnd"/>
      <w:r w:rsidRPr="00FC620E">
        <w:rPr>
          <w:b w:val="0"/>
          <w:sz w:val="18"/>
        </w:rPr>
        <w:t xml:space="preserve">(i-1) + Ng. However, for 40 MHz/80 MHz this equation gives wrong subcarrier indexing when Ng = 16 and start RU Index is on the left side of the DC while end RU Index is on the right side. For e.g., Start RU Index = 0, End RU Index = 17, for 40 MHz and Ng = 16, results in </w:t>
      </w:r>
      <w:proofErr w:type="spellStart"/>
      <w:proofErr w:type="gramStart"/>
      <w:r w:rsidRPr="00FC620E">
        <w:rPr>
          <w:b w:val="0"/>
          <w:sz w:val="18"/>
        </w:rPr>
        <w:t>scidx</w:t>
      </w:r>
      <w:proofErr w:type="spellEnd"/>
      <w:r w:rsidRPr="00FC620E">
        <w:rPr>
          <w:b w:val="0"/>
          <w:sz w:val="18"/>
        </w:rPr>
        <w:t>(</w:t>
      </w:r>
      <w:proofErr w:type="gramEnd"/>
      <w:r w:rsidRPr="00FC620E">
        <w:rPr>
          <w:b w:val="0"/>
          <w:sz w:val="18"/>
        </w:rPr>
        <w:t>0) = -244</w:t>
      </w:r>
      <w:r w:rsidR="00FC620E" w:rsidRPr="00FC620E">
        <w:rPr>
          <w:b w:val="0"/>
          <w:sz w:val="18"/>
        </w:rPr>
        <w:t xml:space="preserve"> and </w:t>
      </w:r>
      <w:proofErr w:type="spellStart"/>
      <w:r w:rsidR="00FC620E" w:rsidRPr="00FC620E">
        <w:rPr>
          <w:b w:val="0"/>
          <w:sz w:val="18"/>
        </w:rPr>
        <w:t>scidx</w:t>
      </w:r>
      <w:proofErr w:type="spellEnd"/>
      <w:r w:rsidR="00FC620E" w:rsidRPr="00FC620E">
        <w:rPr>
          <w:b w:val="0"/>
          <w:sz w:val="18"/>
        </w:rPr>
        <w:t xml:space="preserve">(31) = 244. From the equations it says </w:t>
      </w:r>
      <w:proofErr w:type="spellStart"/>
      <w:r w:rsidR="00FC620E" w:rsidRPr="00FC620E">
        <w:rPr>
          <w:b w:val="0"/>
          <w:sz w:val="18"/>
        </w:rPr>
        <w:t>scidx</w:t>
      </w:r>
      <w:proofErr w:type="spellEnd"/>
      <w:r w:rsidR="00FC620E" w:rsidRPr="00FC620E">
        <w:rPr>
          <w:b w:val="0"/>
          <w:sz w:val="18"/>
        </w:rPr>
        <w:t xml:space="preserve"> = [-244 -228 -212 -196 -180 -164 -148 -132 -116 -100 -84 -68 -52 -36 -20 -4 </w:t>
      </w:r>
      <w:r w:rsidR="00FC620E" w:rsidRPr="00745E5E">
        <w:rPr>
          <w:b w:val="0"/>
          <w:i/>
          <w:color w:val="00B0F0"/>
          <w:sz w:val="18"/>
        </w:rPr>
        <w:t>12 28 44 60 76 92 108 124 140 156 172 188 204 220 244</w:t>
      </w:r>
      <w:r w:rsidR="00FC620E" w:rsidRPr="00FC620E">
        <w:rPr>
          <w:b w:val="0"/>
          <w:sz w:val="18"/>
        </w:rPr>
        <w:t>]. This is incorrect.</w:t>
      </w:r>
    </w:p>
    <w:p w14:paraId="789E92BA" w14:textId="766FE3B3" w:rsidR="00FC620E" w:rsidRPr="00FC620E" w:rsidRDefault="00FC620E" w:rsidP="008E1430">
      <w:pPr>
        <w:pStyle w:val="T1"/>
        <w:spacing w:after="120"/>
        <w:ind w:left="360"/>
        <w:jc w:val="left"/>
        <w:rPr>
          <w:b w:val="0"/>
          <w:sz w:val="18"/>
        </w:rPr>
      </w:pPr>
      <w:r>
        <w:rPr>
          <w:b w:val="0"/>
          <w:sz w:val="18"/>
        </w:rPr>
        <w:t>This issue is resolved by addition of clarification text.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40DE0427" w14:textId="13380B78" w:rsidR="00CE4BAA" w:rsidRPr="004F3AF6" w:rsidRDefault="005E768D" w:rsidP="00CE4BAA">
      <w:r w:rsidRPr="004D2D75">
        <w:br w:type="page"/>
      </w:r>
      <w:r w:rsidR="00CE4BAA"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5456A142" w14:textId="77777777" w:rsidR="00483A0A" w:rsidRPr="00DE319D" w:rsidRDefault="00483A0A" w:rsidP="00483A0A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proofErr w:type="spellStart"/>
      <w:r w:rsidRPr="00483A0A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483A0A">
        <w:rPr>
          <w:b/>
          <w:bCs/>
          <w:i/>
          <w:iCs/>
          <w:highlight w:val="yellow"/>
          <w:lang w:eastAsia="ko-KR"/>
        </w:rPr>
        <w:t xml:space="preserve"> Editor: Change the paragraphs below as follows.</w:t>
      </w:r>
    </w:p>
    <w:p w14:paraId="2492221E" w14:textId="382006E8" w:rsidR="00BE015C" w:rsidRDefault="00982144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DE319D">
        <w:rPr>
          <w:rFonts w:ascii="Arial" w:eastAsia="Calibri" w:hAnsi="Arial" w:cs="Arial"/>
          <w:b/>
          <w:sz w:val="20"/>
          <w:lang w:val="en-US"/>
        </w:rPr>
        <w:t>9.4.1.6</w:t>
      </w:r>
      <w:r w:rsidR="00DE319D">
        <w:rPr>
          <w:rFonts w:ascii="Arial" w:eastAsia="Calibri" w:hAnsi="Arial" w:cs="Arial"/>
          <w:b/>
          <w:sz w:val="20"/>
          <w:lang w:val="en-US"/>
        </w:rPr>
        <w:t>3</w:t>
      </w:r>
      <w:r w:rsidRPr="00DE319D">
        <w:rPr>
          <w:rFonts w:ascii="Arial" w:eastAsia="Calibri" w:hAnsi="Arial" w:cs="Arial"/>
          <w:b/>
          <w:sz w:val="20"/>
          <w:lang w:val="en-US"/>
        </w:rPr>
        <w:t xml:space="preserve"> HE Compressed Beamforming Report field</w:t>
      </w:r>
    </w:p>
    <w:p w14:paraId="1DD9A86C" w14:textId="7C033B4B" w:rsidR="00B338B2" w:rsidRDefault="00B338B2" w:rsidP="00B338B2">
      <w:pPr>
        <w:spacing w:after="160" w:line="259" w:lineRule="auto"/>
        <w:rPr>
          <w:color w:val="FF0000"/>
          <w:sz w:val="20"/>
          <w:u w:val="single"/>
        </w:rPr>
      </w:pPr>
      <w:r w:rsidRPr="00C84CE6">
        <w:rPr>
          <w:color w:val="FF0000"/>
          <w:sz w:val="20"/>
          <w:u w:val="single"/>
        </w:rPr>
        <w:t>The HE Compressed Beamforming Report information has the structure and order</w:t>
      </w:r>
      <w:r w:rsidR="00DE319D">
        <w:rPr>
          <w:color w:val="FF0000"/>
          <w:sz w:val="20"/>
          <w:u w:val="single"/>
        </w:rPr>
        <w:t xml:space="preserve"> </w:t>
      </w:r>
      <w:r w:rsidR="00DE319D" w:rsidRPr="00DE319D">
        <w:rPr>
          <w:strike/>
          <w:sz w:val="20"/>
        </w:rPr>
        <w:t>as the VHT Compressed Beamforming Report Information as defined in Table 9-69 (VHT Compressed Beamforming Report Information)</w:t>
      </w:r>
      <w:r w:rsidR="00AF60E4" w:rsidRPr="00DE319D">
        <w:rPr>
          <w:sz w:val="20"/>
          <w:u w:val="single"/>
        </w:rPr>
        <w:t xml:space="preserve"> </w:t>
      </w:r>
      <w:r w:rsidR="00AF60E4">
        <w:rPr>
          <w:color w:val="FF0000"/>
          <w:sz w:val="20"/>
          <w:u w:val="single"/>
        </w:rPr>
        <w:t>as</w:t>
      </w:r>
      <w:r w:rsidRPr="00C84CE6">
        <w:rPr>
          <w:color w:val="FF0000"/>
          <w:sz w:val="20"/>
          <w:u w:val="single"/>
        </w:rPr>
        <w:t xml:space="preserve"> defined in Table </w:t>
      </w:r>
      <w:proofErr w:type="gramStart"/>
      <w:r w:rsidR="00965B16">
        <w:rPr>
          <w:color w:val="FF0000"/>
          <w:sz w:val="20"/>
          <w:u w:val="single"/>
        </w:rPr>
        <w:t>A</w:t>
      </w:r>
      <w:proofErr w:type="gramEnd"/>
      <w:r w:rsidR="00DD59C4">
        <w:rPr>
          <w:color w:val="FF0000"/>
          <w:sz w:val="20"/>
          <w:u w:val="single"/>
        </w:rPr>
        <w:t xml:space="preserve"> </w:t>
      </w:r>
      <w:r w:rsidR="00BF03F8">
        <w:rPr>
          <w:color w:val="FF0000"/>
          <w:sz w:val="20"/>
          <w:u w:val="single"/>
        </w:rPr>
        <w:t>(</w:t>
      </w:r>
      <w:r w:rsidR="00965B16">
        <w:rPr>
          <w:color w:val="FF0000"/>
          <w:sz w:val="20"/>
          <w:u w:val="single"/>
        </w:rPr>
        <w:t xml:space="preserve">HE </w:t>
      </w:r>
      <w:r w:rsidR="00BF03F8">
        <w:rPr>
          <w:color w:val="FF0000"/>
          <w:sz w:val="20"/>
          <w:u w:val="single"/>
        </w:rPr>
        <w:t>Compressed Beamforming Report Information)</w:t>
      </w:r>
      <w:r w:rsidR="009D40FB" w:rsidRPr="00C84CE6">
        <w:rPr>
          <w:color w:val="FF0000"/>
          <w:sz w:val="20"/>
          <w:u w:val="single"/>
        </w:rPr>
        <w:t>.</w:t>
      </w:r>
    </w:p>
    <w:p w14:paraId="77EBD018" w14:textId="14768163" w:rsidR="00F203E7" w:rsidRDefault="00F203E7" w:rsidP="00B338B2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Table A – HE Compressed Beamforming Report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080"/>
        <w:gridCol w:w="4279"/>
      </w:tblGrid>
      <w:tr w:rsidR="00965B16" w14:paraId="2E6E130D" w14:textId="77777777" w:rsidTr="008E1430">
        <w:tc>
          <w:tcPr>
            <w:tcW w:w="4495" w:type="dxa"/>
          </w:tcPr>
          <w:p w14:paraId="518DD111" w14:textId="58B1383E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Field</w:t>
            </w:r>
          </w:p>
        </w:tc>
        <w:tc>
          <w:tcPr>
            <w:tcW w:w="1080" w:type="dxa"/>
          </w:tcPr>
          <w:p w14:paraId="489A5DF4" w14:textId="21C78FC5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Size (bits)</w:t>
            </w:r>
          </w:p>
        </w:tc>
        <w:tc>
          <w:tcPr>
            <w:tcW w:w="4279" w:type="dxa"/>
          </w:tcPr>
          <w:p w14:paraId="65133F3E" w14:textId="7FE34BF5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Meaning</w:t>
            </w:r>
          </w:p>
        </w:tc>
      </w:tr>
      <w:tr w:rsidR="00965B16" w14:paraId="2941FA30" w14:textId="77777777" w:rsidTr="008E1430">
        <w:tc>
          <w:tcPr>
            <w:tcW w:w="4495" w:type="dxa"/>
          </w:tcPr>
          <w:p w14:paraId="4FDDB848" w14:textId="4DE5FC93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Average SNR of Space-Time Stream 1</w:t>
            </w:r>
          </w:p>
        </w:tc>
        <w:tc>
          <w:tcPr>
            <w:tcW w:w="1080" w:type="dxa"/>
          </w:tcPr>
          <w:p w14:paraId="07F384D7" w14:textId="0B1775F0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8</w:t>
            </w:r>
          </w:p>
        </w:tc>
        <w:tc>
          <w:tcPr>
            <w:tcW w:w="4279" w:type="dxa"/>
          </w:tcPr>
          <w:p w14:paraId="7CD841BB" w14:textId="6698676F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Signal-to-noise ratio at the </w:t>
            </w:r>
            <w:proofErr w:type="spellStart"/>
            <w:r>
              <w:rPr>
                <w:color w:val="FF0000"/>
                <w:sz w:val="20"/>
                <w:u w:val="single"/>
              </w:rPr>
              <w:t>beamformee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for space-time stream 1 averaged over all data subcarriers. </w:t>
            </w:r>
          </w:p>
          <w:p w14:paraId="243BE80D" w14:textId="433B1547" w:rsidR="00713D68" w:rsidRDefault="00713D68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See Table</w:t>
            </w:r>
            <w:r w:rsidR="009E54F2">
              <w:rPr>
                <w:color w:val="FF0000"/>
                <w:sz w:val="20"/>
                <w:u w:val="single"/>
              </w:rPr>
              <w:t xml:space="preserve"> 9-71</w:t>
            </w:r>
          </w:p>
        </w:tc>
      </w:tr>
      <w:tr w:rsidR="00965B16" w14:paraId="2264E660" w14:textId="77777777" w:rsidTr="008E1430">
        <w:tc>
          <w:tcPr>
            <w:tcW w:w="4495" w:type="dxa"/>
          </w:tcPr>
          <w:p w14:paraId="6327D781" w14:textId="22BFF08D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0A83686D" w14:textId="3298E8F7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279" w:type="dxa"/>
          </w:tcPr>
          <w:p w14:paraId="6E49DB09" w14:textId="1DA7301E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965B16" w14:paraId="3B938A5B" w14:textId="77777777" w:rsidTr="008E1430">
        <w:tc>
          <w:tcPr>
            <w:tcW w:w="4495" w:type="dxa"/>
          </w:tcPr>
          <w:p w14:paraId="13E6BF54" w14:textId="77777777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</w:p>
        </w:tc>
        <w:tc>
          <w:tcPr>
            <w:tcW w:w="1080" w:type="dxa"/>
          </w:tcPr>
          <w:p w14:paraId="1646B3D0" w14:textId="77777777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</w:p>
        </w:tc>
        <w:tc>
          <w:tcPr>
            <w:tcW w:w="4279" w:type="dxa"/>
          </w:tcPr>
          <w:p w14:paraId="316CF22E" w14:textId="77777777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</w:p>
        </w:tc>
      </w:tr>
      <w:tr w:rsidR="00965B16" w14:paraId="4D9E9B1B" w14:textId="77777777" w:rsidTr="008E1430">
        <w:tc>
          <w:tcPr>
            <w:tcW w:w="4495" w:type="dxa"/>
          </w:tcPr>
          <w:p w14:paraId="262F8F04" w14:textId="618EE4A1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Average SNR of Space-Time Stream </w:t>
            </w:r>
            <w:proofErr w:type="spellStart"/>
            <w:r>
              <w:rPr>
                <w:color w:val="FF0000"/>
                <w:sz w:val="20"/>
                <w:u w:val="single"/>
              </w:rPr>
              <w:t>Nc</w:t>
            </w:r>
            <w:proofErr w:type="spellEnd"/>
          </w:p>
        </w:tc>
        <w:tc>
          <w:tcPr>
            <w:tcW w:w="1080" w:type="dxa"/>
          </w:tcPr>
          <w:p w14:paraId="098E4AA6" w14:textId="41E5E16F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8</w:t>
            </w:r>
          </w:p>
        </w:tc>
        <w:tc>
          <w:tcPr>
            <w:tcW w:w="4279" w:type="dxa"/>
          </w:tcPr>
          <w:p w14:paraId="3C7A2954" w14:textId="278372CA" w:rsidR="00965B16" w:rsidRDefault="00965B1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Signal-to-noise ratio at the </w:t>
            </w:r>
            <w:proofErr w:type="spellStart"/>
            <w:r>
              <w:rPr>
                <w:color w:val="FF0000"/>
                <w:sz w:val="20"/>
                <w:u w:val="single"/>
              </w:rPr>
              <w:t>beamformee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for space-time stream </w:t>
            </w:r>
            <w:proofErr w:type="spellStart"/>
            <w:r w:rsidR="00222EA7">
              <w:rPr>
                <w:color w:val="FF0000"/>
                <w:sz w:val="20"/>
                <w:u w:val="single"/>
              </w:rPr>
              <w:t>Nc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averaged over all data subcarriers.</w:t>
            </w:r>
          </w:p>
          <w:p w14:paraId="32D26CA4" w14:textId="716255C7" w:rsidR="00713D68" w:rsidRDefault="00713D68" w:rsidP="009E54F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See Table</w:t>
            </w:r>
            <w:r w:rsidR="009E54F2">
              <w:rPr>
                <w:color w:val="FF0000"/>
                <w:sz w:val="20"/>
                <w:u w:val="single"/>
              </w:rPr>
              <w:t xml:space="preserve"> 9-71</w:t>
            </w:r>
          </w:p>
        </w:tc>
      </w:tr>
      <w:tr w:rsidR="00713D68" w14:paraId="6E13A981" w14:textId="77777777" w:rsidTr="00965B16">
        <w:tc>
          <w:tcPr>
            <w:tcW w:w="4495" w:type="dxa"/>
          </w:tcPr>
          <w:p w14:paraId="7F952458" w14:textId="4A86E47E" w:rsidR="00713D68" w:rsidRP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 Matrix </w:t>
            </w:r>
            <w:r w:rsidRPr="008E1430">
              <w:rPr>
                <w:i/>
                <w:color w:val="FF0000"/>
                <w:sz w:val="20"/>
                <w:u w:val="single"/>
              </w:rPr>
              <w:t>V</w:t>
            </w:r>
            <w:r>
              <w:rPr>
                <w:i/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k=scidx(0)</m:t>
              </m:r>
            </m:oMath>
          </w:p>
        </w:tc>
        <w:tc>
          <w:tcPr>
            <w:tcW w:w="1080" w:type="dxa"/>
          </w:tcPr>
          <w:p w14:paraId="17A03A6F" w14:textId="30C2EAC3" w:rsidR="00713D68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Na×(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ψ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φ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)/2</m:t>
                </m:r>
              </m:oMath>
            </m:oMathPara>
          </w:p>
        </w:tc>
        <w:tc>
          <w:tcPr>
            <w:tcW w:w="4279" w:type="dxa"/>
          </w:tcPr>
          <w:p w14:paraId="78EE6E8A" w14:textId="28050DE8" w:rsidR="00713D68" w:rsidRDefault="00D15B76" w:rsidP="00B338B2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matrix defined in Table </w:t>
            </w:r>
            <w:r w:rsidR="009E54F2">
              <w:rPr>
                <w:color w:val="FF0000"/>
                <w:sz w:val="20"/>
                <w:u w:val="single"/>
              </w:rPr>
              <w:t>9-67</w:t>
            </w:r>
          </w:p>
        </w:tc>
      </w:tr>
      <w:tr w:rsidR="00D15B76" w14:paraId="62DC8942" w14:textId="77777777" w:rsidTr="00965B16">
        <w:tc>
          <w:tcPr>
            <w:tcW w:w="4495" w:type="dxa"/>
          </w:tcPr>
          <w:p w14:paraId="035A9FFF" w14:textId="4FB5E029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 Matrix </w:t>
            </w:r>
            <w:r w:rsidRPr="004E2A4B">
              <w:rPr>
                <w:i/>
                <w:color w:val="FF0000"/>
                <w:sz w:val="20"/>
                <w:u w:val="single"/>
              </w:rPr>
              <w:t>V</w:t>
            </w:r>
            <w:r>
              <w:rPr>
                <w:i/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k=scidx(1)</m:t>
              </m:r>
            </m:oMath>
          </w:p>
        </w:tc>
        <w:tc>
          <w:tcPr>
            <w:tcW w:w="1080" w:type="dxa"/>
          </w:tcPr>
          <w:p w14:paraId="46B89CEE" w14:textId="5F1B690C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Na×(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ψ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φ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)/2</m:t>
                </m:r>
              </m:oMath>
            </m:oMathPara>
          </w:p>
        </w:tc>
        <w:tc>
          <w:tcPr>
            <w:tcW w:w="4279" w:type="dxa"/>
          </w:tcPr>
          <w:p w14:paraId="33691F24" w14:textId="611CB300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matrix defined in Table </w:t>
            </w:r>
            <w:r w:rsidR="009E54F2">
              <w:rPr>
                <w:color w:val="FF0000"/>
                <w:sz w:val="20"/>
                <w:u w:val="single"/>
              </w:rPr>
              <w:t>9-67</w:t>
            </w:r>
          </w:p>
        </w:tc>
      </w:tr>
      <w:tr w:rsidR="00D15B76" w14:paraId="53125EDD" w14:textId="77777777" w:rsidTr="00965B16">
        <w:tc>
          <w:tcPr>
            <w:tcW w:w="4495" w:type="dxa"/>
          </w:tcPr>
          <w:p w14:paraId="418A995F" w14:textId="7574F4CE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 Matrix </w:t>
            </w:r>
            <w:r w:rsidRPr="004E2A4B">
              <w:rPr>
                <w:i/>
                <w:color w:val="FF0000"/>
                <w:sz w:val="20"/>
                <w:u w:val="single"/>
              </w:rPr>
              <w:t>V</w:t>
            </w:r>
            <w:r>
              <w:rPr>
                <w:i/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k=scidx(2)</m:t>
              </m:r>
            </m:oMath>
          </w:p>
        </w:tc>
        <w:tc>
          <w:tcPr>
            <w:tcW w:w="1080" w:type="dxa"/>
          </w:tcPr>
          <w:p w14:paraId="7D2A96AB" w14:textId="3DB94925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Na×(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ψ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φ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)/2</m:t>
                </m:r>
              </m:oMath>
            </m:oMathPara>
          </w:p>
        </w:tc>
        <w:tc>
          <w:tcPr>
            <w:tcW w:w="4279" w:type="dxa"/>
          </w:tcPr>
          <w:p w14:paraId="65E3110F" w14:textId="0DF505CB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matrix defined in Table </w:t>
            </w:r>
            <w:r w:rsidR="009E54F2">
              <w:rPr>
                <w:color w:val="FF0000"/>
                <w:sz w:val="20"/>
                <w:u w:val="single"/>
              </w:rPr>
              <w:t>9-67</w:t>
            </w:r>
          </w:p>
        </w:tc>
      </w:tr>
      <w:tr w:rsidR="00D15B76" w14:paraId="28DB7F26" w14:textId="77777777" w:rsidTr="00965B16">
        <w:tc>
          <w:tcPr>
            <w:tcW w:w="4495" w:type="dxa"/>
          </w:tcPr>
          <w:p w14:paraId="02CE2C24" w14:textId="39673844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3A800B1D" w14:textId="687D3D1C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279" w:type="dxa"/>
          </w:tcPr>
          <w:p w14:paraId="5D372D8E" w14:textId="627C5AA2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D15B76" w14:paraId="5A89ED03" w14:textId="77777777" w:rsidTr="00965B16">
        <w:tc>
          <w:tcPr>
            <w:tcW w:w="4495" w:type="dxa"/>
          </w:tcPr>
          <w:p w14:paraId="348D8538" w14:textId="0D8C1349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 Matrix </w:t>
            </w:r>
            <w:r w:rsidRPr="004E2A4B">
              <w:rPr>
                <w:i/>
                <w:color w:val="FF0000"/>
                <w:sz w:val="20"/>
                <w:u w:val="single"/>
              </w:rPr>
              <w:t>V</w:t>
            </w:r>
            <w:r>
              <w:rPr>
                <w:i/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k=scidx(Ns-1)</m:t>
              </m:r>
            </m:oMath>
          </w:p>
        </w:tc>
        <w:tc>
          <w:tcPr>
            <w:tcW w:w="1080" w:type="dxa"/>
          </w:tcPr>
          <w:p w14:paraId="343C7868" w14:textId="780E922F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Na×(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ψ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u w:val="single"/>
                      </w:rPr>
                      <m:t>φ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u w:val="single"/>
                  </w:rPr>
                  <m:t>)/2</m:t>
                </m:r>
              </m:oMath>
            </m:oMathPara>
          </w:p>
        </w:tc>
        <w:tc>
          <w:tcPr>
            <w:tcW w:w="4279" w:type="dxa"/>
          </w:tcPr>
          <w:p w14:paraId="0EE3F710" w14:textId="2109B8CE" w:rsidR="00D15B76" w:rsidRDefault="00D15B76" w:rsidP="00D15B7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Compressed beamforming feedback matrix defined in Table </w:t>
            </w:r>
            <w:r w:rsidR="009E54F2">
              <w:rPr>
                <w:color w:val="FF0000"/>
                <w:sz w:val="20"/>
                <w:u w:val="single"/>
              </w:rPr>
              <w:t>9-67</w:t>
            </w:r>
          </w:p>
        </w:tc>
      </w:tr>
    </w:tbl>
    <w:p w14:paraId="69D7C766" w14:textId="77777777" w:rsidR="00965B16" w:rsidRPr="00C84CE6" w:rsidRDefault="00965B16" w:rsidP="00B338B2">
      <w:pPr>
        <w:spacing w:after="160" w:line="259" w:lineRule="auto"/>
        <w:rPr>
          <w:color w:val="FF0000"/>
          <w:sz w:val="20"/>
          <w:u w:val="single"/>
        </w:rPr>
      </w:pPr>
    </w:p>
    <w:p w14:paraId="36112D3D" w14:textId="7FE2BDC7" w:rsidR="00A10E69" w:rsidRDefault="00DE319D" w:rsidP="00C97CB0">
      <w:pPr>
        <w:spacing w:after="160" w:line="259" w:lineRule="auto"/>
        <w:rPr>
          <w:color w:val="FF0000"/>
          <w:sz w:val="20"/>
          <w:u w:val="single"/>
          <w:lang w:val="en-US" w:eastAsia="ko-KR"/>
        </w:rPr>
      </w:pPr>
      <w:r w:rsidRPr="00DE319D">
        <w:rPr>
          <w:strike/>
          <w:sz w:val="20"/>
        </w:rPr>
        <w:t xml:space="preserve">In Table 9-69 (VHT Compressed </w:t>
      </w:r>
      <w:proofErr w:type="spellStart"/>
      <w:r w:rsidRPr="00DE319D">
        <w:rPr>
          <w:strike/>
          <w:sz w:val="20"/>
        </w:rPr>
        <w:t>Beamfomring</w:t>
      </w:r>
      <w:proofErr w:type="spellEnd"/>
      <w:r w:rsidRPr="00DE319D">
        <w:rPr>
          <w:strike/>
          <w:sz w:val="20"/>
        </w:rPr>
        <w:t xml:space="preserve"> Report Information) </w:t>
      </w:r>
      <w:r w:rsidR="009D40FB" w:rsidRPr="00C84CE6">
        <w:rPr>
          <w:color w:val="FF0000"/>
          <w:sz w:val="20"/>
          <w:u w:val="single"/>
        </w:rPr>
        <w:t xml:space="preserve">In Table </w:t>
      </w:r>
      <w:r w:rsidR="00DD59C4">
        <w:rPr>
          <w:color w:val="FF0000"/>
          <w:sz w:val="20"/>
          <w:u w:val="single"/>
        </w:rPr>
        <w:t>A</w:t>
      </w:r>
      <w:r w:rsidR="009D40FB" w:rsidRPr="00745E5E">
        <w:rPr>
          <w:sz w:val="20"/>
        </w:rPr>
        <w:t xml:space="preserve">, </w:t>
      </w:r>
      <w:r w:rsidR="00226ECD" w:rsidRPr="00745E5E">
        <w:rPr>
          <w:i/>
          <w:sz w:val="20"/>
        </w:rPr>
        <w:t>Ns</w:t>
      </w:r>
      <w:r w:rsidR="00226ECD" w:rsidRPr="00745E5E">
        <w:rPr>
          <w:sz w:val="20"/>
        </w:rPr>
        <w:t xml:space="preserve"> is the nu</w:t>
      </w:r>
      <w:r w:rsidR="00557153" w:rsidRPr="00745E5E">
        <w:rPr>
          <w:sz w:val="20"/>
        </w:rPr>
        <w:t xml:space="preserve">mber of </w:t>
      </w:r>
      <w:r w:rsidR="009D40FB" w:rsidRPr="00745E5E">
        <w:rPr>
          <w:sz w:val="20"/>
        </w:rPr>
        <w:t>subcarriers</w:t>
      </w:r>
      <w:r w:rsidR="00557153" w:rsidRPr="00745E5E">
        <w:rPr>
          <w:sz w:val="20"/>
        </w:rPr>
        <w:t xml:space="preserve"> for which the Compressed Beamforming </w:t>
      </w:r>
      <w:r w:rsidR="00A24143" w:rsidRPr="00745E5E">
        <w:rPr>
          <w:sz w:val="20"/>
        </w:rPr>
        <w:t>Feedback Matrix subfield is sent</w:t>
      </w:r>
      <w:r w:rsidR="00557153" w:rsidRPr="00745E5E">
        <w:rPr>
          <w:sz w:val="20"/>
        </w:rPr>
        <w:t xml:space="preserve"> back to the </w:t>
      </w:r>
      <w:proofErr w:type="spellStart"/>
      <w:r w:rsidR="00557153" w:rsidRPr="00745E5E">
        <w:rPr>
          <w:sz w:val="20"/>
        </w:rPr>
        <w:t>beamformer</w:t>
      </w:r>
      <w:proofErr w:type="spellEnd"/>
      <w:r w:rsidR="00557153" w:rsidRPr="00745E5E">
        <w:rPr>
          <w:sz w:val="20"/>
        </w:rPr>
        <w:t xml:space="preserve">. A </w:t>
      </w:r>
      <w:proofErr w:type="spellStart"/>
      <w:r w:rsidR="00557153" w:rsidRPr="00745E5E">
        <w:rPr>
          <w:sz w:val="20"/>
        </w:rPr>
        <w:t>beamformee</w:t>
      </w:r>
      <w:proofErr w:type="spellEnd"/>
      <w:r w:rsidR="00557153" w:rsidRPr="00745E5E">
        <w:rPr>
          <w:sz w:val="20"/>
        </w:rPr>
        <w:t xml:space="preserve"> may choose to reduce </w:t>
      </w:r>
      <w:r w:rsidR="00557153" w:rsidRPr="00745E5E">
        <w:rPr>
          <w:i/>
          <w:sz w:val="20"/>
        </w:rPr>
        <w:t>Ns</w:t>
      </w:r>
      <w:r w:rsidR="00557153" w:rsidRPr="00745E5E">
        <w:rPr>
          <w:sz w:val="20"/>
        </w:rPr>
        <w:t xml:space="preserve"> by using a method referred to as grouping, in which only a single Compressed Beamforming Feedback Matrix is reported for each group of </w:t>
      </w:r>
      <w:r w:rsidR="00557153" w:rsidRPr="00745E5E">
        <w:rPr>
          <w:i/>
          <w:sz w:val="20"/>
        </w:rPr>
        <w:t>Ng</w:t>
      </w:r>
      <w:r w:rsidR="00557153" w:rsidRPr="00745E5E">
        <w:rPr>
          <w:sz w:val="20"/>
        </w:rPr>
        <w:t xml:space="preserve"> adjacent </w:t>
      </w:r>
      <w:r w:rsidR="009D40FB" w:rsidRPr="00745E5E">
        <w:rPr>
          <w:sz w:val="20"/>
        </w:rPr>
        <w:t>subcarriers</w:t>
      </w:r>
      <w:r w:rsidR="00557153" w:rsidRPr="00745E5E">
        <w:rPr>
          <w:sz w:val="20"/>
        </w:rPr>
        <w:t>.</w:t>
      </w:r>
      <w:r w:rsidR="00EB59CB" w:rsidRPr="00745E5E">
        <w:rPr>
          <w:sz w:val="20"/>
        </w:rPr>
        <w:t xml:space="preserve"> </w:t>
      </w:r>
      <w:r w:rsidR="00AF60E4" w:rsidRPr="00745E5E">
        <w:rPr>
          <w:sz w:val="20"/>
        </w:rPr>
        <w:t xml:space="preserve">For HE Compressed Beamforming Report, </w:t>
      </w:r>
      <w:r w:rsidR="00EB59CB" w:rsidRPr="00745E5E">
        <w:rPr>
          <w:i/>
          <w:sz w:val="20"/>
        </w:rPr>
        <w:t>Ns</w:t>
      </w:r>
      <w:r w:rsidR="00EB59CB" w:rsidRPr="00745E5E">
        <w:rPr>
          <w:sz w:val="20"/>
        </w:rPr>
        <w:t xml:space="preserve"> is a function of the RU </w:t>
      </w:r>
      <w:r w:rsidR="009D40FB" w:rsidRPr="00745E5E">
        <w:rPr>
          <w:sz w:val="20"/>
        </w:rPr>
        <w:t xml:space="preserve">Start </w:t>
      </w:r>
      <w:r w:rsidR="00EB59CB" w:rsidRPr="00745E5E">
        <w:rPr>
          <w:sz w:val="20"/>
        </w:rPr>
        <w:t xml:space="preserve">Index, RU </w:t>
      </w:r>
      <w:r w:rsidR="009D40FB" w:rsidRPr="00745E5E">
        <w:rPr>
          <w:sz w:val="20"/>
        </w:rPr>
        <w:t xml:space="preserve">End </w:t>
      </w:r>
      <w:r w:rsidR="00EB59CB" w:rsidRPr="00745E5E">
        <w:rPr>
          <w:sz w:val="20"/>
        </w:rPr>
        <w:t>Index, and Grouping subfields in the HE MIMO Control field (see 9.4.1.6</w:t>
      </w:r>
      <w:r w:rsidR="00745E5E" w:rsidRPr="00745E5E">
        <w:rPr>
          <w:sz w:val="20"/>
        </w:rPr>
        <w:t>2</w:t>
      </w:r>
      <w:r w:rsidR="00EB59CB" w:rsidRPr="00745E5E">
        <w:rPr>
          <w:sz w:val="20"/>
        </w:rPr>
        <w:t>)</w:t>
      </w:r>
      <w:r w:rsidR="00AD584D" w:rsidRPr="00745E5E">
        <w:rPr>
          <w:sz w:val="20"/>
        </w:rPr>
        <w:t>.</w:t>
      </w:r>
      <w:r w:rsidR="00101D8F" w:rsidRPr="00745E5E">
        <w:rPr>
          <w:sz w:val="20"/>
        </w:rPr>
        <w:t xml:space="preserve"> </w:t>
      </w:r>
      <w:r w:rsidR="00C84CE6" w:rsidRPr="00745E5E">
        <w:rPr>
          <w:sz w:val="20"/>
        </w:rPr>
        <w:t xml:space="preserve">Subcarriers </w:t>
      </w:r>
      <w:proofErr w:type="spellStart"/>
      <w:proofErr w:type="gramStart"/>
      <w:r w:rsidR="009D40FB" w:rsidRPr="00745E5E">
        <w:rPr>
          <w:i/>
          <w:sz w:val="20"/>
          <w:lang w:val="en-US" w:eastAsia="ko-KR"/>
        </w:rPr>
        <w:t>scidx</w:t>
      </w:r>
      <w:proofErr w:type="spellEnd"/>
      <w:r w:rsidR="009D40FB" w:rsidRPr="00745E5E">
        <w:rPr>
          <w:i/>
          <w:sz w:val="20"/>
          <w:lang w:val="en-US" w:eastAsia="ko-KR"/>
        </w:rPr>
        <w:t>(</w:t>
      </w:r>
      <w:proofErr w:type="gramEnd"/>
      <w:r w:rsidR="009D40FB" w:rsidRPr="00745E5E">
        <w:rPr>
          <w:i/>
          <w:sz w:val="20"/>
          <w:lang w:val="en-US" w:eastAsia="ko-KR"/>
        </w:rPr>
        <w:t xml:space="preserve">0) </w:t>
      </w:r>
      <w:r w:rsidR="009D40FB" w:rsidRPr="00745E5E">
        <w:rPr>
          <w:sz w:val="20"/>
          <w:lang w:val="en-US" w:eastAsia="ko-KR"/>
        </w:rPr>
        <w:t xml:space="preserve">and </w:t>
      </w:r>
      <w:proofErr w:type="spellStart"/>
      <w:r w:rsidR="009D40FB" w:rsidRPr="00745E5E">
        <w:rPr>
          <w:sz w:val="20"/>
          <w:lang w:val="en-US" w:eastAsia="ko-KR"/>
        </w:rPr>
        <w:t>s</w:t>
      </w:r>
      <w:r w:rsidR="009D40FB" w:rsidRPr="00745E5E">
        <w:rPr>
          <w:i/>
          <w:sz w:val="20"/>
          <w:lang w:val="en-US" w:eastAsia="ko-KR"/>
        </w:rPr>
        <w:t>cidx</w:t>
      </w:r>
      <w:proofErr w:type="spellEnd"/>
      <w:r w:rsidR="009D40FB" w:rsidRPr="00745E5E">
        <w:rPr>
          <w:i/>
          <w:sz w:val="20"/>
          <w:lang w:val="en-US" w:eastAsia="ko-KR"/>
        </w:rPr>
        <w:t>(Ns-1)</w:t>
      </w:r>
      <w:r w:rsidR="009D40FB" w:rsidRPr="00745E5E">
        <w:rPr>
          <w:sz w:val="20"/>
          <w:lang w:val="en-US" w:eastAsia="ko-KR"/>
        </w:rPr>
        <w:t xml:space="preserve"> represent the S (Start)-ton</w:t>
      </w:r>
      <w:r w:rsidR="00026FEB" w:rsidRPr="00745E5E">
        <w:rPr>
          <w:sz w:val="20"/>
          <w:lang w:val="en-US" w:eastAsia="ko-KR"/>
        </w:rPr>
        <w:t>e corresponding to the</w:t>
      </w:r>
      <w:r w:rsidR="009D40FB" w:rsidRPr="00745E5E">
        <w:rPr>
          <w:sz w:val="20"/>
          <w:lang w:val="en-US" w:eastAsia="ko-KR"/>
        </w:rPr>
        <w:t xml:space="preserve"> RU </w:t>
      </w:r>
      <w:r w:rsidR="00026FEB" w:rsidRPr="00745E5E">
        <w:rPr>
          <w:sz w:val="20"/>
          <w:lang w:val="en-US" w:eastAsia="ko-KR"/>
        </w:rPr>
        <w:t xml:space="preserve">Start Index and E (End)-tone corresponding to </w:t>
      </w:r>
      <w:r w:rsidR="009D40FB" w:rsidRPr="00745E5E">
        <w:rPr>
          <w:sz w:val="20"/>
          <w:lang w:val="en-US" w:eastAsia="ko-KR"/>
        </w:rPr>
        <w:t xml:space="preserve">the RU End Index, respectively. </w:t>
      </w:r>
      <w:r w:rsidR="00745E5E" w:rsidRPr="00745E5E">
        <w:rPr>
          <w:strike/>
          <w:sz w:val="20"/>
          <w:lang w:val="en-US" w:eastAsia="ko-KR"/>
        </w:rPr>
        <w:t xml:space="preserve">For 40 MHz and 80 MHz, </w:t>
      </w:r>
      <w:proofErr w:type="gramStart"/>
      <w:r w:rsidR="00745E5E" w:rsidRPr="00745E5E">
        <w:rPr>
          <w:strike/>
          <w:sz w:val="20"/>
          <w:lang w:val="en-US" w:eastAsia="ko-KR"/>
        </w:rPr>
        <w:t xml:space="preserve">subcarrier </w:t>
      </w:r>
      <w:proofErr w:type="gramEnd"/>
      <m:oMath>
        <m:r>
          <w:rPr>
            <w:rFonts w:ascii="Cambria Math" w:hAnsi="Cambria Math"/>
            <w:strike/>
            <w:sz w:val="20"/>
            <w:lang w:val="en-US" w:eastAsia="ko-KR"/>
          </w:rPr>
          <m:t>scidx(i) = scidx(i-1)+Ng</m:t>
        </m:r>
      </m:oMath>
      <w:r w:rsidR="00745E5E" w:rsidRPr="00745E5E">
        <w:rPr>
          <w:strike/>
          <w:sz w:val="20"/>
          <w:lang w:val="en-US" w:eastAsia="ko-KR"/>
        </w:rPr>
        <w:t xml:space="preserve">, where </w:t>
      </w:r>
      <m:oMath>
        <m:r>
          <w:rPr>
            <w:rFonts w:ascii="Cambria Math" w:hAnsi="Cambria Math"/>
            <w:strike/>
            <w:sz w:val="20"/>
            <w:lang w:val="en-US" w:eastAsia="ko-KR"/>
          </w:rPr>
          <m:t>1≤i≤Ns-2</m:t>
        </m:r>
      </m:oMath>
      <w:r w:rsidR="00745E5E" w:rsidRPr="00745E5E">
        <w:rPr>
          <w:strike/>
          <w:sz w:val="20"/>
          <w:lang w:val="en-US" w:eastAsia="ko-KR"/>
        </w:rPr>
        <w:t>.</w:t>
      </w:r>
    </w:p>
    <w:p w14:paraId="69124B51" w14:textId="77777777" w:rsidR="00DD59C4" w:rsidRDefault="00C97CB0" w:rsidP="00C97CB0">
      <w:pPr>
        <w:spacing w:after="160" w:line="259" w:lineRule="auto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lastRenderedPageBreak/>
        <w:t xml:space="preserve">For 40 MHz and 80 MHz, when the aforementioned S-tone and E-tone </w:t>
      </w:r>
      <w:r w:rsidR="007B42BA">
        <w:rPr>
          <w:color w:val="FF0000"/>
          <w:sz w:val="20"/>
          <w:u w:val="single"/>
          <w:lang w:val="en-US" w:eastAsia="ko-KR"/>
        </w:rPr>
        <w:t xml:space="preserve">indices </w:t>
      </w:r>
      <w:r>
        <w:rPr>
          <w:color w:val="FF0000"/>
          <w:sz w:val="20"/>
          <w:u w:val="single"/>
          <w:lang w:val="en-US" w:eastAsia="ko-KR"/>
        </w:rPr>
        <w:t xml:space="preserve">lie on the same side of DC, </w:t>
      </w:r>
      <w:proofErr w:type="spellStart"/>
      <w:proofErr w:type="gramStart"/>
      <w:r w:rsidRPr="00C06312"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 w:rsidRPr="00C06312">
        <w:rPr>
          <w:i/>
          <w:color w:val="FF0000"/>
          <w:sz w:val="20"/>
          <w:u w:val="single"/>
          <w:lang w:val="en-US" w:eastAsia="ko-KR"/>
        </w:rPr>
        <w:t>(</w:t>
      </w:r>
      <w:proofErr w:type="spellStart"/>
      <w:proofErr w:type="gramEnd"/>
      <w:r>
        <w:rPr>
          <w:i/>
          <w:color w:val="FF0000"/>
          <w:sz w:val="20"/>
          <w:u w:val="single"/>
          <w:lang w:val="en-US" w:eastAsia="ko-KR"/>
        </w:rPr>
        <w:t>i</w:t>
      </w:r>
      <w:proofErr w:type="spellEnd"/>
      <w:r w:rsidRPr="00C06312">
        <w:rPr>
          <w:i/>
          <w:color w:val="FF0000"/>
          <w:sz w:val="20"/>
          <w:u w:val="single"/>
          <w:lang w:val="en-US" w:eastAsia="ko-KR"/>
        </w:rPr>
        <w:t>)</w:t>
      </w:r>
      <w:r>
        <w:rPr>
          <w:i/>
          <w:color w:val="FF0000"/>
          <w:sz w:val="20"/>
          <w:u w:val="single"/>
          <w:lang w:val="en-US" w:eastAsia="ko-KR"/>
        </w:rPr>
        <w:t xml:space="preserve"> = </w:t>
      </w:r>
      <w:proofErr w:type="spellStart"/>
      <w:r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>
        <w:rPr>
          <w:i/>
          <w:color w:val="FF0000"/>
          <w:sz w:val="20"/>
          <w:u w:val="single"/>
          <w:lang w:val="en-US" w:eastAsia="ko-KR"/>
        </w:rPr>
        <w:t xml:space="preserve">(i-1) + Ng, </w:t>
      </w:r>
      <w:r>
        <w:rPr>
          <w:color w:val="FF0000"/>
          <w:sz w:val="20"/>
          <w:u w:val="single"/>
          <w:lang w:val="en-US" w:eastAsia="ko-KR"/>
        </w:rPr>
        <w:t xml:space="preserve">where 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1≤i≤Ns-2</m:t>
        </m:r>
      </m:oMath>
      <w:r>
        <w:rPr>
          <w:color w:val="FF0000"/>
          <w:sz w:val="20"/>
          <w:u w:val="single"/>
          <w:lang w:val="en-US" w:eastAsia="ko-KR"/>
        </w:rPr>
        <w:t>. However, when</w:t>
      </w:r>
      <w:r w:rsidR="007B42BA">
        <w:rPr>
          <w:color w:val="FF0000"/>
          <w:sz w:val="20"/>
          <w:u w:val="single"/>
          <w:lang w:val="en-US" w:eastAsia="ko-KR"/>
        </w:rPr>
        <w:t xml:space="preserve"> the</w:t>
      </w:r>
      <w:r>
        <w:rPr>
          <w:color w:val="FF0000"/>
          <w:sz w:val="20"/>
          <w:u w:val="single"/>
          <w:lang w:val="en-US" w:eastAsia="ko-KR"/>
        </w:rPr>
        <w:t xml:space="preserve"> S-tone and E-tone </w:t>
      </w:r>
      <w:r w:rsidR="007B42BA">
        <w:rPr>
          <w:color w:val="FF0000"/>
          <w:sz w:val="20"/>
          <w:u w:val="single"/>
          <w:lang w:val="en-US" w:eastAsia="ko-KR"/>
        </w:rPr>
        <w:t xml:space="preserve">indices </w:t>
      </w:r>
      <w:r>
        <w:rPr>
          <w:color w:val="FF0000"/>
          <w:sz w:val="20"/>
          <w:u w:val="single"/>
          <w:lang w:val="en-US" w:eastAsia="ko-KR"/>
        </w:rPr>
        <w:t>lie on different sides of DC, the following relationship</w:t>
      </w:r>
      <w:r w:rsidR="007B42BA">
        <w:rPr>
          <w:color w:val="FF0000"/>
          <w:sz w:val="20"/>
          <w:u w:val="single"/>
          <w:lang w:val="en-US" w:eastAsia="ko-KR"/>
        </w:rPr>
        <w:t>s hold</w:t>
      </w:r>
      <w:r>
        <w:rPr>
          <w:color w:val="FF0000"/>
          <w:sz w:val="20"/>
          <w:u w:val="single"/>
          <w:lang w:val="en-US" w:eastAsia="ko-KR"/>
        </w:rPr>
        <w:t xml:space="preserve"> separately for the two sides of DC.</w:t>
      </w:r>
    </w:p>
    <w:p w14:paraId="0E89C18A" w14:textId="7088D2A2" w:rsidR="00C97CB0" w:rsidRDefault="007B42BA" w:rsidP="00C97CB0">
      <w:pPr>
        <w:spacing w:after="160" w:line="259" w:lineRule="auto"/>
        <w:rPr>
          <w:color w:val="FF0000"/>
          <w:sz w:val="20"/>
          <w:u w:val="single"/>
          <w:lang w:val="en-US" w:eastAsia="ko-KR"/>
        </w:rPr>
      </w:pPr>
      <w:r>
        <w:rPr>
          <w:i/>
          <w:color w:val="FF0000"/>
          <w:sz w:val="20"/>
          <w:u w:val="single"/>
          <w:lang w:val="en-US" w:eastAsia="ko-KR"/>
        </w:rPr>
        <w:t xml:space="preserve">For the left of DC, </w:t>
      </w:r>
      <w:proofErr w:type="spellStart"/>
      <w:proofErr w:type="gramStart"/>
      <w:r w:rsidR="00C97CB0" w:rsidRPr="00C06312"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 w:rsidR="00C97CB0" w:rsidRPr="00C06312">
        <w:rPr>
          <w:i/>
          <w:color w:val="FF0000"/>
          <w:sz w:val="20"/>
          <w:u w:val="single"/>
          <w:lang w:val="en-US" w:eastAsia="ko-KR"/>
        </w:rPr>
        <w:t>(</w:t>
      </w:r>
      <w:proofErr w:type="spellStart"/>
      <w:proofErr w:type="gramEnd"/>
      <w:r w:rsidR="00C97CB0">
        <w:rPr>
          <w:i/>
          <w:color w:val="FF0000"/>
          <w:sz w:val="20"/>
          <w:u w:val="single"/>
          <w:lang w:val="en-US" w:eastAsia="ko-KR"/>
        </w:rPr>
        <w:t>i</w:t>
      </w:r>
      <w:proofErr w:type="spellEnd"/>
      <w:r w:rsidR="00C97CB0" w:rsidRPr="00C06312">
        <w:rPr>
          <w:i/>
          <w:color w:val="FF0000"/>
          <w:sz w:val="20"/>
          <w:u w:val="single"/>
          <w:lang w:val="en-US" w:eastAsia="ko-KR"/>
        </w:rPr>
        <w:t>)</w:t>
      </w:r>
      <w:r w:rsidR="00C97CB0">
        <w:rPr>
          <w:i/>
          <w:color w:val="FF0000"/>
          <w:sz w:val="20"/>
          <w:u w:val="single"/>
          <w:lang w:val="en-US" w:eastAsia="ko-KR"/>
        </w:rPr>
        <w:t xml:space="preserve"> = </w:t>
      </w:r>
      <w:proofErr w:type="spellStart"/>
      <w:r w:rsidR="00C97CB0"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 w:rsidR="00C97CB0">
        <w:rPr>
          <w:i/>
          <w:color w:val="FF0000"/>
          <w:sz w:val="20"/>
          <w:u w:val="single"/>
          <w:lang w:val="en-US" w:eastAsia="ko-KR"/>
        </w:rPr>
        <w:t xml:space="preserve">(i-1) + Ng, </w:t>
      </w:r>
      <w:r w:rsidR="00C97CB0">
        <w:rPr>
          <w:color w:val="FF0000"/>
          <w:sz w:val="20"/>
          <w:u w:val="single"/>
          <w:lang w:val="en-US" w:eastAsia="ko-KR"/>
        </w:rPr>
        <w:t>whe</w:t>
      </w:r>
      <w:r w:rsidR="0068319A">
        <w:rPr>
          <w:color w:val="FF0000"/>
          <w:sz w:val="20"/>
          <w:u w:val="single"/>
          <w:lang w:val="en-US" w:eastAsia="ko-KR"/>
        </w:rPr>
        <w:t>re</w:t>
      </w:r>
      <w:r w:rsidR="00C97CB0">
        <w:rPr>
          <w:color w:val="FF0000"/>
          <w:sz w:val="20"/>
          <w:u w:val="single"/>
          <w:lang w:val="en-US" w:eastAsia="ko-KR"/>
        </w:rPr>
        <w:t xml:space="preserve"> 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1≤i≤L and scidx</m:t>
        </m:r>
        <m:d>
          <m:dPr>
            <m:ctrlPr>
              <w:rPr>
                <w:rFonts w:ascii="Cambria Math" w:hAnsi="Cambria Math"/>
                <w:i/>
                <w:color w:val="FF0000"/>
                <w:sz w:val="20"/>
                <w:u w:val="single"/>
                <w:lang w:val="en-US" w:eastAsia="ko-KR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u w:val="single"/>
                <w:lang w:val="en-US" w:eastAsia="ko-KR"/>
              </w:rPr>
              <m:t>L</m:t>
            </m:r>
          </m:e>
        </m:d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=-4</m:t>
        </m:r>
      </m:oMath>
    </w:p>
    <w:p w14:paraId="250AE2E1" w14:textId="00DE9DFE" w:rsidR="00C97CB0" w:rsidRDefault="007B42BA" w:rsidP="00C97CB0">
      <w:pPr>
        <w:spacing w:after="160" w:line="259" w:lineRule="auto"/>
        <w:rPr>
          <w:color w:val="FF0000"/>
          <w:sz w:val="20"/>
          <w:u w:val="single"/>
          <w:lang w:val="en-US" w:eastAsia="ko-KR"/>
        </w:rPr>
      </w:pPr>
      <w:r>
        <w:rPr>
          <w:i/>
          <w:color w:val="FF0000"/>
          <w:sz w:val="20"/>
          <w:u w:val="single"/>
          <w:lang w:val="en-US" w:eastAsia="ko-KR"/>
        </w:rPr>
        <w:t xml:space="preserve">For the right of DC, </w:t>
      </w:r>
      <w:proofErr w:type="spellStart"/>
      <w:proofErr w:type="gramStart"/>
      <w:r w:rsidR="00C97CB0" w:rsidRPr="00C06312"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 w:rsidR="00C97CB0" w:rsidRPr="00C06312">
        <w:rPr>
          <w:i/>
          <w:color w:val="FF0000"/>
          <w:sz w:val="20"/>
          <w:u w:val="single"/>
          <w:lang w:val="en-US" w:eastAsia="ko-KR"/>
        </w:rPr>
        <w:t>(</w:t>
      </w:r>
      <w:proofErr w:type="spellStart"/>
      <w:proofErr w:type="gramEnd"/>
      <w:r w:rsidR="00C97CB0">
        <w:rPr>
          <w:i/>
          <w:color w:val="FF0000"/>
          <w:sz w:val="20"/>
          <w:u w:val="single"/>
          <w:lang w:val="en-US" w:eastAsia="ko-KR"/>
        </w:rPr>
        <w:t>i</w:t>
      </w:r>
      <w:proofErr w:type="spellEnd"/>
      <w:r w:rsidR="00C97CB0" w:rsidRPr="00C06312">
        <w:rPr>
          <w:i/>
          <w:color w:val="FF0000"/>
          <w:sz w:val="20"/>
          <w:u w:val="single"/>
          <w:lang w:val="en-US" w:eastAsia="ko-KR"/>
        </w:rPr>
        <w:t>)</w:t>
      </w:r>
      <w:r w:rsidR="00C97CB0">
        <w:rPr>
          <w:i/>
          <w:color w:val="FF0000"/>
          <w:sz w:val="20"/>
          <w:u w:val="single"/>
          <w:lang w:val="en-US" w:eastAsia="ko-KR"/>
        </w:rPr>
        <w:t xml:space="preserve"> = </w:t>
      </w:r>
      <w:proofErr w:type="spellStart"/>
      <w:r w:rsidR="00C97CB0">
        <w:rPr>
          <w:i/>
          <w:color w:val="FF0000"/>
          <w:sz w:val="20"/>
          <w:u w:val="single"/>
          <w:lang w:val="en-US" w:eastAsia="ko-KR"/>
        </w:rPr>
        <w:t>scidx</w:t>
      </w:r>
      <w:proofErr w:type="spellEnd"/>
      <w:r w:rsidR="00C97CB0">
        <w:rPr>
          <w:i/>
          <w:color w:val="FF0000"/>
          <w:sz w:val="20"/>
          <w:u w:val="single"/>
          <w:lang w:val="en-US" w:eastAsia="ko-KR"/>
        </w:rPr>
        <w:t xml:space="preserve">(i-1) + Ng, </w:t>
      </w:r>
      <w:r w:rsidR="0068319A" w:rsidRPr="00222EA7">
        <w:rPr>
          <w:color w:val="FF0000"/>
          <w:sz w:val="20"/>
          <w:u w:val="single"/>
          <w:lang w:val="en-US" w:eastAsia="ko-KR"/>
        </w:rPr>
        <w:t>where</w:t>
      </w:r>
      <w:r w:rsidR="00C97CB0">
        <w:rPr>
          <w:color w:val="FF0000"/>
          <w:sz w:val="20"/>
          <w:u w:val="single"/>
          <w:lang w:val="en-US" w:eastAsia="ko-KR"/>
        </w:rPr>
        <w:t xml:space="preserve"> 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 xml:space="preserve"> L+2≤i≤Ns-2</m:t>
        </m:r>
      </m:oMath>
      <w:r w:rsidR="0068319A">
        <w:rPr>
          <w:color w:val="FF0000"/>
          <w:sz w:val="20"/>
          <w:u w:val="single"/>
          <w:lang w:val="en-US" w:eastAsia="ko-KR"/>
        </w:rPr>
        <w:t xml:space="preserve"> and scidx(L+1)</w:t>
      </w:r>
      <w:r w:rsidR="006E186C">
        <w:rPr>
          <w:color w:val="FF0000"/>
          <w:sz w:val="20"/>
          <w:u w:val="single"/>
          <w:lang w:val="en-US" w:eastAsia="ko-KR"/>
        </w:rPr>
        <w:t xml:space="preserve"> </w:t>
      </w:r>
      <w:r w:rsidR="0068319A">
        <w:rPr>
          <w:color w:val="FF0000"/>
          <w:sz w:val="20"/>
          <w:u w:val="single"/>
          <w:lang w:val="en-US" w:eastAsia="ko-KR"/>
        </w:rPr>
        <w:t>=</w:t>
      </w:r>
      <w:r w:rsidR="006E186C">
        <w:rPr>
          <w:color w:val="FF0000"/>
          <w:sz w:val="20"/>
          <w:u w:val="single"/>
          <w:lang w:val="en-US" w:eastAsia="ko-KR"/>
        </w:rPr>
        <w:t xml:space="preserve"> </w:t>
      </w:r>
      <w:r w:rsidR="0068319A">
        <w:rPr>
          <w:color w:val="FF0000"/>
          <w:sz w:val="20"/>
          <w:u w:val="single"/>
          <w:lang w:val="en-US" w:eastAsia="ko-KR"/>
        </w:rPr>
        <w:t xml:space="preserve">4. </w:t>
      </w:r>
    </w:p>
    <w:p w14:paraId="72166CB3" w14:textId="2C3078F6" w:rsidR="005D2DE8" w:rsidRPr="00745E5E" w:rsidRDefault="005D2DE8" w:rsidP="005D2DE8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745E5E">
        <w:rPr>
          <w:rFonts w:ascii="Arial" w:eastAsia="Calibri" w:hAnsi="Arial" w:cs="Arial"/>
          <w:b/>
          <w:sz w:val="20"/>
          <w:lang w:val="en-US"/>
        </w:rPr>
        <w:t>9.4.1.6</w:t>
      </w:r>
      <w:r w:rsidR="00745E5E" w:rsidRPr="00745E5E">
        <w:rPr>
          <w:rFonts w:ascii="Arial" w:eastAsia="Calibri" w:hAnsi="Arial" w:cs="Arial"/>
          <w:b/>
          <w:sz w:val="20"/>
          <w:lang w:val="en-US"/>
        </w:rPr>
        <w:t>4</w:t>
      </w:r>
      <w:r w:rsidRPr="00745E5E">
        <w:rPr>
          <w:rFonts w:ascii="Arial" w:eastAsia="Calibri" w:hAnsi="Arial" w:cs="Arial"/>
          <w:b/>
          <w:sz w:val="20"/>
          <w:lang w:val="en-US"/>
        </w:rPr>
        <w:t xml:space="preserve"> HE MU Exclusive Beamforming Report field</w:t>
      </w:r>
    </w:p>
    <w:p w14:paraId="6756B88B" w14:textId="6D06A649" w:rsidR="00E50086" w:rsidRDefault="00E50086" w:rsidP="00E50086">
      <w:pPr>
        <w:spacing w:after="160" w:line="259" w:lineRule="auto"/>
        <w:rPr>
          <w:color w:val="FF0000"/>
          <w:sz w:val="20"/>
          <w:u w:val="single"/>
        </w:rPr>
      </w:pPr>
      <w:r w:rsidRPr="00C84CE6">
        <w:rPr>
          <w:color w:val="FF0000"/>
          <w:sz w:val="20"/>
          <w:u w:val="single"/>
        </w:rPr>
        <w:t xml:space="preserve">The HE </w:t>
      </w:r>
      <w:r>
        <w:rPr>
          <w:color w:val="FF0000"/>
          <w:sz w:val="20"/>
          <w:u w:val="single"/>
        </w:rPr>
        <w:t xml:space="preserve">MU </w:t>
      </w:r>
      <w:r w:rsidR="000001DC">
        <w:rPr>
          <w:color w:val="FF0000"/>
          <w:sz w:val="20"/>
          <w:u w:val="single"/>
        </w:rPr>
        <w:t>Exclusive</w:t>
      </w:r>
      <w:r w:rsidRPr="00C84CE6">
        <w:rPr>
          <w:color w:val="FF0000"/>
          <w:sz w:val="20"/>
          <w:u w:val="single"/>
        </w:rPr>
        <w:t xml:space="preserve"> Beamforming Report information has the structure and order</w:t>
      </w:r>
      <w:r>
        <w:rPr>
          <w:color w:val="FF0000"/>
          <w:sz w:val="20"/>
          <w:u w:val="single"/>
        </w:rPr>
        <w:t xml:space="preserve"> </w:t>
      </w:r>
      <w:r w:rsidR="00745E5E" w:rsidRPr="00745E5E">
        <w:rPr>
          <w:strike/>
          <w:sz w:val="20"/>
        </w:rPr>
        <w:t>as the VHT MU Exclusive Beamforming Report information defined in Table 9-72 (MU Exclusive Beamforming Report Information)</w:t>
      </w:r>
      <w:r w:rsidR="00745E5E">
        <w:rPr>
          <w:color w:val="FF0000"/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as</w:t>
      </w:r>
      <w:r w:rsidRPr="00C84CE6">
        <w:rPr>
          <w:color w:val="FF0000"/>
          <w:sz w:val="20"/>
          <w:u w:val="single"/>
        </w:rPr>
        <w:t xml:space="preserve"> defined in Table </w:t>
      </w:r>
      <w:r w:rsidR="004266EA">
        <w:rPr>
          <w:color w:val="FF0000"/>
          <w:sz w:val="20"/>
          <w:u w:val="single"/>
        </w:rPr>
        <w:t>B</w:t>
      </w:r>
      <w:r w:rsidR="00AE7D57">
        <w:rPr>
          <w:color w:val="FF0000"/>
          <w:sz w:val="20"/>
          <w:u w:val="single"/>
        </w:rPr>
        <w:t xml:space="preserve"> (</w:t>
      </w:r>
      <w:r w:rsidR="004266EA">
        <w:rPr>
          <w:color w:val="FF0000"/>
          <w:sz w:val="20"/>
          <w:u w:val="single"/>
        </w:rPr>
        <w:t xml:space="preserve">HE </w:t>
      </w:r>
      <w:r w:rsidR="00AE7D57">
        <w:rPr>
          <w:color w:val="FF0000"/>
          <w:sz w:val="20"/>
          <w:u w:val="single"/>
        </w:rPr>
        <w:t>MU Exclusive Beamforming Report information)</w:t>
      </w:r>
      <w:r w:rsidRPr="00C84CE6">
        <w:rPr>
          <w:color w:val="FF0000"/>
          <w:sz w:val="20"/>
          <w:u w:val="single"/>
        </w:rPr>
        <w:t>.</w:t>
      </w:r>
    </w:p>
    <w:p w14:paraId="7E302A84" w14:textId="372860FB" w:rsidR="004266EA" w:rsidRDefault="004266EA" w:rsidP="00E50086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Table B – HE MU Exclusive Beamforming Report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4459"/>
      </w:tblGrid>
      <w:tr w:rsidR="004266EA" w14:paraId="241A2DF0" w14:textId="77777777" w:rsidTr="008E1430">
        <w:tc>
          <w:tcPr>
            <w:tcW w:w="4315" w:type="dxa"/>
          </w:tcPr>
          <w:p w14:paraId="60E7CF8C" w14:textId="6FC6EE66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Field</w:t>
            </w:r>
          </w:p>
        </w:tc>
        <w:tc>
          <w:tcPr>
            <w:tcW w:w="1080" w:type="dxa"/>
          </w:tcPr>
          <w:p w14:paraId="38120F91" w14:textId="3DB4BBA9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Size (Bits)</w:t>
            </w:r>
          </w:p>
        </w:tc>
        <w:tc>
          <w:tcPr>
            <w:tcW w:w="4459" w:type="dxa"/>
          </w:tcPr>
          <w:p w14:paraId="27EC021F" w14:textId="59901EEE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Meaning</w:t>
            </w:r>
          </w:p>
        </w:tc>
      </w:tr>
      <w:tr w:rsidR="004266EA" w14:paraId="6B590904" w14:textId="77777777" w:rsidTr="008E1430">
        <w:tc>
          <w:tcPr>
            <w:tcW w:w="4315" w:type="dxa"/>
          </w:tcPr>
          <w:p w14:paraId="1B611F64" w14:textId="49374439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k=scidx(0)</m:t>
              </m:r>
            </m:oMath>
          </w:p>
        </w:tc>
        <w:tc>
          <w:tcPr>
            <w:tcW w:w="1080" w:type="dxa"/>
          </w:tcPr>
          <w:p w14:paraId="77FDF293" w14:textId="24E3A583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644FFAE5" w14:textId="17724BA0" w:rsidR="004266EA" w:rsidRDefault="00DE319D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,1</m:t>
                  </m:r>
                </m:sub>
              </m:sSub>
            </m:oMath>
            <w:r w:rsidR="004266EA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  <w:tr w:rsidR="004266EA" w14:paraId="77DC890C" w14:textId="77777777" w:rsidTr="008E1430">
        <w:tc>
          <w:tcPr>
            <w:tcW w:w="4315" w:type="dxa"/>
          </w:tcPr>
          <w:p w14:paraId="51BBD8E3" w14:textId="7DD1FA79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2E7C4ED0" w14:textId="13A8BE5E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459" w:type="dxa"/>
          </w:tcPr>
          <w:p w14:paraId="71E84CF0" w14:textId="59BFCE76" w:rsidR="004266EA" w:rsidRDefault="004266EA" w:rsidP="00E50086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4266EA" w14:paraId="18148083" w14:textId="77777777" w:rsidTr="008E1430">
        <w:tc>
          <w:tcPr>
            <w:tcW w:w="4315" w:type="dxa"/>
          </w:tcPr>
          <w:p w14:paraId="628286EC" w14:textId="46B7D0B0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</w:t>
            </w:r>
            <w:proofErr w:type="spellStart"/>
            <w:r>
              <w:rPr>
                <w:color w:val="FF0000"/>
                <w:sz w:val="20"/>
                <w:u w:val="single"/>
              </w:rPr>
              <w:t>Nc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k=scidx(0)</m:t>
              </m:r>
            </m:oMath>
          </w:p>
        </w:tc>
        <w:tc>
          <w:tcPr>
            <w:tcW w:w="1080" w:type="dxa"/>
          </w:tcPr>
          <w:p w14:paraId="447EE56C" w14:textId="3462CA5B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53344A55" w14:textId="4EBB1F2C" w:rsidR="004266EA" w:rsidRDefault="00DE319D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,Nc</m:t>
                  </m:r>
                </m:sub>
              </m:sSub>
            </m:oMath>
            <w:r w:rsidR="004266EA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  <w:tr w:rsidR="004266EA" w14:paraId="69F4634A" w14:textId="77777777" w:rsidTr="008E1430">
        <w:tc>
          <w:tcPr>
            <w:tcW w:w="4315" w:type="dxa"/>
          </w:tcPr>
          <w:p w14:paraId="6592EF10" w14:textId="1CB211BD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k=scidx(1)</m:t>
              </m:r>
            </m:oMath>
          </w:p>
        </w:tc>
        <w:tc>
          <w:tcPr>
            <w:tcW w:w="1080" w:type="dxa"/>
          </w:tcPr>
          <w:p w14:paraId="50EA31F9" w14:textId="4205002A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438BEC48" w14:textId="502239BC" w:rsidR="004266EA" w:rsidRDefault="00DE319D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,1</m:t>
                  </m:r>
                </m:sub>
              </m:sSub>
            </m:oMath>
            <w:r w:rsidR="004266EA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  <w:tr w:rsidR="004266EA" w14:paraId="7E7B4B1D" w14:textId="77777777" w:rsidTr="008E1430">
        <w:tc>
          <w:tcPr>
            <w:tcW w:w="4315" w:type="dxa"/>
          </w:tcPr>
          <w:p w14:paraId="5F92059E" w14:textId="52F784EA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7FEE6246" w14:textId="34469FC2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459" w:type="dxa"/>
          </w:tcPr>
          <w:p w14:paraId="773D1C80" w14:textId="0295F2EE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4266EA" w14:paraId="23EB84FF" w14:textId="77777777" w:rsidTr="008E1430">
        <w:tc>
          <w:tcPr>
            <w:tcW w:w="4315" w:type="dxa"/>
          </w:tcPr>
          <w:p w14:paraId="5AFD9809" w14:textId="50AF3503" w:rsidR="004266EA" w:rsidRDefault="004266EA" w:rsidP="00D948BF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</w:t>
            </w:r>
            <w:proofErr w:type="spellStart"/>
            <w:r w:rsidR="00D948BF">
              <w:rPr>
                <w:color w:val="FF0000"/>
                <w:sz w:val="20"/>
                <w:u w:val="single"/>
              </w:rPr>
              <w:t>Nc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k=scidx(1)</m:t>
              </m:r>
            </m:oMath>
          </w:p>
        </w:tc>
        <w:tc>
          <w:tcPr>
            <w:tcW w:w="1080" w:type="dxa"/>
          </w:tcPr>
          <w:p w14:paraId="4DBE7EE4" w14:textId="1A87C4D9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2016C0B4" w14:textId="466D9789" w:rsidR="004266EA" w:rsidRDefault="00DE319D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,Nc</m:t>
                  </m:r>
                </m:sub>
              </m:sSub>
            </m:oMath>
            <w:r w:rsidR="004266EA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  <w:tr w:rsidR="004266EA" w14:paraId="5D6466C1" w14:textId="77777777" w:rsidTr="008E1430">
        <w:tc>
          <w:tcPr>
            <w:tcW w:w="4315" w:type="dxa"/>
          </w:tcPr>
          <w:p w14:paraId="1D59E8AE" w14:textId="2622C4ED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1D401DF9" w14:textId="7A9566DB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459" w:type="dxa"/>
          </w:tcPr>
          <w:p w14:paraId="3FCAAD3A" w14:textId="702E3720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4266EA" w14:paraId="0A2C7586" w14:textId="77777777" w:rsidTr="004266EA">
        <w:tc>
          <w:tcPr>
            <w:tcW w:w="4315" w:type="dxa"/>
          </w:tcPr>
          <w:p w14:paraId="59A5FD43" w14:textId="6D20479E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k=scidx(Ns-1)</m:t>
              </m:r>
            </m:oMath>
          </w:p>
        </w:tc>
        <w:tc>
          <w:tcPr>
            <w:tcW w:w="1080" w:type="dxa"/>
          </w:tcPr>
          <w:p w14:paraId="4FF1E36F" w14:textId="2B594392" w:rsidR="004266EA" w:rsidRDefault="004266EA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0DAEE8FA" w14:textId="54970937" w:rsidR="004266EA" w:rsidRDefault="00DE319D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,1</m:t>
                  </m:r>
                </m:sub>
              </m:sSub>
            </m:oMath>
            <w:r w:rsidR="004266EA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  <w:tr w:rsidR="004266EA" w14:paraId="7D1E5FAF" w14:textId="77777777" w:rsidTr="004266EA">
        <w:tc>
          <w:tcPr>
            <w:tcW w:w="4315" w:type="dxa"/>
          </w:tcPr>
          <w:p w14:paraId="66A539B8" w14:textId="1A30D456" w:rsidR="004266EA" w:rsidRDefault="00D948BF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1080" w:type="dxa"/>
          </w:tcPr>
          <w:p w14:paraId="6BA42FD8" w14:textId="58F30C61" w:rsidR="004266EA" w:rsidRDefault="00D948BF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  <w:tc>
          <w:tcPr>
            <w:tcW w:w="4459" w:type="dxa"/>
          </w:tcPr>
          <w:p w14:paraId="14CC4FCE" w14:textId="0A899D7D" w:rsidR="004266EA" w:rsidRDefault="00D948BF" w:rsidP="004266EA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…</w:t>
            </w:r>
          </w:p>
        </w:tc>
      </w:tr>
      <w:tr w:rsidR="00D948BF" w14:paraId="0227D80B" w14:textId="77777777" w:rsidTr="004266EA">
        <w:tc>
          <w:tcPr>
            <w:tcW w:w="4315" w:type="dxa"/>
          </w:tcPr>
          <w:p w14:paraId="7132DC27" w14:textId="46A64314" w:rsidR="00D948BF" w:rsidRDefault="00D948BF" w:rsidP="00D948BF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Delta SNR for space-time stream </w:t>
            </w:r>
            <w:proofErr w:type="spellStart"/>
            <w:r>
              <w:rPr>
                <w:color w:val="FF0000"/>
                <w:sz w:val="20"/>
                <w:u w:val="single"/>
              </w:rPr>
              <w:t>Nc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for subcarrier </w:t>
            </w:r>
            <m:oMath>
              <m:r>
                <w:rPr>
                  <w:rFonts w:ascii="Cambria Math" w:hAnsi="Cambria Math"/>
                  <w:color w:val="FF0000"/>
                  <w:sz w:val="20"/>
                  <w:u w:val="single"/>
                </w:rPr>
                <m:t>k=scidx(Ns-1)</m:t>
              </m:r>
            </m:oMath>
          </w:p>
        </w:tc>
        <w:tc>
          <w:tcPr>
            <w:tcW w:w="1080" w:type="dxa"/>
          </w:tcPr>
          <w:p w14:paraId="4734A50D" w14:textId="000794B8" w:rsidR="00D948BF" w:rsidRDefault="00D948BF" w:rsidP="00D948BF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4</w:t>
            </w:r>
          </w:p>
        </w:tc>
        <w:tc>
          <w:tcPr>
            <w:tcW w:w="4459" w:type="dxa"/>
          </w:tcPr>
          <w:p w14:paraId="49ACB851" w14:textId="667688C0" w:rsidR="00D948BF" w:rsidRDefault="00DE319D" w:rsidP="00A2621E">
            <w:pPr>
              <w:spacing w:after="160" w:line="259" w:lineRule="auto"/>
              <w:rPr>
                <w:color w:val="FF0000"/>
                <w:sz w:val="2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u w:val="singl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u w:val="singl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u w:val="single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u w:val="single"/>
                    </w:rPr>
                    <m:t>,Nc</m:t>
                  </m:r>
                </m:sub>
              </m:sSub>
            </m:oMath>
            <w:r w:rsidR="00A2621E">
              <w:rPr>
                <w:color w:val="FF0000"/>
                <w:sz w:val="20"/>
                <w:u w:val="single"/>
              </w:rPr>
              <w:t xml:space="preserve"> as defined in Equation (9-2)</w:t>
            </w:r>
          </w:p>
        </w:tc>
      </w:tr>
    </w:tbl>
    <w:p w14:paraId="6BEE7C6D" w14:textId="77777777" w:rsidR="004266EA" w:rsidRPr="00C84CE6" w:rsidRDefault="004266EA" w:rsidP="00E50086">
      <w:pPr>
        <w:spacing w:after="160" w:line="259" w:lineRule="auto"/>
        <w:rPr>
          <w:color w:val="FF0000"/>
          <w:sz w:val="20"/>
          <w:u w:val="single"/>
        </w:rPr>
      </w:pPr>
    </w:p>
    <w:p w14:paraId="0CD22FDF" w14:textId="63900CE0" w:rsidR="00BB6DFA" w:rsidRPr="00D72BC2" w:rsidRDefault="00904ACE" w:rsidP="002D3B4B">
      <w:pPr>
        <w:spacing w:after="160" w:line="259" w:lineRule="auto"/>
        <w:rPr>
          <w:color w:val="FF0000"/>
          <w:sz w:val="20"/>
          <w:u w:val="single"/>
          <w:lang w:val="en-US" w:eastAsia="ko-KR"/>
        </w:rPr>
      </w:pPr>
      <w:r w:rsidRPr="00D72BC2">
        <w:rPr>
          <w:color w:val="FF0000"/>
          <w:sz w:val="20"/>
          <w:u w:val="single"/>
          <w:lang w:val="en-US" w:eastAsia="ko-KR"/>
        </w:rPr>
        <w:t xml:space="preserve">In Table </w:t>
      </w:r>
      <w:r w:rsidR="00D948BF">
        <w:rPr>
          <w:color w:val="FF0000"/>
          <w:sz w:val="20"/>
          <w:u w:val="single"/>
          <w:lang w:val="en-US" w:eastAsia="ko-KR"/>
        </w:rPr>
        <w:t>B</w:t>
      </w:r>
      <w:r w:rsidRPr="00D72BC2">
        <w:rPr>
          <w:color w:val="FF0000"/>
          <w:sz w:val="20"/>
          <w:u w:val="single"/>
          <w:lang w:val="en-US" w:eastAsia="ko-KR"/>
        </w:rPr>
        <w:t xml:space="preserve">, </w:t>
      </w:r>
      <w:r w:rsidRPr="00D72BC2">
        <w:rPr>
          <w:i/>
          <w:color w:val="FF0000"/>
          <w:sz w:val="20"/>
          <w:u w:val="single"/>
          <w:lang w:val="en-US" w:eastAsia="ko-KR"/>
        </w:rPr>
        <w:t xml:space="preserve">Ns </w:t>
      </w:r>
      <w:r w:rsidR="002D3B4B">
        <w:rPr>
          <w:color w:val="FF0000"/>
          <w:sz w:val="20"/>
          <w:u w:val="single"/>
          <w:lang w:val="en-US" w:eastAsia="ko-KR"/>
        </w:rPr>
        <w:t xml:space="preserve">and </w:t>
      </w:r>
      <w:proofErr w:type="spellStart"/>
      <w:proofErr w:type="gramStart"/>
      <w:r w:rsidR="002D3B4B">
        <w:rPr>
          <w:color w:val="FF0000"/>
          <w:sz w:val="20"/>
          <w:u w:val="single"/>
          <w:lang w:val="en-US" w:eastAsia="ko-KR"/>
        </w:rPr>
        <w:t>scidx</w:t>
      </w:r>
      <w:proofErr w:type="spellEnd"/>
      <w:r w:rsidR="002D3B4B">
        <w:rPr>
          <w:color w:val="FF0000"/>
          <w:sz w:val="20"/>
          <w:u w:val="single"/>
          <w:lang w:val="en-US" w:eastAsia="ko-KR"/>
        </w:rPr>
        <w:t>(</w:t>
      </w:r>
      <w:proofErr w:type="gramEnd"/>
      <w:r w:rsidR="002D3B4B">
        <w:rPr>
          <w:color w:val="FF0000"/>
          <w:sz w:val="20"/>
          <w:u w:val="single"/>
          <w:lang w:val="en-US" w:eastAsia="ko-KR"/>
        </w:rPr>
        <w:t>) are as defined in 9.4.1.6</w:t>
      </w:r>
      <w:r w:rsidR="005E418F">
        <w:rPr>
          <w:color w:val="FF0000"/>
          <w:sz w:val="20"/>
          <w:u w:val="single"/>
          <w:lang w:val="en-US" w:eastAsia="ko-KR"/>
        </w:rPr>
        <w:t>3</w:t>
      </w:r>
      <w:r w:rsidRPr="00D72BC2">
        <w:rPr>
          <w:color w:val="FF0000"/>
          <w:sz w:val="20"/>
          <w:u w:val="single"/>
          <w:lang w:val="en-US" w:eastAsia="ko-KR"/>
        </w:rPr>
        <w:t>.</w:t>
      </w:r>
      <w:r w:rsidR="00C84CE6">
        <w:rPr>
          <w:color w:val="FF0000"/>
          <w:sz w:val="20"/>
          <w:u w:val="single"/>
          <w:lang w:val="en-US" w:eastAsia="ko-KR"/>
        </w:rPr>
        <w:t xml:space="preserve"> </w:t>
      </w:r>
      <w:r w:rsidR="002D3B4B">
        <w:rPr>
          <w:color w:val="FF0000"/>
          <w:sz w:val="20"/>
          <w:u w:val="single"/>
          <w:lang w:val="en-US" w:eastAsia="ko-KR"/>
        </w:rPr>
        <w:t xml:space="preserve"> </w:t>
      </w:r>
      <w:r w:rsidR="00745E5E" w:rsidRPr="00745E5E">
        <w:rPr>
          <w:strike/>
          <w:sz w:val="20"/>
        </w:rPr>
        <w:t xml:space="preserve">In Table 9-72 (MU Exclusive Beamforming Report information), </w:t>
      </w:r>
      <w:r w:rsidR="00745E5E" w:rsidRPr="00745E5E">
        <w:rPr>
          <w:i/>
          <w:iCs/>
          <w:strike/>
          <w:sz w:val="20"/>
        </w:rPr>
        <w:t>Ns</w:t>
      </w:r>
      <w:r w:rsidR="00745E5E" w:rsidRPr="00745E5E">
        <w:rPr>
          <w:i/>
          <w:iCs/>
          <w:strike/>
          <w:sz w:val="20"/>
        </w:rPr>
        <w:t>’</w:t>
      </w:r>
      <w:r w:rsidR="00745E5E" w:rsidRPr="00745E5E">
        <w:rPr>
          <w:strike/>
          <w:sz w:val="20"/>
        </w:rPr>
        <w:t xml:space="preserve"> is the number of subcarriers for which the Delta SNR subfield is sent back to the </w:t>
      </w:r>
      <w:proofErr w:type="spellStart"/>
      <w:r w:rsidR="00745E5E" w:rsidRPr="00745E5E">
        <w:rPr>
          <w:strike/>
          <w:sz w:val="20"/>
        </w:rPr>
        <w:t>beamformer</w:t>
      </w:r>
      <w:proofErr w:type="spellEnd"/>
      <w:r w:rsidR="00745E5E" w:rsidRPr="00745E5E">
        <w:rPr>
          <w:strike/>
          <w:sz w:val="20"/>
        </w:rPr>
        <w:t xml:space="preserve">. Subcarriers </w:t>
      </w:r>
      <w:proofErr w:type="spellStart"/>
      <w:proofErr w:type="gramStart"/>
      <w:r w:rsidR="00745E5E" w:rsidRPr="00745E5E">
        <w:rPr>
          <w:i/>
          <w:iCs/>
          <w:strike/>
          <w:sz w:val="20"/>
        </w:rPr>
        <w:t>sscidx</w:t>
      </w:r>
      <w:proofErr w:type="spellEnd"/>
      <w:r w:rsidR="00745E5E" w:rsidRPr="00745E5E">
        <w:rPr>
          <w:strike/>
          <w:sz w:val="20"/>
        </w:rPr>
        <w:t>(</w:t>
      </w:r>
      <w:proofErr w:type="gramEnd"/>
      <w:r w:rsidR="00745E5E" w:rsidRPr="00745E5E">
        <w:rPr>
          <w:strike/>
          <w:sz w:val="20"/>
        </w:rPr>
        <w:t xml:space="preserve">0) and </w:t>
      </w:r>
      <w:proofErr w:type="spellStart"/>
      <w:r w:rsidR="00745E5E" w:rsidRPr="00745E5E">
        <w:rPr>
          <w:i/>
          <w:iCs/>
          <w:strike/>
          <w:sz w:val="20"/>
        </w:rPr>
        <w:t>sscidx</w:t>
      </w:r>
      <w:proofErr w:type="spellEnd"/>
      <w:r w:rsidR="00745E5E" w:rsidRPr="00745E5E">
        <w:rPr>
          <w:strike/>
          <w:sz w:val="20"/>
        </w:rPr>
        <w:t>(</w:t>
      </w:r>
      <w:r w:rsidR="00745E5E" w:rsidRPr="00745E5E">
        <w:rPr>
          <w:i/>
          <w:iCs/>
          <w:strike/>
          <w:sz w:val="20"/>
        </w:rPr>
        <w:t>Ns</w:t>
      </w:r>
      <w:r w:rsidR="00745E5E" w:rsidRPr="00745E5E">
        <w:rPr>
          <w:strike/>
          <w:sz w:val="20"/>
        </w:rPr>
        <w:t>’-</w:t>
      </w:r>
      <w:r w:rsidR="00745E5E" w:rsidRPr="00745E5E">
        <w:rPr>
          <w:strike/>
          <w:sz w:val="20"/>
        </w:rPr>
        <w:t xml:space="preserve"> 1) represent the S-tone corresponding to the RU Start Index and E-tone corresponding to the RU End Index, respectively. For 40 MHz and 80 MHz, subcarrier </w:t>
      </w:r>
      <w:proofErr w:type="spellStart"/>
      <w:proofErr w:type="gramStart"/>
      <w:r w:rsidR="00745E5E" w:rsidRPr="00745E5E">
        <w:rPr>
          <w:i/>
          <w:iCs/>
          <w:strike/>
          <w:sz w:val="20"/>
        </w:rPr>
        <w:t>sscidx</w:t>
      </w:r>
      <w:proofErr w:type="spellEnd"/>
      <w:r w:rsidR="00745E5E" w:rsidRPr="00745E5E">
        <w:rPr>
          <w:strike/>
          <w:sz w:val="20"/>
        </w:rPr>
        <w:t>(</w:t>
      </w:r>
      <w:proofErr w:type="spellStart"/>
      <w:proofErr w:type="gramEnd"/>
      <w:r w:rsidR="00745E5E" w:rsidRPr="00745E5E">
        <w:rPr>
          <w:strike/>
          <w:sz w:val="20"/>
        </w:rPr>
        <w:t>i</w:t>
      </w:r>
      <w:proofErr w:type="spellEnd"/>
      <w:r w:rsidR="00745E5E" w:rsidRPr="00745E5E">
        <w:rPr>
          <w:strike/>
          <w:sz w:val="20"/>
        </w:rPr>
        <w:t xml:space="preserve">) = </w:t>
      </w:r>
      <w:proofErr w:type="spellStart"/>
      <w:r w:rsidR="00745E5E" w:rsidRPr="00745E5E">
        <w:rPr>
          <w:i/>
          <w:iCs/>
          <w:strike/>
          <w:sz w:val="20"/>
        </w:rPr>
        <w:t>sscidx</w:t>
      </w:r>
      <w:proofErr w:type="spellEnd"/>
      <w:r w:rsidR="00745E5E" w:rsidRPr="00745E5E">
        <w:rPr>
          <w:strike/>
          <w:sz w:val="20"/>
        </w:rPr>
        <w:t>(</w:t>
      </w:r>
      <w:proofErr w:type="spellStart"/>
      <w:r w:rsidR="00745E5E" w:rsidRPr="00745E5E">
        <w:rPr>
          <w:i/>
          <w:iCs/>
          <w:strike/>
          <w:sz w:val="20"/>
        </w:rPr>
        <w:t>i</w:t>
      </w:r>
      <w:proofErr w:type="spellEnd"/>
      <w:r w:rsidR="00745E5E" w:rsidRPr="00745E5E">
        <w:rPr>
          <w:i/>
          <w:iCs/>
          <w:strike/>
          <w:sz w:val="20"/>
        </w:rPr>
        <w:t>-</w:t>
      </w:r>
      <w:r w:rsidR="00745E5E" w:rsidRPr="00745E5E">
        <w:rPr>
          <w:strike/>
          <w:sz w:val="20"/>
        </w:rPr>
        <w:t xml:space="preserve"> 1) + </w:t>
      </w:r>
      <w:r w:rsidR="00745E5E" w:rsidRPr="00745E5E">
        <w:rPr>
          <w:i/>
          <w:iCs/>
          <w:strike/>
          <w:sz w:val="20"/>
        </w:rPr>
        <w:t>Ng</w:t>
      </w:r>
      <w:r w:rsidR="00745E5E" w:rsidRPr="00745E5E">
        <w:rPr>
          <w:strike/>
          <w:sz w:val="20"/>
        </w:rPr>
        <w:t xml:space="preserve">, where 1 ≤ </w:t>
      </w:r>
      <w:proofErr w:type="spellStart"/>
      <w:r w:rsidR="00745E5E" w:rsidRPr="00745E5E">
        <w:rPr>
          <w:strike/>
          <w:sz w:val="20"/>
        </w:rPr>
        <w:t>i</w:t>
      </w:r>
      <w:proofErr w:type="spellEnd"/>
      <w:r w:rsidR="00745E5E" w:rsidRPr="00745E5E">
        <w:rPr>
          <w:strike/>
          <w:sz w:val="20"/>
        </w:rPr>
        <w:t xml:space="preserve"> ≤ </w:t>
      </w:r>
      <w:r w:rsidR="00745E5E" w:rsidRPr="00745E5E">
        <w:rPr>
          <w:i/>
          <w:iCs/>
          <w:strike/>
          <w:sz w:val="20"/>
        </w:rPr>
        <w:t>Ns</w:t>
      </w:r>
      <w:r w:rsidR="00745E5E" w:rsidRPr="00745E5E">
        <w:rPr>
          <w:strike/>
          <w:sz w:val="20"/>
        </w:rPr>
        <w:t>’-</w:t>
      </w:r>
      <w:r w:rsidR="00745E5E" w:rsidRPr="00745E5E">
        <w:rPr>
          <w:strike/>
          <w:sz w:val="20"/>
        </w:rPr>
        <w:t xml:space="preserve"> 2. The S-tone and E-tone corresponding to the possible RU indices are listed in Table 9-76b (Feedback subcarrier indices indicating start 26-tone RU index and end 26-tone RU index for Ng = 4) for </w:t>
      </w:r>
      <w:r w:rsidR="00745E5E" w:rsidRPr="00745E5E">
        <w:rPr>
          <w:i/>
          <w:iCs/>
          <w:strike/>
          <w:sz w:val="20"/>
        </w:rPr>
        <w:t xml:space="preserve">Ng </w:t>
      </w:r>
      <w:r w:rsidR="00745E5E" w:rsidRPr="00745E5E">
        <w:rPr>
          <w:strike/>
          <w:sz w:val="20"/>
        </w:rPr>
        <w:t xml:space="preserve">= 4 and Table 9-76c (Feedback subcarrier indices indicating start 26-tone RU index and end 26-tone RU index for Ng = 16) for </w:t>
      </w:r>
      <w:r w:rsidR="00745E5E" w:rsidRPr="00745E5E">
        <w:rPr>
          <w:i/>
          <w:iCs/>
          <w:strike/>
          <w:sz w:val="20"/>
        </w:rPr>
        <w:t xml:space="preserve">Ng </w:t>
      </w:r>
      <w:r w:rsidR="00745E5E" w:rsidRPr="00745E5E">
        <w:rPr>
          <w:strike/>
          <w:sz w:val="20"/>
        </w:rPr>
        <w:t xml:space="preserve">= 16. For 160 MHz, to determine the S-tone and E-tone, RUs 37 to 73 occupying the higher 80 MHz use the same entries in Table 9-76b (Feedback subcarrier indices indicating start 26-tone RU index and end 26- tone RU index for Ng = 4) and Table 9-76c (Feedback subcarrier indices indicating start 26-tone RU index and end 26-tone RU index for Ng = 16) as RUs 0 to 36 occupying the lower 80 MHz. For 20 MHz, </w:t>
      </w:r>
      <w:proofErr w:type="spellStart"/>
      <w:r w:rsidR="00745E5E" w:rsidRPr="00745E5E">
        <w:rPr>
          <w:i/>
          <w:iCs/>
          <w:strike/>
          <w:sz w:val="20"/>
        </w:rPr>
        <w:t>sscidx</w:t>
      </w:r>
      <w:proofErr w:type="spellEnd"/>
      <w:r w:rsidR="00745E5E" w:rsidRPr="00745E5E">
        <w:rPr>
          <w:strike/>
          <w:sz w:val="20"/>
        </w:rPr>
        <w:t>(</w:t>
      </w:r>
      <w:proofErr w:type="spellStart"/>
      <w:r w:rsidR="00745E5E" w:rsidRPr="00745E5E">
        <w:rPr>
          <w:i/>
          <w:iCs/>
          <w:strike/>
          <w:sz w:val="20"/>
        </w:rPr>
        <w:t>i</w:t>
      </w:r>
      <w:proofErr w:type="spellEnd"/>
      <w:r w:rsidR="00745E5E" w:rsidRPr="00745E5E">
        <w:rPr>
          <w:strike/>
          <w:sz w:val="20"/>
        </w:rPr>
        <w:t xml:space="preserve">), where 1 ≤ </w:t>
      </w:r>
      <w:proofErr w:type="spellStart"/>
      <w:r w:rsidR="00745E5E" w:rsidRPr="00745E5E">
        <w:rPr>
          <w:strike/>
          <w:sz w:val="20"/>
        </w:rPr>
        <w:t>i</w:t>
      </w:r>
      <w:proofErr w:type="spellEnd"/>
      <w:r w:rsidR="00745E5E" w:rsidRPr="00745E5E">
        <w:rPr>
          <w:strike/>
          <w:sz w:val="20"/>
        </w:rPr>
        <w:t xml:space="preserve"> ≤ </w:t>
      </w:r>
      <w:r w:rsidR="00745E5E" w:rsidRPr="00745E5E">
        <w:rPr>
          <w:i/>
          <w:iCs/>
          <w:strike/>
          <w:sz w:val="20"/>
        </w:rPr>
        <w:t>Ns</w:t>
      </w:r>
      <w:r w:rsidR="00745E5E" w:rsidRPr="00745E5E">
        <w:rPr>
          <w:strike/>
          <w:sz w:val="20"/>
        </w:rPr>
        <w:t>’-</w:t>
      </w:r>
      <w:r w:rsidR="00745E5E" w:rsidRPr="00745E5E">
        <w:rPr>
          <w:strike/>
          <w:sz w:val="20"/>
        </w:rPr>
        <w:t xml:space="preserve"> 2, includes all subcarrier indices between the S-tone and the E-tone subcarrier indices</w:t>
      </w:r>
      <w:r w:rsidR="00745E5E">
        <w:rPr>
          <w:strike/>
          <w:sz w:val="20"/>
        </w:rPr>
        <w:t xml:space="preserve"> </w:t>
      </w:r>
      <w:r w:rsidR="00745E5E" w:rsidRPr="00745E5E">
        <w:rPr>
          <w:strike/>
          <w:sz w:val="20"/>
        </w:rPr>
        <w:t xml:space="preserve">described in Table 9-76d (Feedback subcarrier indices for 20 MHz bandwidth for Ng = 4 and Ng = 16) for </w:t>
      </w:r>
      <w:r w:rsidR="00745E5E" w:rsidRPr="00745E5E">
        <w:rPr>
          <w:i/>
          <w:iCs/>
          <w:strike/>
          <w:sz w:val="20"/>
        </w:rPr>
        <w:t xml:space="preserve">Ng </w:t>
      </w:r>
      <w:r w:rsidR="00745E5E" w:rsidRPr="00745E5E">
        <w:rPr>
          <w:strike/>
          <w:sz w:val="20"/>
        </w:rPr>
        <w:t xml:space="preserve">= 4 and </w:t>
      </w:r>
      <w:r w:rsidR="00745E5E" w:rsidRPr="00745E5E">
        <w:rPr>
          <w:i/>
          <w:iCs/>
          <w:strike/>
          <w:sz w:val="20"/>
        </w:rPr>
        <w:t xml:space="preserve">Ng </w:t>
      </w:r>
      <w:r w:rsidR="00745E5E" w:rsidRPr="00745E5E">
        <w:rPr>
          <w:strike/>
          <w:sz w:val="20"/>
        </w:rPr>
        <w:t>= 16.</w:t>
      </w:r>
    </w:p>
    <w:p w14:paraId="0BB3691F" w14:textId="77777777" w:rsidR="00813F18" w:rsidRDefault="00813F18" w:rsidP="00E96A66">
      <w:pPr>
        <w:spacing w:after="160" w:line="259" w:lineRule="auto"/>
        <w:rPr>
          <w:sz w:val="20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47B88A9" w14:textId="00421762" w:rsidR="00382603" w:rsidRPr="008E1430" w:rsidRDefault="00E20BEE" w:rsidP="00FE163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A135FE">
        <w:rPr>
          <w:b/>
          <w:color w:val="000000"/>
          <w:sz w:val="28"/>
          <w:lang w:val="en-US" w:eastAsia="ko-KR"/>
        </w:rPr>
        <w:t>/D0.</w:t>
      </w:r>
      <w:r w:rsidR="006F65A4">
        <w:rPr>
          <w:b/>
          <w:color w:val="000000"/>
          <w:sz w:val="28"/>
          <w:lang w:val="en-US" w:eastAsia="ko-KR"/>
        </w:rPr>
        <w:t>4</w:t>
      </w:r>
      <w:r w:rsidR="00CA7041">
        <w:rPr>
          <w:b/>
          <w:color w:val="000000"/>
          <w:sz w:val="28"/>
          <w:lang w:val="en-US" w:eastAsia="ko-KR"/>
        </w:rPr>
        <w:t xml:space="preserve">, </w:t>
      </w:r>
      <w:r w:rsidR="006F65A4">
        <w:rPr>
          <w:b/>
          <w:color w:val="000000"/>
          <w:sz w:val="28"/>
          <w:lang w:val="en-US" w:eastAsia="ko-KR"/>
        </w:rPr>
        <w:t>Aug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382603" w:rsidRPr="008E143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31582" w14:textId="77777777" w:rsidR="003352BE" w:rsidRDefault="003352BE">
      <w:r>
        <w:separator/>
      </w:r>
    </w:p>
  </w:endnote>
  <w:endnote w:type="continuationSeparator" w:id="0">
    <w:p w14:paraId="538EB5D4" w14:textId="77777777" w:rsidR="003352BE" w:rsidRDefault="003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DE319D" w:rsidRDefault="00DE31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23347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Lochan Verma &amp; Sameer Vermani</w:t>
    </w:r>
    <w:r>
      <w:t>, Qualcomm Inc.</w:t>
    </w:r>
  </w:p>
  <w:p w14:paraId="68131EC6" w14:textId="77777777" w:rsidR="00DE319D" w:rsidRDefault="00DE31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C269" w14:textId="77777777" w:rsidR="003352BE" w:rsidRDefault="003352BE">
      <w:r>
        <w:separator/>
      </w:r>
    </w:p>
  </w:footnote>
  <w:footnote w:type="continuationSeparator" w:id="0">
    <w:p w14:paraId="1894137D" w14:textId="77777777" w:rsidR="003352BE" w:rsidRDefault="0033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37C9267" w:rsidR="00DE319D" w:rsidRDefault="00DE319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802.11-16/01097</w:t>
      </w:r>
      <w:r>
        <w:rPr>
          <w:lang w:eastAsia="ko-KR"/>
        </w:rPr>
        <w:t>r</w:t>
      </w:r>
    </w:fldSimple>
    <w:r w:rsidR="007E484B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8550BF3"/>
    <w:multiLevelType w:val="hybridMultilevel"/>
    <w:tmpl w:val="C5003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14"/>
  </w:num>
  <w:num w:numId="16">
    <w:abstractNumId w:val="13"/>
  </w:num>
  <w:num w:numId="17">
    <w:abstractNumId w:val="17"/>
  </w:num>
  <w:num w:numId="18">
    <w:abstractNumId w:val="13"/>
  </w:num>
  <w:num w:numId="19">
    <w:abstractNumId w:val="17"/>
  </w:num>
  <w:num w:numId="20">
    <w:abstractNumId w:val="19"/>
  </w:num>
  <w:num w:numId="21">
    <w:abstractNumId w:val="7"/>
  </w:num>
  <w:num w:numId="22">
    <w:abstractNumId w:val="15"/>
  </w:num>
  <w:num w:numId="23">
    <w:abstractNumId w:val="18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079FE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3D4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60630"/>
    <w:rsid w:val="0006194B"/>
    <w:rsid w:val="00063073"/>
    <w:rsid w:val="000642FC"/>
    <w:rsid w:val="0006469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E1E"/>
    <w:rsid w:val="00084297"/>
    <w:rsid w:val="000865AA"/>
    <w:rsid w:val="00086780"/>
    <w:rsid w:val="00087534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713F"/>
    <w:rsid w:val="00097BAC"/>
    <w:rsid w:val="000A1C31"/>
    <w:rsid w:val="000A1F25"/>
    <w:rsid w:val="000A4D1E"/>
    <w:rsid w:val="000A671D"/>
    <w:rsid w:val="000A7680"/>
    <w:rsid w:val="000A7CD1"/>
    <w:rsid w:val="000B041A"/>
    <w:rsid w:val="000B083E"/>
    <w:rsid w:val="000B0DAF"/>
    <w:rsid w:val="000B50F5"/>
    <w:rsid w:val="000B58CF"/>
    <w:rsid w:val="000B59FE"/>
    <w:rsid w:val="000C1B3F"/>
    <w:rsid w:val="000C3186"/>
    <w:rsid w:val="000C3193"/>
    <w:rsid w:val="000C54F3"/>
    <w:rsid w:val="000C5EF5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AF4"/>
    <w:rsid w:val="00115B7B"/>
    <w:rsid w:val="00117299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20E5"/>
    <w:rsid w:val="001448D8"/>
    <w:rsid w:val="001449D1"/>
    <w:rsid w:val="001450BB"/>
    <w:rsid w:val="001459E7"/>
    <w:rsid w:val="00145C98"/>
    <w:rsid w:val="00146D19"/>
    <w:rsid w:val="00146D5E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830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27E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1167"/>
    <w:rsid w:val="001C4C93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E7E20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806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2EA7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C13"/>
    <w:rsid w:val="002369FD"/>
    <w:rsid w:val="00236A7E"/>
    <w:rsid w:val="0023760F"/>
    <w:rsid w:val="00237985"/>
    <w:rsid w:val="00240895"/>
    <w:rsid w:val="00241AD7"/>
    <w:rsid w:val="00245EFB"/>
    <w:rsid w:val="002470AC"/>
    <w:rsid w:val="0024720B"/>
    <w:rsid w:val="00252D47"/>
    <w:rsid w:val="0025375C"/>
    <w:rsid w:val="002539AB"/>
    <w:rsid w:val="002543E6"/>
    <w:rsid w:val="00255A8B"/>
    <w:rsid w:val="002616E1"/>
    <w:rsid w:val="002618B9"/>
    <w:rsid w:val="00262D56"/>
    <w:rsid w:val="00263092"/>
    <w:rsid w:val="0026342D"/>
    <w:rsid w:val="0026408E"/>
    <w:rsid w:val="002662A5"/>
    <w:rsid w:val="002674D1"/>
    <w:rsid w:val="00270171"/>
    <w:rsid w:val="00270F98"/>
    <w:rsid w:val="00273257"/>
    <w:rsid w:val="00273F9F"/>
    <w:rsid w:val="00273FA9"/>
    <w:rsid w:val="00274A4A"/>
    <w:rsid w:val="00275595"/>
    <w:rsid w:val="002773F1"/>
    <w:rsid w:val="00281013"/>
    <w:rsid w:val="00281A5D"/>
    <w:rsid w:val="00282053"/>
    <w:rsid w:val="002823EC"/>
    <w:rsid w:val="00282EFB"/>
    <w:rsid w:val="002833DD"/>
    <w:rsid w:val="00283DAF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C6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D001B"/>
    <w:rsid w:val="002D1D40"/>
    <w:rsid w:val="002D1F74"/>
    <w:rsid w:val="002D3073"/>
    <w:rsid w:val="002D3B4B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183A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52BE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603"/>
    <w:rsid w:val="00382C54"/>
    <w:rsid w:val="00383766"/>
    <w:rsid w:val="00383C03"/>
    <w:rsid w:val="00383D1B"/>
    <w:rsid w:val="003847B5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209D5"/>
    <w:rsid w:val="00421159"/>
    <w:rsid w:val="00421A46"/>
    <w:rsid w:val="00422546"/>
    <w:rsid w:val="00422A0F"/>
    <w:rsid w:val="00422D5C"/>
    <w:rsid w:val="004230B2"/>
    <w:rsid w:val="00423116"/>
    <w:rsid w:val="00423634"/>
    <w:rsid w:val="004266EA"/>
    <w:rsid w:val="004270C7"/>
    <w:rsid w:val="00430648"/>
    <w:rsid w:val="00430E74"/>
    <w:rsid w:val="00432069"/>
    <w:rsid w:val="004332BB"/>
    <w:rsid w:val="004339CB"/>
    <w:rsid w:val="00435208"/>
    <w:rsid w:val="00435703"/>
    <w:rsid w:val="00435BE9"/>
    <w:rsid w:val="0043632B"/>
    <w:rsid w:val="00437814"/>
    <w:rsid w:val="004402C9"/>
    <w:rsid w:val="00440D58"/>
    <w:rsid w:val="00440FF1"/>
    <w:rsid w:val="004417F2"/>
    <w:rsid w:val="00442799"/>
    <w:rsid w:val="00443FBF"/>
    <w:rsid w:val="004452DF"/>
    <w:rsid w:val="004507E7"/>
    <w:rsid w:val="0045084E"/>
    <w:rsid w:val="00450CC0"/>
    <w:rsid w:val="0045288D"/>
    <w:rsid w:val="00453127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3A0A"/>
    <w:rsid w:val="004841EB"/>
    <w:rsid w:val="00484651"/>
    <w:rsid w:val="00486EB3"/>
    <w:rsid w:val="00487778"/>
    <w:rsid w:val="00487AC3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D4F"/>
    <w:rsid w:val="004C0F0A"/>
    <w:rsid w:val="004C3C2A"/>
    <w:rsid w:val="004C7042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C97"/>
    <w:rsid w:val="00513528"/>
    <w:rsid w:val="0051588E"/>
    <w:rsid w:val="005167F8"/>
    <w:rsid w:val="00516D20"/>
    <w:rsid w:val="005175EF"/>
    <w:rsid w:val="00517ED6"/>
    <w:rsid w:val="00520B8C"/>
    <w:rsid w:val="0052151C"/>
    <w:rsid w:val="00522A49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566B"/>
    <w:rsid w:val="00536495"/>
    <w:rsid w:val="0053691C"/>
    <w:rsid w:val="0053731F"/>
    <w:rsid w:val="00540657"/>
    <w:rsid w:val="00540879"/>
    <w:rsid w:val="00540A28"/>
    <w:rsid w:val="0054235E"/>
    <w:rsid w:val="00542599"/>
    <w:rsid w:val="0054329B"/>
    <w:rsid w:val="00543CCF"/>
    <w:rsid w:val="0054425D"/>
    <w:rsid w:val="005442D3"/>
    <w:rsid w:val="00544B61"/>
    <w:rsid w:val="0054546B"/>
    <w:rsid w:val="005471FA"/>
    <w:rsid w:val="005507D4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4D1"/>
    <w:rsid w:val="00574189"/>
    <w:rsid w:val="00574757"/>
    <w:rsid w:val="005821D7"/>
    <w:rsid w:val="00583212"/>
    <w:rsid w:val="00584D1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16CF"/>
    <w:rsid w:val="005A1A3D"/>
    <w:rsid w:val="005A23DB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3B5"/>
    <w:rsid w:val="005D397D"/>
    <w:rsid w:val="005D3D5E"/>
    <w:rsid w:val="005D3F28"/>
    <w:rsid w:val="005D5C6E"/>
    <w:rsid w:val="005D645B"/>
    <w:rsid w:val="005D6910"/>
    <w:rsid w:val="005D74B0"/>
    <w:rsid w:val="005D7951"/>
    <w:rsid w:val="005E2305"/>
    <w:rsid w:val="005E2949"/>
    <w:rsid w:val="005E32F3"/>
    <w:rsid w:val="005E3824"/>
    <w:rsid w:val="005E3E49"/>
    <w:rsid w:val="005E418F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5C79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16E4"/>
    <w:rsid w:val="00681B5B"/>
    <w:rsid w:val="0068276E"/>
    <w:rsid w:val="0068319A"/>
    <w:rsid w:val="0068429C"/>
    <w:rsid w:val="0068438F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778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C6D7C"/>
    <w:rsid w:val="006D3377"/>
    <w:rsid w:val="006D3E5E"/>
    <w:rsid w:val="006D4C00"/>
    <w:rsid w:val="006D5362"/>
    <w:rsid w:val="006D585D"/>
    <w:rsid w:val="006D6DCA"/>
    <w:rsid w:val="006D79F7"/>
    <w:rsid w:val="006E1323"/>
    <w:rsid w:val="006E181A"/>
    <w:rsid w:val="006E186C"/>
    <w:rsid w:val="006E21CA"/>
    <w:rsid w:val="006E2D44"/>
    <w:rsid w:val="006E6EBE"/>
    <w:rsid w:val="006E753D"/>
    <w:rsid w:val="006F029A"/>
    <w:rsid w:val="006F0D27"/>
    <w:rsid w:val="006F1498"/>
    <w:rsid w:val="006F14CD"/>
    <w:rsid w:val="006F241A"/>
    <w:rsid w:val="006F36A8"/>
    <w:rsid w:val="006F3DD4"/>
    <w:rsid w:val="006F4E04"/>
    <w:rsid w:val="006F65A4"/>
    <w:rsid w:val="006F6E4C"/>
    <w:rsid w:val="00700354"/>
    <w:rsid w:val="007005D5"/>
    <w:rsid w:val="00702CA2"/>
    <w:rsid w:val="007045BD"/>
    <w:rsid w:val="007046F5"/>
    <w:rsid w:val="007069D9"/>
    <w:rsid w:val="00711472"/>
    <w:rsid w:val="00711D2F"/>
    <w:rsid w:val="00711E05"/>
    <w:rsid w:val="007121E9"/>
    <w:rsid w:val="00713D68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5E5E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6A"/>
    <w:rsid w:val="00760E8D"/>
    <w:rsid w:val="00761052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7246"/>
    <w:rsid w:val="0077797F"/>
    <w:rsid w:val="00780CE7"/>
    <w:rsid w:val="00783B46"/>
    <w:rsid w:val="00784800"/>
    <w:rsid w:val="00786A15"/>
    <w:rsid w:val="007904AF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2BA"/>
    <w:rsid w:val="007B5DB4"/>
    <w:rsid w:val="007C0795"/>
    <w:rsid w:val="007C13AC"/>
    <w:rsid w:val="007C14AD"/>
    <w:rsid w:val="007C3100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5F7D"/>
    <w:rsid w:val="007D6B5D"/>
    <w:rsid w:val="007D7265"/>
    <w:rsid w:val="007D73E8"/>
    <w:rsid w:val="007D7FFC"/>
    <w:rsid w:val="007E21DF"/>
    <w:rsid w:val="007E362C"/>
    <w:rsid w:val="007E41CB"/>
    <w:rsid w:val="007E484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3AF5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417D"/>
    <w:rsid w:val="00855910"/>
    <w:rsid w:val="0085795D"/>
    <w:rsid w:val="00862936"/>
    <w:rsid w:val="0086745D"/>
    <w:rsid w:val="00870BF0"/>
    <w:rsid w:val="008716D8"/>
    <w:rsid w:val="0087408A"/>
    <w:rsid w:val="00875777"/>
    <w:rsid w:val="00875ABA"/>
    <w:rsid w:val="008771D6"/>
    <w:rsid w:val="00877226"/>
    <w:rsid w:val="008776B0"/>
    <w:rsid w:val="0088012D"/>
    <w:rsid w:val="00881C47"/>
    <w:rsid w:val="00882FD2"/>
    <w:rsid w:val="008831D9"/>
    <w:rsid w:val="008840EE"/>
    <w:rsid w:val="00884237"/>
    <w:rsid w:val="008846E8"/>
    <w:rsid w:val="00887583"/>
    <w:rsid w:val="00891445"/>
    <w:rsid w:val="00891529"/>
    <w:rsid w:val="00891C55"/>
    <w:rsid w:val="00892639"/>
    <w:rsid w:val="00892781"/>
    <w:rsid w:val="008934E0"/>
    <w:rsid w:val="008939BF"/>
    <w:rsid w:val="008944E9"/>
    <w:rsid w:val="00895A01"/>
    <w:rsid w:val="00895A28"/>
    <w:rsid w:val="00897183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668D"/>
    <w:rsid w:val="008D71CE"/>
    <w:rsid w:val="008E0651"/>
    <w:rsid w:val="008E0E94"/>
    <w:rsid w:val="008E1234"/>
    <w:rsid w:val="008E1430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2E3F"/>
    <w:rsid w:val="0090328C"/>
    <w:rsid w:val="009043B4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3028"/>
    <w:rsid w:val="009130B5"/>
    <w:rsid w:val="00914B92"/>
    <w:rsid w:val="0091500C"/>
    <w:rsid w:val="00915758"/>
    <w:rsid w:val="00915D1C"/>
    <w:rsid w:val="00920771"/>
    <w:rsid w:val="00920BF0"/>
    <w:rsid w:val="00920C8A"/>
    <w:rsid w:val="009225A7"/>
    <w:rsid w:val="009256A7"/>
    <w:rsid w:val="0092581B"/>
    <w:rsid w:val="009278D5"/>
    <w:rsid w:val="00927FEB"/>
    <w:rsid w:val="00932F94"/>
    <w:rsid w:val="009342F2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B46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5B16"/>
    <w:rsid w:val="00967FC7"/>
    <w:rsid w:val="009723A1"/>
    <w:rsid w:val="00972E97"/>
    <w:rsid w:val="00973614"/>
    <w:rsid w:val="00973CC2"/>
    <w:rsid w:val="009742AB"/>
    <w:rsid w:val="00974841"/>
    <w:rsid w:val="009749B1"/>
    <w:rsid w:val="00975683"/>
    <w:rsid w:val="0097724C"/>
    <w:rsid w:val="00977994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1CDF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131D"/>
    <w:rsid w:val="009B2148"/>
    <w:rsid w:val="009B2383"/>
    <w:rsid w:val="009B4356"/>
    <w:rsid w:val="009B6220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54F2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0E69"/>
    <w:rsid w:val="00A1344B"/>
    <w:rsid w:val="00A135FE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2C7F"/>
    <w:rsid w:val="00A24143"/>
    <w:rsid w:val="00A2417A"/>
    <w:rsid w:val="00A246C2"/>
    <w:rsid w:val="00A2621E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0B41"/>
    <w:rsid w:val="00A71A88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57"/>
    <w:rsid w:val="00AE7D6D"/>
    <w:rsid w:val="00AF1B15"/>
    <w:rsid w:val="00AF1C91"/>
    <w:rsid w:val="00AF1D18"/>
    <w:rsid w:val="00AF1F1D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7680"/>
    <w:rsid w:val="00B40221"/>
    <w:rsid w:val="00B41FC5"/>
    <w:rsid w:val="00B422A1"/>
    <w:rsid w:val="00B42488"/>
    <w:rsid w:val="00B42EF4"/>
    <w:rsid w:val="00B4420C"/>
    <w:rsid w:val="00B447D8"/>
    <w:rsid w:val="00B45A5E"/>
    <w:rsid w:val="00B51003"/>
    <w:rsid w:val="00B51194"/>
    <w:rsid w:val="00B52374"/>
    <w:rsid w:val="00B5292B"/>
    <w:rsid w:val="00B536A3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D21"/>
    <w:rsid w:val="00B714BA"/>
    <w:rsid w:val="00B71596"/>
    <w:rsid w:val="00B73C63"/>
    <w:rsid w:val="00B747AE"/>
    <w:rsid w:val="00B74AB2"/>
    <w:rsid w:val="00B74E3D"/>
    <w:rsid w:val="00B7522E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3EB"/>
    <w:rsid w:val="00B94B98"/>
    <w:rsid w:val="00B94CAC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0703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03F8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5A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7C1B"/>
    <w:rsid w:val="00C17E3A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10CA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97CB0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3806"/>
    <w:rsid w:val="00CC648A"/>
    <w:rsid w:val="00CC76CE"/>
    <w:rsid w:val="00CD0ABD"/>
    <w:rsid w:val="00CD259C"/>
    <w:rsid w:val="00CD3373"/>
    <w:rsid w:val="00CD3B46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6E8B"/>
    <w:rsid w:val="00CE7EE1"/>
    <w:rsid w:val="00CF16FB"/>
    <w:rsid w:val="00CF2295"/>
    <w:rsid w:val="00CF3BB2"/>
    <w:rsid w:val="00CF3BDE"/>
    <w:rsid w:val="00CF4388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1F37"/>
    <w:rsid w:val="00D13972"/>
    <w:rsid w:val="00D13E39"/>
    <w:rsid w:val="00D152E1"/>
    <w:rsid w:val="00D15B76"/>
    <w:rsid w:val="00D15DEC"/>
    <w:rsid w:val="00D17833"/>
    <w:rsid w:val="00D202C0"/>
    <w:rsid w:val="00D20A8D"/>
    <w:rsid w:val="00D22352"/>
    <w:rsid w:val="00D23347"/>
    <w:rsid w:val="00D2448C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5117"/>
    <w:rsid w:val="00D654DB"/>
    <w:rsid w:val="00D65620"/>
    <w:rsid w:val="00D65FF8"/>
    <w:rsid w:val="00D65FFD"/>
    <w:rsid w:val="00D6710D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8BF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369B"/>
    <w:rsid w:val="00DD3BD5"/>
    <w:rsid w:val="00DD4535"/>
    <w:rsid w:val="00DD59C4"/>
    <w:rsid w:val="00DD6EB7"/>
    <w:rsid w:val="00DD70FA"/>
    <w:rsid w:val="00DD749F"/>
    <w:rsid w:val="00DE2E19"/>
    <w:rsid w:val="00DE3143"/>
    <w:rsid w:val="00DE319D"/>
    <w:rsid w:val="00DE35F8"/>
    <w:rsid w:val="00DE36F0"/>
    <w:rsid w:val="00DE385C"/>
    <w:rsid w:val="00DE6B23"/>
    <w:rsid w:val="00DE6B30"/>
    <w:rsid w:val="00DE710B"/>
    <w:rsid w:val="00DE7117"/>
    <w:rsid w:val="00DE780F"/>
    <w:rsid w:val="00DF15D7"/>
    <w:rsid w:val="00DF3527"/>
    <w:rsid w:val="00DF3E12"/>
    <w:rsid w:val="00DF564D"/>
    <w:rsid w:val="00DF69A3"/>
    <w:rsid w:val="00DF6CC2"/>
    <w:rsid w:val="00E006E4"/>
    <w:rsid w:val="00E017AE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099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C17"/>
    <w:rsid w:val="00E56FAF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75E73"/>
    <w:rsid w:val="00E80182"/>
    <w:rsid w:val="00E8027B"/>
    <w:rsid w:val="00E80680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35F"/>
    <w:rsid w:val="00E95B0F"/>
    <w:rsid w:val="00E95CC4"/>
    <w:rsid w:val="00E95D4F"/>
    <w:rsid w:val="00E96A66"/>
    <w:rsid w:val="00E96E8E"/>
    <w:rsid w:val="00E9732D"/>
    <w:rsid w:val="00EA0BB5"/>
    <w:rsid w:val="00EA2CE4"/>
    <w:rsid w:val="00EA48D0"/>
    <w:rsid w:val="00EA5F8E"/>
    <w:rsid w:val="00EA60ED"/>
    <w:rsid w:val="00EA6A6E"/>
    <w:rsid w:val="00EA6DCB"/>
    <w:rsid w:val="00EA7937"/>
    <w:rsid w:val="00EB0F0D"/>
    <w:rsid w:val="00EB5645"/>
    <w:rsid w:val="00EB59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11B2"/>
    <w:rsid w:val="00F13D95"/>
    <w:rsid w:val="00F16057"/>
    <w:rsid w:val="00F16324"/>
    <w:rsid w:val="00F2022C"/>
    <w:rsid w:val="00F203E7"/>
    <w:rsid w:val="00F20FE5"/>
    <w:rsid w:val="00F228D0"/>
    <w:rsid w:val="00F23361"/>
    <w:rsid w:val="00F233C0"/>
    <w:rsid w:val="00F2375B"/>
    <w:rsid w:val="00F24F93"/>
    <w:rsid w:val="00F2540A"/>
    <w:rsid w:val="00F2561F"/>
    <w:rsid w:val="00F2637D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00B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97E91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20E"/>
    <w:rsid w:val="00FC64E4"/>
    <w:rsid w:val="00FD147A"/>
    <w:rsid w:val="00FD24F1"/>
    <w:rsid w:val="00FD33DE"/>
    <w:rsid w:val="00FD554D"/>
    <w:rsid w:val="00FD5B24"/>
    <w:rsid w:val="00FE1231"/>
    <w:rsid w:val="00FE16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72572BA-DC34-414B-B936-BABDDBDB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7095-C16B-480B-B737-980BD1D0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8327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Verma, Lochan</cp:lastModifiedBy>
  <cp:revision>14</cp:revision>
  <cp:lastPrinted>2010-05-04T03:47:00Z</cp:lastPrinted>
  <dcterms:created xsi:type="dcterms:W3CDTF">2016-08-03T00:19:00Z</dcterms:created>
  <dcterms:modified xsi:type="dcterms:W3CDTF">2016-09-01T21:42:00Z</dcterms:modified>
  <cp:category/>
</cp:coreProperties>
</file>