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68468F48" w:rsidR="00C723BC" w:rsidRPr="00183F4C" w:rsidRDefault="003515B8" w:rsidP="00C47166">
            <w:pPr>
              <w:pStyle w:val="T2"/>
            </w:pPr>
            <w:r>
              <w:rPr>
                <w:lang w:eastAsia="ko-KR"/>
              </w:rPr>
              <w:t>Bit field finalization of HE-SIG-A in HE PPDU formats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3B99242F" w:rsidR="00C723BC" w:rsidRPr="00183F4C" w:rsidRDefault="00C723BC" w:rsidP="006512A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E75CBD">
              <w:rPr>
                <w:b w:val="0"/>
                <w:sz w:val="20"/>
                <w:lang w:eastAsia="ko-KR"/>
              </w:rPr>
              <w:t>0</w:t>
            </w:r>
            <w:r w:rsidR="003515B8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E75CBD">
              <w:rPr>
                <w:b w:val="0"/>
                <w:sz w:val="20"/>
                <w:lang w:eastAsia="ko-KR"/>
              </w:rPr>
              <w:t>2</w:t>
            </w:r>
            <w:r w:rsidR="003515B8">
              <w:rPr>
                <w:b w:val="0"/>
                <w:sz w:val="20"/>
                <w:lang w:eastAsia="ko-KR"/>
              </w:rPr>
              <w:t>5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5F29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77777777" w:rsidR="000B5F29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Lochan Verma</w:t>
            </w:r>
          </w:p>
        </w:tc>
        <w:tc>
          <w:tcPr>
            <w:tcW w:w="1440" w:type="dxa"/>
            <w:vMerge w:val="restart"/>
            <w:vAlign w:val="center"/>
          </w:tcPr>
          <w:p w14:paraId="6A774EFA" w14:textId="77777777" w:rsidR="000B5F29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  <w:p w14:paraId="33CCEDE6" w14:textId="0142FF99" w:rsidR="000B5F29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 w:val="restart"/>
            <w:vAlign w:val="center"/>
          </w:tcPr>
          <w:p w14:paraId="57CF593C" w14:textId="77777777" w:rsidR="000B5F29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92121</w:t>
            </w:r>
          </w:p>
        </w:tc>
        <w:tc>
          <w:tcPr>
            <w:tcW w:w="1507" w:type="dxa"/>
            <w:vAlign w:val="center"/>
          </w:tcPr>
          <w:p w14:paraId="489F33FB" w14:textId="77777777" w:rsidR="000B5F29" w:rsidRPr="002C60AE" w:rsidRDefault="000B5F29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</w:t>
            </w:r>
            <w:r>
              <w:rPr>
                <w:b w:val="0"/>
                <w:sz w:val="18"/>
                <w:szCs w:val="18"/>
                <w:lang w:eastAsia="ko-KR"/>
              </w:rPr>
              <w:t>845-7832</w:t>
            </w:r>
          </w:p>
        </w:tc>
        <w:tc>
          <w:tcPr>
            <w:tcW w:w="2471" w:type="dxa"/>
            <w:vAlign w:val="center"/>
          </w:tcPr>
          <w:p w14:paraId="1E99EE37" w14:textId="77777777" w:rsidR="000B5F29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lverma</w:t>
            </w:r>
            <w:r w:rsidRPr="001D7948">
              <w:rPr>
                <w:b w:val="0"/>
                <w:sz w:val="18"/>
                <w:szCs w:val="18"/>
                <w:lang w:eastAsia="ko-KR"/>
              </w:rPr>
              <w:t>@qti.qualcomm.com</w:t>
            </w:r>
          </w:p>
        </w:tc>
      </w:tr>
      <w:tr w:rsidR="000B5F29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77777777" w:rsidR="000B5F29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Sameer Vermani</w:t>
            </w:r>
          </w:p>
        </w:tc>
        <w:tc>
          <w:tcPr>
            <w:tcW w:w="1440" w:type="dxa"/>
            <w:vMerge/>
            <w:vAlign w:val="center"/>
          </w:tcPr>
          <w:p w14:paraId="2CAFC6EF" w14:textId="5D142FB6" w:rsidR="000B5F29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3A04A8FC" w:rsidR="000B5F29" w:rsidRPr="002C60AE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77777777" w:rsidR="000B5F29" w:rsidRPr="002C60AE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+1-858-845-3115</w:t>
            </w:r>
          </w:p>
        </w:tc>
        <w:tc>
          <w:tcPr>
            <w:tcW w:w="2471" w:type="dxa"/>
            <w:vAlign w:val="center"/>
          </w:tcPr>
          <w:p w14:paraId="16455652" w14:textId="77777777" w:rsidR="000B5F29" w:rsidRPr="001D7948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777246">
              <w:rPr>
                <w:b w:val="0"/>
                <w:sz w:val="18"/>
                <w:szCs w:val="18"/>
                <w:lang w:eastAsia="ko-KR"/>
              </w:rPr>
              <w:t>svverman@qti.qualcomm.com</w:t>
            </w:r>
          </w:p>
        </w:tc>
      </w:tr>
      <w:tr w:rsidR="000B5F29" w:rsidRPr="00183F4C" w14:paraId="3EE770A7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7F0398BE" w14:textId="6EBCF009" w:rsidR="000B5F29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Bin Tian</w:t>
            </w:r>
          </w:p>
        </w:tc>
        <w:tc>
          <w:tcPr>
            <w:tcW w:w="1440" w:type="dxa"/>
            <w:vMerge/>
            <w:vAlign w:val="center"/>
          </w:tcPr>
          <w:p w14:paraId="4807B592" w14:textId="350F69B4" w:rsidR="000B5F29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0B5F29" w:rsidRPr="002C60AE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0B5F29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26978EBB" w:rsidR="000B5F29" w:rsidRPr="00777246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btian@qti.qualcomm.com</w:t>
            </w:r>
          </w:p>
        </w:tc>
      </w:tr>
      <w:tr w:rsidR="000B5F29" w:rsidRPr="00183F4C" w14:paraId="59396A59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FD99FA4" w14:textId="0B902CB2" w:rsidR="000B5F29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Youhan Kim</w:t>
            </w:r>
          </w:p>
        </w:tc>
        <w:tc>
          <w:tcPr>
            <w:tcW w:w="1440" w:type="dxa"/>
            <w:vMerge/>
            <w:vAlign w:val="center"/>
          </w:tcPr>
          <w:p w14:paraId="6ACE42C6" w14:textId="408F575A" w:rsidR="000B5F29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5E48ADD" w14:textId="77777777" w:rsidR="000B5F29" w:rsidRPr="002C60AE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BAFE72D" w14:textId="77777777" w:rsidR="000B5F29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4673E" w14:textId="03BB3EFB" w:rsidR="000B5F29" w:rsidRPr="00777246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0BDAF4D8" w14:textId="46110B4D" w:rsidR="00474E8B" w:rsidRDefault="003E4403" w:rsidP="00E02DC2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E02DC2">
        <w:rPr>
          <w:lang w:eastAsia="ko-KR"/>
        </w:rPr>
        <w:t xml:space="preserve">finalization of bit field ordering of HE-SIG-A in HE SU PPDU, HE extended range SU PPDU, HE MU PPDU, and HE Trigger-based PPDU. </w:t>
      </w:r>
    </w:p>
    <w:p w14:paraId="3C33CC07" w14:textId="69EFC2C1" w:rsidR="003E4403" w:rsidRDefault="003E4403" w:rsidP="00474E8B">
      <w:pPr>
        <w:jc w:val="both"/>
      </w:pPr>
      <w:r>
        <w:t>Revisions:</w:t>
      </w:r>
    </w:p>
    <w:p w14:paraId="2A26F306" w14:textId="77777777"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p w14:paraId="687FC0D3" w14:textId="77777777" w:rsidR="007D7265" w:rsidRDefault="007D7265" w:rsidP="007D726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16FDE04A" w14:textId="1A793388" w:rsidR="00BE015C" w:rsidRDefault="00BE015C" w:rsidP="00BE015C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 w:rsidRPr="0083702D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Changes to D0.</w:t>
      </w:r>
      <w:r w:rsidR="00366D58" w:rsidRPr="0083702D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2</w:t>
      </w:r>
      <w:r w:rsidR="00BA1842" w:rsidRPr="0083702D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 xml:space="preserve"> </w:t>
      </w:r>
    </w:p>
    <w:p w14:paraId="4664EA51" w14:textId="77777777" w:rsidR="00531992" w:rsidRPr="00BE015C" w:rsidRDefault="00531992" w:rsidP="00BE015C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287DF7B3" w14:textId="1559B148" w:rsidR="00531992" w:rsidRDefault="00E02DC2" w:rsidP="00BA1842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</w:t>
      </w:r>
      <w:r>
        <w:rPr>
          <w:b/>
          <w:bCs/>
          <w:i/>
          <w:iCs/>
          <w:lang w:eastAsia="ko-KR"/>
        </w:rPr>
        <w:t>:</w:t>
      </w:r>
      <w:r w:rsidR="00531992">
        <w:rPr>
          <w:b/>
          <w:bCs/>
          <w:i/>
          <w:iCs/>
          <w:lang w:eastAsia="ko-KR"/>
        </w:rPr>
        <w:t xml:space="preserve"> Delete Table 26-19 (Fields in the HE-SIG-A for an HE SU PPDU and HE Extended Range SU PPDU)</w:t>
      </w:r>
    </w:p>
    <w:p w14:paraId="3ED7CD2C" w14:textId="03945271" w:rsidR="00BA1842" w:rsidRDefault="00E02DC2" w:rsidP="00BA1842">
      <w:pPr>
        <w:rPr>
          <w:b/>
          <w:i/>
          <w:sz w:val="20"/>
          <w:szCs w:val="24"/>
        </w:rPr>
      </w:pPr>
      <w:r w:rsidRPr="003F392C">
        <w:rPr>
          <w:b/>
          <w:i/>
          <w:sz w:val="20"/>
          <w:szCs w:val="24"/>
        </w:rPr>
        <w:t xml:space="preserve"> </w:t>
      </w:r>
      <w:r>
        <w:rPr>
          <w:b/>
          <w:i/>
          <w:sz w:val="20"/>
          <w:szCs w:val="24"/>
        </w:rPr>
        <w:t>Replace Table 26-</w:t>
      </w:r>
      <w:r w:rsidR="00531992">
        <w:rPr>
          <w:b/>
          <w:i/>
          <w:sz w:val="20"/>
          <w:szCs w:val="24"/>
        </w:rPr>
        <w:t>20</w:t>
      </w:r>
      <w:r>
        <w:rPr>
          <w:b/>
          <w:i/>
          <w:sz w:val="20"/>
          <w:szCs w:val="24"/>
        </w:rPr>
        <w:t xml:space="preserve"> (Fields in the HE-SIG-A for an HE SU PPDU and HE Extended Range SU PPDU) with the following table</w:t>
      </w:r>
      <w:r w:rsidR="00BA1842" w:rsidRPr="003F392C">
        <w:rPr>
          <w:b/>
          <w:i/>
          <w:sz w:val="20"/>
          <w:szCs w:val="24"/>
        </w:rPr>
        <w:t>:</w:t>
      </w:r>
    </w:p>
    <w:p w14:paraId="3648E883" w14:textId="77777777" w:rsidR="00C21411" w:rsidRDefault="00C21411" w:rsidP="00BA1842">
      <w:pPr>
        <w:rPr>
          <w:b/>
          <w:i/>
          <w:sz w:val="20"/>
          <w:szCs w:val="24"/>
        </w:rPr>
      </w:pPr>
    </w:p>
    <w:p w14:paraId="260CCD52" w14:textId="1B9FDC2E" w:rsidR="00C21411" w:rsidRPr="003F392C" w:rsidRDefault="000C50F5" w:rsidP="00BA1842">
      <w:pPr>
        <w:rPr>
          <w:b/>
          <w:i/>
          <w:sz w:val="20"/>
          <w:szCs w:val="24"/>
        </w:rPr>
      </w:pPr>
      <w:r>
        <w:rPr>
          <w:b/>
          <w:i/>
          <w:sz w:val="20"/>
          <w:szCs w:val="24"/>
        </w:rPr>
        <w:t>Table 26-20</w:t>
      </w:r>
      <w:r w:rsidR="00C21411">
        <w:rPr>
          <w:b/>
          <w:i/>
          <w:sz w:val="20"/>
          <w:szCs w:val="24"/>
        </w:rPr>
        <w:t xml:space="preserve"> – Fields in the HE-SIG-A for an HE SU PPDU and HE Extended Range SU PPDU</w:t>
      </w:r>
    </w:p>
    <w:tbl>
      <w:tblPr>
        <w:tblStyle w:val="TableGrid"/>
        <w:tblW w:w="10075" w:type="dxa"/>
        <w:tblLayout w:type="fixed"/>
        <w:tblLook w:val="0420" w:firstRow="1" w:lastRow="0" w:firstColumn="0" w:lastColumn="0" w:noHBand="0" w:noVBand="1"/>
      </w:tblPr>
      <w:tblGrid>
        <w:gridCol w:w="878"/>
        <w:gridCol w:w="863"/>
        <w:gridCol w:w="890"/>
        <w:gridCol w:w="678"/>
        <w:gridCol w:w="7"/>
        <w:gridCol w:w="6759"/>
      </w:tblGrid>
      <w:tr w:rsidR="00FF0240" w:rsidRPr="00C21411" w14:paraId="5D3E6D85" w14:textId="77777777" w:rsidTr="00FF0240">
        <w:trPr>
          <w:trHeight w:val="552"/>
        </w:trPr>
        <w:tc>
          <w:tcPr>
            <w:tcW w:w="878" w:type="dxa"/>
            <w:hideMark/>
          </w:tcPr>
          <w:p w14:paraId="52B476FE" w14:textId="77777777" w:rsidR="00C21411" w:rsidRPr="00C21411" w:rsidRDefault="00C21411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b/>
                <w:bCs/>
                <w:kern w:val="24"/>
                <w:szCs w:val="18"/>
                <w:lang w:val="en-US"/>
              </w:rPr>
              <w:t>Two parts of HE-SIG-A</w:t>
            </w:r>
          </w:p>
        </w:tc>
        <w:tc>
          <w:tcPr>
            <w:tcW w:w="863" w:type="dxa"/>
            <w:hideMark/>
          </w:tcPr>
          <w:p w14:paraId="7045C03E" w14:textId="77777777" w:rsidR="00C21411" w:rsidRPr="00C21411" w:rsidRDefault="00C21411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b/>
                <w:bCs/>
                <w:kern w:val="24"/>
                <w:szCs w:val="18"/>
                <w:lang w:val="en-US"/>
              </w:rPr>
              <w:t>Bits</w:t>
            </w:r>
          </w:p>
        </w:tc>
        <w:tc>
          <w:tcPr>
            <w:tcW w:w="890" w:type="dxa"/>
            <w:hideMark/>
          </w:tcPr>
          <w:p w14:paraId="3EECFFC9" w14:textId="77777777" w:rsidR="00C21411" w:rsidRPr="00C21411" w:rsidRDefault="00C21411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b/>
                <w:bCs/>
                <w:kern w:val="24"/>
                <w:szCs w:val="18"/>
                <w:lang w:val="en-US"/>
              </w:rPr>
              <w:t>Field</w:t>
            </w:r>
          </w:p>
        </w:tc>
        <w:tc>
          <w:tcPr>
            <w:tcW w:w="685" w:type="dxa"/>
            <w:gridSpan w:val="2"/>
            <w:hideMark/>
          </w:tcPr>
          <w:p w14:paraId="251DA633" w14:textId="77777777" w:rsidR="00C21411" w:rsidRPr="00C21411" w:rsidRDefault="00C21411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b/>
                <w:bCs/>
                <w:kern w:val="24"/>
                <w:szCs w:val="18"/>
                <w:lang w:val="en-US"/>
              </w:rPr>
              <w:t># of bits</w:t>
            </w:r>
          </w:p>
        </w:tc>
        <w:tc>
          <w:tcPr>
            <w:tcW w:w="6759" w:type="dxa"/>
            <w:hideMark/>
          </w:tcPr>
          <w:p w14:paraId="7D7DC6BE" w14:textId="77777777" w:rsidR="00C21411" w:rsidRPr="00C21411" w:rsidRDefault="00C21411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b/>
                <w:bCs/>
                <w:kern w:val="24"/>
                <w:szCs w:val="18"/>
                <w:lang w:val="en-US"/>
              </w:rPr>
              <w:t>Description</w:t>
            </w:r>
          </w:p>
        </w:tc>
      </w:tr>
      <w:tr w:rsidR="00903880" w:rsidRPr="00C21411" w14:paraId="74E07287" w14:textId="77777777" w:rsidTr="00FF0240">
        <w:trPr>
          <w:trHeight w:val="552"/>
        </w:trPr>
        <w:tc>
          <w:tcPr>
            <w:tcW w:w="878" w:type="dxa"/>
            <w:vMerge w:val="restart"/>
            <w:hideMark/>
          </w:tcPr>
          <w:p w14:paraId="3EFC62F4" w14:textId="1E7E3ECA" w:rsidR="00903880" w:rsidRPr="00C21411" w:rsidRDefault="00903880" w:rsidP="00903880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HE-SIG-A1</w:t>
            </w:r>
          </w:p>
        </w:tc>
        <w:tc>
          <w:tcPr>
            <w:tcW w:w="863" w:type="dxa"/>
            <w:hideMark/>
          </w:tcPr>
          <w:p w14:paraId="736D0A19" w14:textId="77777777" w:rsidR="00903880" w:rsidRPr="00C21411" w:rsidRDefault="00903880" w:rsidP="00C21411">
            <w:pPr>
              <w:rPr>
                <w:rFonts w:ascii="Arial" w:eastAsia="Times New Roman" w:hAnsi="Arial" w:cs="Arial"/>
                <w:color w:val="FF0000"/>
                <w:sz w:val="36"/>
                <w:szCs w:val="36"/>
                <w:u w:val="single"/>
                <w:lang w:val="en-US"/>
              </w:rPr>
            </w:pPr>
            <w:r w:rsidRPr="00C21411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>B0</w:t>
            </w:r>
          </w:p>
        </w:tc>
        <w:tc>
          <w:tcPr>
            <w:tcW w:w="890" w:type="dxa"/>
            <w:hideMark/>
          </w:tcPr>
          <w:p w14:paraId="39294AA8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Format</w:t>
            </w:r>
          </w:p>
        </w:tc>
        <w:tc>
          <w:tcPr>
            <w:tcW w:w="685" w:type="dxa"/>
            <w:gridSpan w:val="2"/>
            <w:hideMark/>
          </w:tcPr>
          <w:p w14:paraId="0021E654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1</w:t>
            </w:r>
          </w:p>
        </w:tc>
        <w:tc>
          <w:tcPr>
            <w:tcW w:w="6759" w:type="dxa"/>
            <w:hideMark/>
          </w:tcPr>
          <w:p w14:paraId="2F8DC915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Differentiate between an HE SU PPDU and </w:t>
            </w:r>
            <w:proofErr w:type="gramStart"/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HE</w:t>
            </w:r>
            <w:proofErr w:type="gramEnd"/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 trigger-based PPDU.</w:t>
            </w:r>
          </w:p>
          <w:p w14:paraId="6D67F6AE" w14:textId="1BAE8A29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Set to 0 for HE trigger-based PPDU           </w:t>
            </w:r>
            <w:r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                                                                                </w:t>
            </w: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Set to 1 for </w:t>
            </w:r>
            <w:proofErr w:type="gramStart"/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HE  SU</w:t>
            </w:r>
            <w:proofErr w:type="gramEnd"/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 PPDU. </w:t>
            </w:r>
          </w:p>
          <w:p w14:paraId="486F6773" w14:textId="2CF2D02E" w:rsidR="00903880" w:rsidRPr="00C21411" w:rsidRDefault="00903880" w:rsidP="00531992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This field is reserved </w:t>
            </w:r>
            <w:r w:rsidRPr="006B2139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>and set to 1</w:t>
            </w:r>
            <w:r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 </w:t>
            </w: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for an HE Extended range SU PPDU.</w:t>
            </w:r>
            <w:r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 </w:t>
            </w:r>
          </w:p>
        </w:tc>
      </w:tr>
      <w:tr w:rsidR="00903880" w:rsidRPr="00C21411" w14:paraId="625A94E0" w14:textId="77777777" w:rsidTr="00FF0240">
        <w:trPr>
          <w:trHeight w:val="552"/>
        </w:trPr>
        <w:tc>
          <w:tcPr>
            <w:tcW w:w="878" w:type="dxa"/>
            <w:vMerge/>
            <w:hideMark/>
          </w:tcPr>
          <w:p w14:paraId="61969762" w14:textId="6F207087" w:rsidR="00903880" w:rsidRPr="00C21411" w:rsidRDefault="00903880" w:rsidP="00903880">
            <w:pPr>
              <w:spacing w:after="160" w:line="259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863" w:type="dxa"/>
            <w:hideMark/>
          </w:tcPr>
          <w:p w14:paraId="693A6BA2" w14:textId="77777777" w:rsidR="00903880" w:rsidRPr="00C21411" w:rsidRDefault="00903880" w:rsidP="00C21411">
            <w:pPr>
              <w:rPr>
                <w:rFonts w:ascii="Arial" w:eastAsia="Times New Roman" w:hAnsi="Arial" w:cs="Arial"/>
                <w:color w:val="FF0000"/>
                <w:sz w:val="36"/>
                <w:szCs w:val="36"/>
                <w:u w:val="single"/>
                <w:lang w:val="en-US"/>
              </w:rPr>
            </w:pPr>
            <w:r w:rsidRPr="00C21411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>B1</w:t>
            </w:r>
          </w:p>
        </w:tc>
        <w:tc>
          <w:tcPr>
            <w:tcW w:w="890" w:type="dxa"/>
            <w:hideMark/>
          </w:tcPr>
          <w:p w14:paraId="01400850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Beam Change</w:t>
            </w:r>
          </w:p>
        </w:tc>
        <w:tc>
          <w:tcPr>
            <w:tcW w:w="685" w:type="dxa"/>
            <w:gridSpan w:val="2"/>
            <w:hideMark/>
          </w:tcPr>
          <w:p w14:paraId="108B8C1A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1</w:t>
            </w:r>
          </w:p>
        </w:tc>
        <w:tc>
          <w:tcPr>
            <w:tcW w:w="6759" w:type="dxa"/>
            <w:hideMark/>
          </w:tcPr>
          <w:p w14:paraId="548A8D46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Set to 1 to indicate that the pre-HE STF portion of the SU PPDU is spatially mapped differently from HE-LTF1.                                                                                                                                      Set to 0 to indicate that the pre-HE STF portion of SU PPDU is spatially mapped the same way as HE-LTF1 on each tone.</w:t>
            </w:r>
          </w:p>
        </w:tc>
      </w:tr>
      <w:tr w:rsidR="00903880" w:rsidRPr="00C21411" w14:paraId="016B79F1" w14:textId="77777777" w:rsidTr="00FF0240">
        <w:trPr>
          <w:trHeight w:val="552"/>
        </w:trPr>
        <w:tc>
          <w:tcPr>
            <w:tcW w:w="878" w:type="dxa"/>
            <w:vMerge/>
            <w:hideMark/>
          </w:tcPr>
          <w:p w14:paraId="480E40D2" w14:textId="33C22F8A" w:rsidR="00903880" w:rsidRPr="00C21411" w:rsidRDefault="00903880" w:rsidP="00903880">
            <w:pPr>
              <w:spacing w:after="160" w:line="259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863" w:type="dxa"/>
            <w:hideMark/>
          </w:tcPr>
          <w:p w14:paraId="65D9A442" w14:textId="77777777" w:rsidR="00903880" w:rsidRPr="00C21411" w:rsidRDefault="00903880" w:rsidP="00C21411">
            <w:pPr>
              <w:rPr>
                <w:rFonts w:ascii="Arial" w:eastAsia="Times New Roman" w:hAnsi="Arial" w:cs="Arial"/>
                <w:color w:val="FF0000"/>
                <w:sz w:val="36"/>
                <w:szCs w:val="36"/>
                <w:u w:val="single"/>
                <w:lang w:val="en-US"/>
              </w:rPr>
            </w:pPr>
            <w:r w:rsidRPr="00C21411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>B2</w:t>
            </w:r>
          </w:p>
        </w:tc>
        <w:tc>
          <w:tcPr>
            <w:tcW w:w="890" w:type="dxa"/>
            <w:hideMark/>
          </w:tcPr>
          <w:p w14:paraId="697F6E5C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UL/DL</w:t>
            </w:r>
          </w:p>
        </w:tc>
        <w:tc>
          <w:tcPr>
            <w:tcW w:w="685" w:type="dxa"/>
            <w:gridSpan w:val="2"/>
            <w:hideMark/>
          </w:tcPr>
          <w:p w14:paraId="58B9BF53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1</w:t>
            </w:r>
          </w:p>
        </w:tc>
        <w:tc>
          <w:tcPr>
            <w:tcW w:w="6759" w:type="dxa"/>
            <w:hideMark/>
          </w:tcPr>
          <w:p w14:paraId="68EDAF50" w14:textId="2219C730" w:rsidR="00531992" w:rsidRPr="00C21411" w:rsidRDefault="00903880" w:rsidP="00531992">
            <w:pPr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Indicates whether the PPDU is sent UL or DL.                                                                                                                                             Set to 0 for DL                                                          </w:t>
            </w:r>
            <w:r w:rsidR="00531992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                                                                        </w:t>
            </w: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 Set to 1 for UL.                                                                                                                                                                                                       This field indicates DL for TDLS.</w:t>
            </w:r>
          </w:p>
        </w:tc>
      </w:tr>
      <w:tr w:rsidR="00903880" w:rsidRPr="00C21411" w14:paraId="031CFCEF" w14:textId="77777777" w:rsidTr="00FF0240">
        <w:trPr>
          <w:trHeight w:val="552"/>
        </w:trPr>
        <w:tc>
          <w:tcPr>
            <w:tcW w:w="878" w:type="dxa"/>
            <w:vMerge/>
            <w:hideMark/>
          </w:tcPr>
          <w:p w14:paraId="1331B8EB" w14:textId="1E19AFF4" w:rsidR="00903880" w:rsidRPr="00C21411" w:rsidRDefault="00903880" w:rsidP="00903880">
            <w:pPr>
              <w:spacing w:after="160" w:line="259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863" w:type="dxa"/>
            <w:hideMark/>
          </w:tcPr>
          <w:p w14:paraId="758FC2D8" w14:textId="77777777" w:rsidR="00903880" w:rsidRPr="00C21411" w:rsidRDefault="00903880" w:rsidP="00C21411">
            <w:pPr>
              <w:rPr>
                <w:rFonts w:ascii="Arial" w:eastAsia="Times New Roman" w:hAnsi="Arial" w:cs="Arial"/>
                <w:color w:val="FF0000"/>
                <w:sz w:val="36"/>
                <w:szCs w:val="36"/>
                <w:u w:val="single"/>
                <w:lang w:val="en-US"/>
              </w:rPr>
            </w:pPr>
            <w:r w:rsidRPr="00C21411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>B3:B6</w:t>
            </w:r>
          </w:p>
        </w:tc>
        <w:tc>
          <w:tcPr>
            <w:tcW w:w="890" w:type="dxa"/>
            <w:hideMark/>
          </w:tcPr>
          <w:p w14:paraId="2732DC02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MCS</w:t>
            </w:r>
          </w:p>
        </w:tc>
        <w:tc>
          <w:tcPr>
            <w:tcW w:w="685" w:type="dxa"/>
            <w:gridSpan w:val="2"/>
            <w:hideMark/>
          </w:tcPr>
          <w:p w14:paraId="652EFA70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4</w:t>
            </w:r>
          </w:p>
        </w:tc>
        <w:tc>
          <w:tcPr>
            <w:tcW w:w="6759" w:type="dxa"/>
            <w:hideMark/>
          </w:tcPr>
          <w:p w14:paraId="7660920A" w14:textId="77777777" w:rsidR="00883C02" w:rsidRDefault="00903880" w:rsidP="002905B3">
            <w:pPr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</w:pPr>
            <w:r w:rsidRPr="00C21411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 xml:space="preserve">For HE SU PPDU                                                                                                                                                                                               Set </w:t>
            </w:r>
            <w:proofErr w:type="spellStart"/>
            <w:r w:rsidRPr="00C21411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>to n</w:t>
            </w:r>
            <w:proofErr w:type="spellEnd"/>
            <w:r w:rsidRPr="00C21411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 xml:space="preserve"> for </w:t>
            </w:r>
            <w:proofErr w:type="spellStart"/>
            <w:r w:rsidRPr="00C21411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>MCSn</w:t>
            </w:r>
            <w:proofErr w:type="spellEnd"/>
            <w:r w:rsidRPr="00C21411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>, where n = 0, 1, 2</w:t>
            </w:r>
            <w:proofErr w:type="gramStart"/>
            <w:r w:rsidRPr="00C21411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>, ….,</w:t>
            </w:r>
            <w:proofErr w:type="gramEnd"/>
            <w:r w:rsidRPr="00C21411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 xml:space="preserve"> 11. </w:t>
            </w:r>
            <w:r w:rsidR="005F705A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 xml:space="preserve">                                                                  </w:t>
            </w:r>
            <w:r w:rsidRPr="00C21411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 xml:space="preserve">         Values 12 - 15 are reserved        </w:t>
            </w:r>
            <w:r w:rsidR="00883C02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 xml:space="preserve">       </w:t>
            </w:r>
          </w:p>
          <w:p w14:paraId="012C944D" w14:textId="77777777" w:rsidR="00903880" w:rsidRDefault="00883C02" w:rsidP="002905B3">
            <w:pPr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</w:pPr>
            <w:r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 xml:space="preserve">                                                    </w:t>
            </w:r>
            <w:r w:rsidR="00903880" w:rsidRPr="00C21411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 xml:space="preserve">   </w:t>
            </w:r>
            <w:r w:rsidR="000F2258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 xml:space="preserve"> </w:t>
            </w:r>
            <w:r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 xml:space="preserve">                                                                                            For HE Extended Range SU PPDU                                                                                            If bandwidth = 0 (242-tone RU) </w:t>
            </w:r>
          </w:p>
          <w:p w14:paraId="564A7FFD" w14:textId="431EA752" w:rsidR="00883C02" w:rsidRPr="002905B3" w:rsidRDefault="00883C02" w:rsidP="002905B3">
            <w:pPr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</w:pPr>
            <w:r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 xml:space="preserve">Set </w:t>
            </w:r>
            <w:proofErr w:type="spellStart"/>
            <w:r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>to n</w:t>
            </w:r>
            <w:proofErr w:type="spellEnd"/>
            <w:r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 xml:space="preserve"> for </w:t>
            </w:r>
            <w:proofErr w:type="spellStart"/>
            <w:r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>MCSn</w:t>
            </w:r>
            <w:proofErr w:type="spellEnd"/>
            <w:r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>, where n = 0, 1, 2.    Values 3 – 15 are reserved.                                               If bandwidth = 1 (right 106-tone RU in P20)                                                                              Set to 0 for MCS 0. Values 1 – 15 are reserved.</w:t>
            </w:r>
          </w:p>
        </w:tc>
      </w:tr>
      <w:tr w:rsidR="00903880" w:rsidRPr="00C21411" w14:paraId="4AFD9ECB" w14:textId="77777777" w:rsidTr="00FF0240">
        <w:trPr>
          <w:trHeight w:val="552"/>
        </w:trPr>
        <w:tc>
          <w:tcPr>
            <w:tcW w:w="878" w:type="dxa"/>
            <w:vMerge/>
            <w:hideMark/>
          </w:tcPr>
          <w:p w14:paraId="0A1FFF25" w14:textId="71CF8004" w:rsidR="00903880" w:rsidRPr="00C21411" w:rsidRDefault="00903880" w:rsidP="00903880">
            <w:pPr>
              <w:spacing w:after="160" w:line="259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863" w:type="dxa"/>
            <w:hideMark/>
          </w:tcPr>
          <w:p w14:paraId="088BE944" w14:textId="77777777" w:rsidR="00903880" w:rsidRPr="00C21411" w:rsidRDefault="00903880" w:rsidP="00C21411">
            <w:pPr>
              <w:rPr>
                <w:rFonts w:ascii="Arial" w:eastAsia="Times New Roman" w:hAnsi="Arial" w:cs="Arial"/>
                <w:color w:val="FF0000"/>
                <w:sz w:val="36"/>
                <w:szCs w:val="36"/>
                <w:u w:val="single"/>
                <w:lang w:val="en-US"/>
              </w:rPr>
            </w:pPr>
            <w:r w:rsidRPr="00C21411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>B7</w:t>
            </w:r>
          </w:p>
        </w:tc>
        <w:tc>
          <w:tcPr>
            <w:tcW w:w="890" w:type="dxa"/>
            <w:hideMark/>
          </w:tcPr>
          <w:p w14:paraId="7A80905C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DCM</w:t>
            </w:r>
          </w:p>
        </w:tc>
        <w:tc>
          <w:tcPr>
            <w:tcW w:w="685" w:type="dxa"/>
            <w:gridSpan w:val="2"/>
            <w:hideMark/>
          </w:tcPr>
          <w:p w14:paraId="312F12FC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1</w:t>
            </w:r>
          </w:p>
        </w:tc>
        <w:tc>
          <w:tcPr>
            <w:tcW w:w="6759" w:type="dxa"/>
            <w:hideMark/>
          </w:tcPr>
          <w:p w14:paraId="75F82057" w14:textId="1D43CD2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Set to 1 to indicate that the payload of the SU PPDU is modulated with dual sub-carrier modulation for the MCS.         </w:t>
            </w:r>
            <w:r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                                 </w:t>
            </w: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                                                                Set to 0 indicates that the payload of the PPDU is not modulated with dual sub-carrier for the MCS.                                </w:t>
            </w:r>
            <w:r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                                                                 </w:t>
            </w: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                                  DCM is only applicable to MCS0, MCS1, MCS3, and MCS4.   </w:t>
            </w:r>
            <w:r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                                                   </w:t>
            </w: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  DCM is only applicable to 1 and 2 spatial streams.                                                                                                        DCM is not applicable to STBC.</w:t>
            </w:r>
          </w:p>
        </w:tc>
      </w:tr>
      <w:tr w:rsidR="00903880" w:rsidRPr="00C21411" w14:paraId="4C44C924" w14:textId="77777777" w:rsidTr="00FF0240">
        <w:trPr>
          <w:trHeight w:val="552"/>
        </w:trPr>
        <w:tc>
          <w:tcPr>
            <w:tcW w:w="878" w:type="dxa"/>
            <w:vMerge/>
            <w:hideMark/>
          </w:tcPr>
          <w:p w14:paraId="7EC1AEE1" w14:textId="6D51D682" w:rsidR="00903880" w:rsidRPr="00C21411" w:rsidRDefault="00903880" w:rsidP="00903880">
            <w:pPr>
              <w:spacing w:after="160" w:line="259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863" w:type="dxa"/>
            <w:hideMark/>
          </w:tcPr>
          <w:p w14:paraId="675EE579" w14:textId="77777777" w:rsidR="00903880" w:rsidRPr="00C21411" w:rsidRDefault="00903880" w:rsidP="00C21411">
            <w:pPr>
              <w:rPr>
                <w:rFonts w:ascii="Arial" w:eastAsia="Times New Roman" w:hAnsi="Arial" w:cs="Arial"/>
                <w:color w:val="FF0000"/>
                <w:sz w:val="36"/>
                <w:szCs w:val="36"/>
                <w:u w:val="single"/>
                <w:lang w:val="en-US"/>
              </w:rPr>
            </w:pPr>
            <w:r w:rsidRPr="00C21411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>B8:B13</w:t>
            </w:r>
          </w:p>
        </w:tc>
        <w:tc>
          <w:tcPr>
            <w:tcW w:w="890" w:type="dxa"/>
            <w:hideMark/>
          </w:tcPr>
          <w:p w14:paraId="3E9636FD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BSS Color</w:t>
            </w:r>
          </w:p>
        </w:tc>
        <w:tc>
          <w:tcPr>
            <w:tcW w:w="685" w:type="dxa"/>
            <w:gridSpan w:val="2"/>
            <w:hideMark/>
          </w:tcPr>
          <w:p w14:paraId="23C84E32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6</w:t>
            </w:r>
          </w:p>
        </w:tc>
        <w:tc>
          <w:tcPr>
            <w:tcW w:w="6759" w:type="dxa"/>
            <w:hideMark/>
          </w:tcPr>
          <w:p w14:paraId="49E75F6E" w14:textId="07CCD2C3" w:rsidR="00903880" w:rsidRPr="00C21411" w:rsidRDefault="00531992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The BSS Color field is an identifier of the BSS</w:t>
            </w:r>
          </w:p>
        </w:tc>
      </w:tr>
      <w:tr w:rsidR="00903880" w:rsidRPr="00C21411" w14:paraId="1142E3FD" w14:textId="77777777" w:rsidTr="00FF0240">
        <w:trPr>
          <w:trHeight w:val="370"/>
        </w:trPr>
        <w:tc>
          <w:tcPr>
            <w:tcW w:w="878" w:type="dxa"/>
            <w:vMerge/>
            <w:hideMark/>
          </w:tcPr>
          <w:p w14:paraId="05E53D2D" w14:textId="32B272A2" w:rsidR="00903880" w:rsidRPr="00C21411" w:rsidRDefault="00903880" w:rsidP="00903880">
            <w:pPr>
              <w:spacing w:after="160" w:line="259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863" w:type="dxa"/>
            <w:hideMark/>
          </w:tcPr>
          <w:p w14:paraId="4668ABAF" w14:textId="77777777" w:rsidR="00903880" w:rsidRPr="00C21411" w:rsidRDefault="00903880" w:rsidP="00C21411">
            <w:pPr>
              <w:rPr>
                <w:rFonts w:ascii="Arial" w:eastAsia="Times New Roman" w:hAnsi="Arial" w:cs="Arial"/>
                <w:color w:val="FF0000"/>
                <w:sz w:val="36"/>
                <w:szCs w:val="36"/>
                <w:u w:val="single"/>
                <w:lang w:val="en-US"/>
              </w:rPr>
            </w:pPr>
            <w:r w:rsidRPr="00C21411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>B14</w:t>
            </w:r>
          </w:p>
        </w:tc>
        <w:tc>
          <w:tcPr>
            <w:tcW w:w="890" w:type="dxa"/>
            <w:hideMark/>
          </w:tcPr>
          <w:p w14:paraId="388F253A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Reserved</w:t>
            </w:r>
          </w:p>
        </w:tc>
        <w:tc>
          <w:tcPr>
            <w:tcW w:w="685" w:type="dxa"/>
            <w:gridSpan w:val="2"/>
            <w:hideMark/>
          </w:tcPr>
          <w:p w14:paraId="6693F4F0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1</w:t>
            </w:r>
          </w:p>
        </w:tc>
        <w:tc>
          <w:tcPr>
            <w:tcW w:w="6759" w:type="dxa"/>
            <w:hideMark/>
          </w:tcPr>
          <w:p w14:paraId="55289758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u w:val="single"/>
                <w:lang w:val="en-US"/>
              </w:rPr>
            </w:pPr>
            <w:r w:rsidRPr="00C21411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>Reserved and set to 1</w:t>
            </w:r>
          </w:p>
        </w:tc>
      </w:tr>
      <w:tr w:rsidR="00903880" w:rsidRPr="00C21411" w14:paraId="3EEA4EC3" w14:textId="77777777" w:rsidTr="00FF0240">
        <w:trPr>
          <w:trHeight w:val="552"/>
        </w:trPr>
        <w:tc>
          <w:tcPr>
            <w:tcW w:w="878" w:type="dxa"/>
            <w:vMerge/>
            <w:hideMark/>
          </w:tcPr>
          <w:p w14:paraId="4E310C4B" w14:textId="29CE619A" w:rsidR="00903880" w:rsidRPr="00C21411" w:rsidRDefault="00903880" w:rsidP="00903880">
            <w:pPr>
              <w:spacing w:after="160" w:line="259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863" w:type="dxa"/>
            <w:hideMark/>
          </w:tcPr>
          <w:p w14:paraId="4AB1799B" w14:textId="77777777" w:rsidR="00903880" w:rsidRPr="00C21411" w:rsidRDefault="00903880" w:rsidP="00C21411">
            <w:pPr>
              <w:rPr>
                <w:rFonts w:ascii="Arial" w:eastAsia="Times New Roman" w:hAnsi="Arial" w:cs="Arial"/>
                <w:color w:val="FF0000"/>
                <w:sz w:val="36"/>
                <w:szCs w:val="36"/>
                <w:u w:val="single"/>
                <w:lang w:val="en-US"/>
              </w:rPr>
            </w:pPr>
            <w:r w:rsidRPr="00C21411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>B15:B18</w:t>
            </w:r>
          </w:p>
        </w:tc>
        <w:tc>
          <w:tcPr>
            <w:tcW w:w="890" w:type="dxa"/>
            <w:hideMark/>
          </w:tcPr>
          <w:p w14:paraId="1592F96A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Spatial Reuse</w:t>
            </w:r>
          </w:p>
        </w:tc>
        <w:tc>
          <w:tcPr>
            <w:tcW w:w="685" w:type="dxa"/>
            <w:gridSpan w:val="2"/>
            <w:hideMark/>
          </w:tcPr>
          <w:p w14:paraId="427723A3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4</w:t>
            </w:r>
          </w:p>
        </w:tc>
        <w:tc>
          <w:tcPr>
            <w:tcW w:w="6759" w:type="dxa"/>
            <w:hideMark/>
          </w:tcPr>
          <w:p w14:paraId="674BAC60" w14:textId="77777777" w:rsidR="00903880" w:rsidRDefault="00903880" w:rsidP="00DB4D87">
            <w:pPr>
              <w:rPr>
                <w:sz w:val="22"/>
                <w:lang w:eastAsia="zh-CN"/>
              </w:rPr>
            </w:pPr>
            <w:r>
              <w:rPr>
                <w:lang w:eastAsia="zh-CN"/>
              </w:rPr>
              <w:t>“</w:t>
            </w:r>
            <w:proofErr w:type="spellStart"/>
            <w:r>
              <w:rPr>
                <w:lang w:eastAsia="zh-CN"/>
              </w:rPr>
              <w:t>SR_allowed</w:t>
            </w:r>
            <w:proofErr w:type="spellEnd"/>
            <w:r>
              <w:rPr>
                <w:lang w:eastAsia="zh-CN"/>
              </w:rPr>
              <w:t xml:space="preserve">” </w:t>
            </w:r>
            <w:proofErr w:type="spellStart"/>
            <w:r>
              <w:rPr>
                <w:lang w:eastAsia="zh-CN"/>
              </w:rPr>
              <w:t>signaling</w:t>
            </w:r>
            <w:proofErr w:type="spellEnd"/>
            <w:r>
              <w:rPr>
                <w:lang w:eastAsia="zh-CN"/>
              </w:rPr>
              <w:t xml:space="preserve"> indicates whether SR operation is allowed or not.</w:t>
            </w:r>
          </w:p>
          <w:p w14:paraId="5D20D616" w14:textId="5F13C966" w:rsidR="00903880" w:rsidRDefault="00903880" w:rsidP="00DB4D87">
            <w:pPr>
              <w:pStyle w:val="ListParagraph"/>
              <w:numPr>
                <w:ilvl w:val="0"/>
                <w:numId w:val="23"/>
              </w:numPr>
              <w:ind w:leftChars="0"/>
              <w:contextualSpacing/>
              <w:rPr>
                <w:rFonts w:ascii="Times" w:hAnsi="Times"/>
                <w:lang w:eastAsia="zh-CN"/>
              </w:rPr>
            </w:pPr>
            <w:r w:rsidRPr="00DB4D87">
              <w:rPr>
                <w:rFonts w:ascii="Times" w:hAnsi="Times"/>
                <w:color w:val="FF0000"/>
                <w:u w:val="single"/>
                <w:lang w:eastAsia="zh-CN"/>
              </w:rPr>
              <w:t xml:space="preserve">Set to 0 </w:t>
            </w:r>
            <w:r>
              <w:rPr>
                <w:rFonts w:ascii="Times" w:hAnsi="Times"/>
                <w:color w:val="FF0000"/>
                <w:u w:val="single"/>
                <w:lang w:eastAsia="zh-CN"/>
              </w:rPr>
              <w:t xml:space="preserve">to </w:t>
            </w:r>
            <w:r>
              <w:rPr>
                <w:rFonts w:ascii="Times" w:hAnsi="Times"/>
                <w:lang w:eastAsia="zh-CN"/>
              </w:rPr>
              <w:t>indicate SR is disallowed</w:t>
            </w:r>
          </w:p>
          <w:p w14:paraId="4FC1E375" w14:textId="77777777" w:rsidR="00903880" w:rsidRDefault="00903880" w:rsidP="00DB4D87">
            <w:pPr>
              <w:pStyle w:val="ListParagraph"/>
              <w:numPr>
                <w:ilvl w:val="0"/>
                <w:numId w:val="23"/>
              </w:numPr>
              <w:ind w:leftChars="0"/>
              <w:contextualSpacing/>
              <w:rPr>
                <w:rFonts w:ascii="Times" w:hAnsi="Times"/>
                <w:lang w:eastAsia="zh-CN"/>
              </w:rPr>
            </w:pPr>
            <w:r>
              <w:rPr>
                <w:rFonts w:ascii="Times" w:hAnsi="Times"/>
                <w:lang w:eastAsia="zh-CN"/>
              </w:rPr>
              <w:t>The conditions to disallow SR are TBD</w:t>
            </w:r>
          </w:p>
          <w:p w14:paraId="5C3FD4B2" w14:textId="77777777" w:rsidR="00903880" w:rsidRDefault="00903880" w:rsidP="00DB4D87">
            <w:pPr>
              <w:rPr>
                <w:lang w:eastAsia="zh-CN"/>
              </w:rPr>
            </w:pPr>
            <w:r>
              <w:rPr>
                <w:lang w:eastAsia="zh-CN"/>
              </w:rPr>
              <w:t>Other details are TBD</w:t>
            </w:r>
          </w:p>
          <w:p w14:paraId="6F9EECAB" w14:textId="57BE4347" w:rsidR="00903880" w:rsidRPr="00C21411" w:rsidRDefault="00903880" w:rsidP="00531992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lang w:eastAsia="zh-CN"/>
              </w:rPr>
              <w:lastRenderedPageBreak/>
              <w:t xml:space="preserve">Notes: this part needs further development. </w:t>
            </w:r>
          </w:p>
        </w:tc>
      </w:tr>
      <w:tr w:rsidR="00903880" w:rsidRPr="00903880" w14:paraId="68752E82" w14:textId="77777777" w:rsidTr="00FF0240">
        <w:trPr>
          <w:trHeight w:val="544"/>
        </w:trPr>
        <w:tc>
          <w:tcPr>
            <w:tcW w:w="878" w:type="dxa"/>
            <w:vMerge/>
            <w:hideMark/>
          </w:tcPr>
          <w:p w14:paraId="0357F383" w14:textId="0FDA2FAA" w:rsidR="00903880" w:rsidRPr="00903880" w:rsidRDefault="00903880" w:rsidP="00903880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863" w:type="dxa"/>
            <w:hideMark/>
          </w:tcPr>
          <w:p w14:paraId="6025A1E9" w14:textId="77777777" w:rsidR="00903880" w:rsidRPr="00D91F95" w:rsidRDefault="00903880" w:rsidP="00903880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D91F95">
              <w:rPr>
                <w:rFonts w:eastAsia="Calibri"/>
                <w:color w:val="FF0000"/>
                <w:u w:val="single"/>
                <w:lang w:val="en-US"/>
              </w:rPr>
              <w:t>B19:B20</w:t>
            </w:r>
          </w:p>
        </w:tc>
        <w:tc>
          <w:tcPr>
            <w:tcW w:w="890" w:type="dxa"/>
            <w:hideMark/>
          </w:tcPr>
          <w:p w14:paraId="1EC13FC3" w14:textId="77777777" w:rsidR="00903880" w:rsidRPr="00903880" w:rsidRDefault="00903880" w:rsidP="00903880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903880">
              <w:rPr>
                <w:rFonts w:eastAsia="Calibri"/>
                <w:lang w:val="en-US"/>
              </w:rPr>
              <w:t>Bandwidth</w:t>
            </w:r>
          </w:p>
        </w:tc>
        <w:tc>
          <w:tcPr>
            <w:tcW w:w="678" w:type="dxa"/>
            <w:hideMark/>
          </w:tcPr>
          <w:p w14:paraId="76B7E6B1" w14:textId="77777777" w:rsidR="00903880" w:rsidRPr="00903880" w:rsidRDefault="00903880" w:rsidP="00903880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903880">
              <w:rPr>
                <w:rFonts w:eastAsia="Calibri"/>
                <w:lang w:val="en-US"/>
              </w:rPr>
              <w:t>2</w:t>
            </w:r>
          </w:p>
        </w:tc>
        <w:tc>
          <w:tcPr>
            <w:tcW w:w="6766" w:type="dxa"/>
            <w:gridSpan w:val="2"/>
            <w:hideMark/>
          </w:tcPr>
          <w:p w14:paraId="49EC0777" w14:textId="77777777" w:rsidR="00903880" w:rsidRDefault="00903880" w:rsidP="00903880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903880">
              <w:rPr>
                <w:rFonts w:eastAsia="Calibri"/>
                <w:lang w:val="en-US"/>
              </w:rPr>
              <w:t xml:space="preserve">For HE SU PPDU                                                                                                                                                                                           Set to 0 for 20 MHz   </w:t>
            </w:r>
            <w:r w:rsidR="00FF0240">
              <w:rPr>
                <w:rFonts w:eastAsia="Calibri"/>
                <w:lang w:val="en-US"/>
              </w:rPr>
              <w:t xml:space="preserve">                                                                                                             </w:t>
            </w:r>
            <w:r w:rsidRPr="00903880">
              <w:rPr>
                <w:rFonts w:eastAsia="Calibri"/>
                <w:lang w:val="en-US"/>
              </w:rPr>
              <w:t xml:space="preserve">Set to 1 for 40 MHz    </w:t>
            </w:r>
            <w:r w:rsidR="00FF0240">
              <w:rPr>
                <w:rFonts w:eastAsia="Calibri"/>
                <w:lang w:val="en-US"/>
              </w:rPr>
              <w:t xml:space="preserve">                                                                                                            </w:t>
            </w:r>
            <w:r w:rsidRPr="00903880">
              <w:rPr>
                <w:rFonts w:eastAsia="Calibri"/>
                <w:lang w:val="en-US"/>
              </w:rPr>
              <w:t xml:space="preserve">Set to 2 for 80 MHz       </w:t>
            </w:r>
            <w:r w:rsidR="00FF0240">
              <w:rPr>
                <w:rFonts w:eastAsia="Calibri"/>
                <w:lang w:val="en-US"/>
              </w:rPr>
              <w:t xml:space="preserve">                                                                                                                      </w:t>
            </w:r>
            <w:r w:rsidRPr="00903880">
              <w:rPr>
                <w:rFonts w:eastAsia="Calibri"/>
                <w:lang w:val="en-US"/>
              </w:rPr>
              <w:t xml:space="preserve"> Set to 3 for 160/80+80 MHz </w:t>
            </w:r>
          </w:p>
          <w:p w14:paraId="7EE749F3" w14:textId="77777777" w:rsidR="00FF0240" w:rsidRPr="00FF0240" w:rsidRDefault="00FF0240" w:rsidP="00903880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FF0240">
              <w:rPr>
                <w:rFonts w:eastAsia="Calibri"/>
                <w:color w:val="FF0000"/>
                <w:u w:val="single"/>
                <w:lang w:val="en-US"/>
              </w:rPr>
              <w:t>For HE Extended Range SU PPDU</w:t>
            </w:r>
          </w:p>
          <w:p w14:paraId="0819FFC0" w14:textId="245B249C" w:rsidR="00FF0240" w:rsidRPr="00903880" w:rsidRDefault="00FF0240" w:rsidP="00615CA0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FF0240">
              <w:rPr>
                <w:rFonts w:eastAsia="Calibri"/>
                <w:color w:val="FF0000"/>
                <w:u w:val="single"/>
                <w:lang w:val="en-US"/>
              </w:rPr>
              <w:t xml:space="preserve">Set to 0 for 242-tone RU                                                                                                          Set to 1 for right 106-tone RU within the primary 20 MHz  </w:t>
            </w:r>
          </w:p>
        </w:tc>
      </w:tr>
      <w:tr w:rsidR="00903880" w:rsidRPr="00903880" w14:paraId="3B675FE0" w14:textId="77777777" w:rsidTr="00FF0240">
        <w:trPr>
          <w:trHeight w:val="544"/>
        </w:trPr>
        <w:tc>
          <w:tcPr>
            <w:tcW w:w="878" w:type="dxa"/>
            <w:vMerge/>
            <w:hideMark/>
          </w:tcPr>
          <w:p w14:paraId="72860F2F" w14:textId="6D61237C" w:rsidR="00903880" w:rsidRPr="00903880" w:rsidRDefault="00903880" w:rsidP="00903880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863" w:type="dxa"/>
            <w:hideMark/>
          </w:tcPr>
          <w:p w14:paraId="1C0175BD" w14:textId="77777777" w:rsidR="00903880" w:rsidRPr="00D91F95" w:rsidRDefault="00903880" w:rsidP="00903880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D91F95">
              <w:rPr>
                <w:rFonts w:eastAsia="Calibri"/>
                <w:color w:val="FF0000"/>
                <w:u w:val="single"/>
                <w:lang w:val="en-US"/>
              </w:rPr>
              <w:t>B21:B22</w:t>
            </w:r>
          </w:p>
        </w:tc>
        <w:tc>
          <w:tcPr>
            <w:tcW w:w="890" w:type="dxa"/>
            <w:hideMark/>
          </w:tcPr>
          <w:p w14:paraId="7F0E8A48" w14:textId="77777777" w:rsidR="00903880" w:rsidRPr="00903880" w:rsidRDefault="00903880" w:rsidP="00903880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903880">
              <w:rPr>
                <w:rFonts w:eastAsia="Calibri"/>
                <w:lang w:val="en-US"/>
              </w:rPr>
              <w:t>LTF + CP</w:t>
            </w:r>
          </w:p>
        </w:tc>
        <w:tc>
          <w:tcPr>
            <w:tcW w:w="678" w:type="dxa"/>
            <w:hideMark/>
          </w:tcPr>
          <w:p w14:paraId="6BDBD5F4" w14:textId="77777777" w:rsidR="00903880" w:rsidRPr="00903880" w:rsidRDefault="00903880" w:rsidP="00903880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903880">
              <w:rPr>
                <w:rFonts w:eastAsia="Calibri"/>
                <w:lang w:val="en-US"/>
              </w:rPr>
              <w:t>2</w:t>
            </w:r>
          </w:p>
        </w:tc>
        <w:tc>
          <w:tcPr>
            <w:tcW w:w="6766" w:type="dxa"/>
            <w:gridSpan w:val="2"/>
            <w:hideMark/>
          </w:tcPr>
          <w:p w14:paraId="2F8E08C3" w14:textId="2ACB94AF" w:rsidR="00FF0240" w:rsidRDefault="00FF0240" w:rsidP="00903880">
            <w:pPr>
              <w:spacing w:after="160" w:line="259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Indicates LTF size and </w:t>
            </w:r>
            <w:r w:rsidR="00531992">
              <w:rPr>
                <w:rFonts w:eastAsia="Calibri"/>
                <w:lang w:val="en-US"/>
              </w:rPr>
              <w:t>guard interval</w:t>
            </w:r>
            <w:r>
              <w:rPr>
                <w:rFonts w:eastAsia="Calibri"/>
                <w:lang w:val="en-US"/>
              </w:rPr>
              <w:t xml:space="preserve"> </w:t>
            </w:r>
            <w:r w:rsidR="00531992">
              <w:rPr>
                <w:rFonts w:eastAsia="Calibri"/>
                <w:lang w:val="en-US"/>
              </w:rPr>
              <w:t>duration</w:t>
            </w:r>
          </w:p>
          <w:p w14:paraId="6BABDDC3" w14:textId="7D4E5845" w:rsidR="00903880" w:rsidRPr="00903880" w:rsidRDefault="00903880" w:rsidP="00903880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903880">
              <w:rPr>
                <w:rFonts w:eastAsia="Calibri"/>
                <w:lang w:val="en-US"/>
              </w:rPr>
              <w:t xml:space="preserve">Set to 0 for 1x HE-LTF + 0.8 </w:t>
            </w:r>
            <w:proofErr w:type="spellStart"/>
            <w:r w:rsidRPr="00903880">
              <w:rPr>
                <w:rFonts w:eastAsia="Calibri"/>
                <w:lang w:val="en-US"/>
              </w:rPr>
              <w:t>us</w:t>
            </w:r>
            <w:proofErr w:type="spellEnd"/>
            <w:r w:rsidRPr="00903880">
              <w:rPr>
                <w:rFonts w:eastAsia="Calibri"/>
                <w:lang w:val="en-US"/>
              </w:rPr>
              <w:t xml:space="preserve">                            </w:t>
            </w:r>
            <w:r w:rsidR="00FF0240">
              <w:rPr>
                <w:rFonts w:eastAsia="Calibri"/>
                <w:lang w:val="en-US"/>
              </w:rPr>
              <w:t xml:space="preserve">                                </w:t>
            </w:r>
            <w:r w:rsidRPr="00903880">
              <w:rPr>
                <w:rFonts w:eastAsia="Calibri"/>
                <w:lang w:val="en-US"/>
              </w:rPr>
              <w:t xml:space="preserve">                                          Set to 1 for 2x HE-LTF + 0.8 </w:t>
            </w:r>
            <w:proofErr w:type="spellStart"/>
            <w:r w:rsidRPr="00903880">
              <w:rPr>
                <w:rFonts w:eastAsia="Calibri"/>
                <w:lang w:val="en-US"/>
              </w:rPr>
              <w:t>us</w:t>
            </w:r>
            <w:proofErr w:type="spellEnd"/>
            <w:r w:rsidRPr="00903880">
              <w:rPr>
                <w:rFonts w:eastAsia="Calibri"/>
                <w:lang w:val="en-US"/>
              </w:rPr>
              <w:t xml:space="preserve">                           </w:t>
            </w:r>
            <w:r w:rsidR="00FF0240">
              <w:rPr>
                <w:rFonts w:eastAsia="Calibri"/>
                <w:lang w:val="en-US"/>
              </w:rPr>
              <w:t xml:space="preserve">                          </w:t>
            </w:r>
            <w:r w:rsidRPr="00903880">
              <w:rPr>
                <w:rFonts w:eastAsia="Calibri"/>
                <w:lang w:val="en-US"/>
              </w:rPr>
              <w:t xml:space="preserve">                                                         Set to 2 for 2x HE-LTF + 1.6 </w:t>
            </w:r>
            <w:proofErr w:type="spellStart"/>
            <w:r w:rsidRPr="00903880">
              <w:rPr>
                <w:rFonts w:eastAsia="Calibri"/>
                <w:lang w:val="en-US"/>
              </w:rPr>
              <w:t>us</w:t>
            </w:r>
            <w:proofErr w:type="spellEnd"/>
            <w:r w:rsidRPr="00903880">
              <w:rPr>
                <w:rFonts w:eastAsia="Calibri"/>
                <w:lang w:val="en-US"/>
              </w:rPr>
              <w:t xml:space="preserve">                          </w:t>
            </w:r>
            <w:r w:rsidR="00FF0240">
              <w:rPr>
                <w:rFonts w:eastAsia="Calibri"/>
                <w:lang w:val="en-US"/>
              </w:rPr>
              <w:t xml:space="preserve">                               </w:t>
            </w:r>
            <w:r w:rsidRPr="00903880">
              <w:rPr>
                <w:rFonts w:eastAsia="Calibri"/>
                <w:lang w:val="en-US"/>
              </w:rPr>
              <w:t xml:space="preserve">                                            </w:t>
            </w:r>
            <w:r w:rsidR="00FF0240">
              <w:rPr>
                <w:rFonts w:eastAsia="Calibri"/>
                <w:lang w:val="en-US"/>
              </w:rPr>
              <w:t>Set to 3 for 4x HE-LTF + 3.2 us</w:t>
            </w:r>
          </w:p>
        </w:tc>
      </w:tr>
      <w:tr w:rsidR="00903880" w:rsidRPr="00903880" w14:paraId="71BEA7CB" w14:textId="77777777" w:rsidTr="00FF0240">
        <w:trPr>
          <w:trHeight w:val="544"/>
        </w:trPr>
        <w:tc>
          <w:tcPr>
            <w:tcW w:w="878" w:type="dxa"/>
            <w:vMerge/>
            <w:hideMark/>
          </w:tcPr>
          <w:p w14:paraId="07D5ECB8" w14:textId="77777777" w:rsidR="00903880" w:rsidRPr="00903880" w:rsidRDefault="00903880" w:rsidP="00903880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863" w:type="dxa"/>
            <w:hideMark/>
          </w:tcPr>
          <w:p w14:paraId="34E7083D" w14:textId="77777777" w:rsidR="00903880" w:rsidRPr="00D91F95" w:rsidRDefault="00903880" w:rsidP="00903880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D91F95">
              <w:rPr>
                <w:rFonts w:eastAsia="Calibri"/>
                <w:color w:val="FF0000"/>
                <w:u w:val="single"/>
                <w:lang w:val="en-US"/>
              </w:rPr>
              <w:t>B23:B25</w:t>
            </w:r>
          </w:p>
        </w:tc>
        <w:tc>
          <w:tcPr>
            <w:tcW w:w="890" w:type="dxa"/>
            <w:hideMark/>
          </w:tcPr>
          <w:p w14:paraId="1E33EB3F" w14:textId="77777777" w:rsidR="00903880" w:rsidRPr="00903880" w:rsidRDefault="00903880" w:rsidP="00903880">
            <w:pPr>
              <w:spacing w:after="160" w:line="259" w:lineRule="auto"/>
              <w:rPr>
                <w:rFonts w:eastAsia="Calibri"/>
                <w:lang w:val="en-US"/>
              </w:rPr>
            </w:pPr>
            <w:proofErr w:type="spellStart"/>
            <w:r w:rsidRPr="00903880">
              <w:rPr>
                <w:rFonts w:eastAsia="Calibri"/>
                <w:lang w:val="en-US"/>
              </w:rPr>
              <w:t>Nsts</w:t>
            </w:r>
            <w:proofErr w:type="spellEnd"/>
          </w:p>
        </w:tc>
        <w:tc>
          <w:tcPr>
            <w:tcW w:w="678" w:type="dxa"/>
            <w:hideMark/>
          </w:tcPr>
          <w:p w14:paraId="48D4969E" w14:textId="77777777" w:rsidR="00903880" w:rsidRPr="00903880" w:rsidRDefault="00903880" w:rsidP="00903880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903880">
              <w:rPr>
                <w:rFonts w:eastAsia="Calibri"/>
                <w:lang w:val="en-US"/>
              </w:rPr>
              <w:t>3</w:t>
            </w:r>
          </w:p>
        </w:tc>
        <w:tc>
          <w:tcPr>
            <w:tcW w:w="6766" w:type="dxa"/>
            <w:gridSpan w:val="2"/>
            <w:hideMark/>
          </w:tcPr>
          <w:p w14:paraId="1522475E" w14:textId="77777777" w:rsidR="00531992" w:rsidRDefault="00903880" w:rsidP="00903880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903880">
              <w:rPr>
                <w:rFonts w:eastAsia="Calibri"/>
                <w:lang w:val="en-US"/>
              </w:rPr>
              <w:t xml:space="preserve">Indicates the number of spatial streams.                                                                                                                                                                 For HE SU PPDU                                                                                                                                                                                Set to n for n+1 space time stream, where n = 0, 1, 2,…..,7.                                                                                                                                                          </w:t>
            </w:r>
          </w:p>
          <w:p w14:paraId="1EA31739" w14:textId="5EFB9F89" w:rsidR="00903880" w:rsidRPr="00903880" w:rsidRDefault="00903880" w:rsidP="002D7944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FF0240">
              <w:rPr>
                <w:rFonts w:eastAsia="Calibri"/>
                <w:color w:val="FF0000"/>
                <w:u w:val="single"/>
                <w:lang w:val="en-US"/>
              </w:rPr>
              <w:t>For HE Extended Range PPDU                                                                                                                                                                          Set to 0 for 1 space time stream</w:t>
            </w:r>
            <w:r w:rsidR="00D73954">
              <w:rPr>
                <w:rFonts w:eastAsia="Calibri"/>
                <w:color w:val="FF0000"/>
                <w:u w:val="single"/>
                <w:lang w:val="en-US"/>
              </w:rPr>
              <w:t>.</w:t>
            </w:r>
            <w:r w:rsidRPr="00FF0240">
              <w:rPr>
                <w:rFonts w:eastAsia="Calibri"/>
                <w:color w:val="FF0000"/>
                <w:u w:val="single"/>
                <w:lang w:val="en-US"/>
              </w:rPr>
              <w:t xml:space="preserve"> </w:t>
            </w:r>
            <w:r w:rsidR="00D73954">
              <w:rPr>
                <w:rFonts w:eastAsia="Calibri"/>
                <w:color w:val="FF0000"/>
                <w:u w:val="single"/>
                <w:lang w:val="en-US"/>
              </w:rPr>
              <w:t xml:space="preserve"> Value 1 is TBD</w:t>
            </w:r>
            <w:r w:rsidRPr="00FF0240">
              <w:rPr>
                <w:rFonts w:eastAsia="Calibri"/>
                <w:color w:val="FF0000"/>
                <w:u w:val="single"/>
                <w:lang w:val="en-US"/>
              </w:rPr>
              <w:t xml:space="preserve">  </w:t>
            </w:r>
            <w:r w:rsidR="00531992">
              <w:rPr>
                <w:rFonts w:eastAsia="Calibri"/>
                <w:color w:val="FF0000"/>
                <w:u w:val="single"/>
                <w:lang w:val="en-US"/>
              </w:rPr>
              <w:t xml:space="preserve">                                                                                            </w:t>
            </w:r>
            <w:r w:rsidRPr="00FF0240">
              <w:rPr>
                <w:rFonts w:eastAsia="Calibri"/>
                <w:color w:val="FF0000"/>
                <w:u w:val="single"/>
                <w:lang w:val="en-US"/>
              </w:rPr>
              <w:t xml:space="preserve">                        </w:t>
            </w:r>
            <w:r w:rsidR="00531992">
              <w:rPr>
                <w:rFonts w:eastAsia="Calibri"/>
                <w:color w:val="FF0000"/>
                <w:u w:val="single"/>
                <w:lang w:val="en-US"/>
              </w:rPr>
              <w:t xml:space="preserve">                                                                                            </w:t>
            </w:r>
            <w:r w:rsidR="00D73954">
              <w:rPr>
                <w:rFonts w:eastAsia="Calibri"/>
                <w:color w:val="FF0000"/>
                <w:u w:val="single"/>
                <w:lang w:val="en-US"/>
              </w:rPr>
              <w:t xml:space="preserve">  Values 2</w:t>
            </w:r>
            <w:r w:rsidRPr="00FF0240">
              <w:rPr>
                <w:rFonts w:eastAsia="Calibri"/>
                <w:color w:val="FF0000"/>
                <w:u w:val="single"/>
                <w:lang w:val="en-US"/>
              </w:rPr>
              <w:t xml:space="preserve"> - 7 are reserved</w:t>
            </w:r>
          </w:p>
        </w:tc>
      </w:tr>
      <w:tr w:rsidR="00FF0240" w:rsidRPr="00FF0240" w14:paraId="4F57493C" w14:textId="77777777" w:rsidTr="00FF024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78" w:type="dxa"/>
            <w:vMerge w:val="restart"/>
            <w:hideMark/>
          </w:tcPr>
          <w:p w14:paraId="66DEB8AA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HE-SIG-A2</w:t>
            </w:r>
          </w:p>
        </w:tc>
        <w:tc>
          <w:tcPr>
            <w:tcW w:w="863" w:type="dxa"/>
            <w:hideMark/>
          </w:tcPr>
          <w:p w14:paraId="095F31D2" w14:textId="77777777" w:rsidR="00FF0240" w:rsidRPr="00D91F95" w:rsidRDefault="00FF0240" w:rsidP="00FF0240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D91F95">
              <w:rPr>
                <w:rFonts w:eastAsia="Calibri"/>
                <w:color w:val="FF0000"/>
                <w:szCs w:val="18"/>
                <w:u w:val="single"/>
                <w:lang w:val="en-US"/>
              </w:rPr>
              <w:t>B0:B6</w:t>
            </w:r>
          </w:p>
        </w:tc>
        <w:tc>
          <w:tcPr>
            <w:tcW w:w="890" w:type="dxa"/>
            <w:hideMark/>
          </w:tcPr>
          <w:p w14:paraId="2406F386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TXOP Duration</w:t>
            </w:r>
          </w:p>
        </w:tc>
        <w:tc>
          <w:tcPr>
            <w:tcW w:w="678" w:type="dxa"/>
            <w:hideMark/>
          </w:tcPr>
          <w:p w14:paraId="39B911EE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7</w:t>
            </w:r>
          </w:p>
        </w:tc>
        <w:tc>
          <w:tcPr>
            <w:tcW w:w="6766" w:type="dxa"/>
            <w:gridSpan w:val="2"/>
            <w:hideMark/>
          </w:tcPr>
          <w:p w14:paraId="0BF19E6C" w14:textId="209A1E5B" w:rsidR="00FF0240" w:rsidRPr="00FF0240" w:rsidRDefault="00531992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>
              <w:rPr>
                <w:rFonts w:eastAsia="Calibri"/>
                <w:szCs w:val="18"/>
                <w:lang w:val="en-US"/>
              </w:rPr>
              <w:t>Indicates the remaining time in the current TXOP. Details TBD.</w:t>
            </w:r>
          </w:p>
        </w:tc>
      </w:tr>
      <w:tr w:rsidR="00FF0240" w:rsidRPr="00FF0240" w14:paraId="028C431B" w14:textId="77777777" w:rsidTr="00FF0240">
        <w:tblPrEx>
          <w:tblLook w:val="04A0" w:firstRow="1" w:lastRow="0" w:firstColumn="1" w:lastColumn="0" w:noHBand="0" w:noVBand="1"/>
        </w:tblPrEx>
        <w:trPr>
          <w:trHeight w:val="514"/>
        </w:trPr>
        <w:tc>
          <w:tcPr>
            <w:tcW w:w="878" w:type="dxa"/>
            <w:vMerge/>
            <w:hideMark/>
          </w:tcPr>
          <w:p w14:paraId="62A15EE2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</w:p>
        </w:tc>
        <w:tc>
          <w:tcPr>
            <w:tcW w:w="863" w:type="dxa"/>
            <w:hideMark/>
          </w:tcPr>
          <w:p w14:paraId="63C1E701" w14:textId="77777777" w:rsidR="00FF0240" w:rsidRPr="00D91F95" w:rsidRDefault="00FF0240" w:rsidP="00FF0240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D91F95">
              <w:rPr>
                <w:rFonts w:eastAsia="Calibri"/>
                <w:color w:val="FF0000"/>
                <w:szCs w:val="18"/>
                <w:u w:val="single"/>
                <w:lang w:val="en-US"/>
              </w:rPr>
              <w:t>B7</w:t>
            </w:r>
          </w:p>
        </w:tc>
        <w:tc>
          <w:tcPr>
            <w:tcW w:w="890" w:type="dxa"/>
            <w:hideMark/>
          </w:tcPr>
          <w:p w14:paraId="20C80894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Coding</w:t>
            </w:r>
          </w:p>
        </w:tc>
        <w:tc>
          <w:tcPr>
            <w:tcW w:w="678" w:type="dxa"/>
            <w:hideMark/>
          </w:tcPr>
          <w:p w14:paraId="34FDC8DE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1</w:t>
            </w:r>
          </w:p>
        </w:tc>
        <w:tc>
          <w:tcPr>
            <w:tcW w:w="6766" w:type="dxa"/>
            <w:gridSpan w:val="2"/>
            <w:hideMark/>
          </w:tcPr>
          <w:p w14:paraId="070FC1D9" w14:textId="69C93DBF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Indicates whether BCC or LDPC is used.                                                                                                                                               Set to 0 for BCC                                                                                                                         Set to 1 for LDPC</w:t>
            </w:r>
            <w:r w:rsidR="007574F6">
              <w:rPr>
                <w:rFonts w:eastAsia="Calibri"/>
                <w:szCs w:val="18"/>
                <w:lang w:val="en-US"/>
              </w:rPr>
              <w:t xml:space="preserve"> (#11-16/0610-04)</w:t>
            </w:r>
          </w:p>
        </w:tc>
      </w:tr>
      <w:tr w:rsidR="00FF0240" w:rsidRPr="00FF0240" w14:paraId="56B455AD" w14:textId="77777777" w:rsidTr="00FF024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878" w:type="dxa"/>
            <w:vMerge/>
            <w:hideMark/>
          </w:tcPr>
          <w:p w14:paraId="59F708CC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</w:p>
        </w:tc>
        <w:tc>
          <w:tcPr>
            <w:tcW w:w="863" w:type="dxa"/>
            <w:hideMark/>
          </w:tcPr>
          <w:p w14:paraId="75195778" w14:textId="77777777" w:rsidR="00FF0240" w:rsidRPr="00D91F95" w:rsidRDefault="00FF0240" w:rsidP="00FF0240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D91F95">
              <w:rPr>
                <w:rFonts w:eastAsia="Calibri"/>
                <w:color w:val="FF0000"/>
                <w:szCs w:val="18"/>
                <w:u w:val="single"/>
                <w:lang w:val="en-US"/>
              </w:rPr>
              <w:t>B8</w:t>
            </w:r>
          </w:p>
        </w:tc>
        <w:tc>
          <w:tcPr>
            <w:tcW w:w="890" w:type="dxa"/>
            <w:hideMark/>
          </w:tcPr>
          <w:p w14:paraId="683D93DF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LDPC Extra Symbol Segment</w:t>
            </w:r>
          </w:p>
        </w:tc>
        <w:tc>
          <w:tcPr>
            <w:tcW w:w="678" w:type="dxa"/>
            <w:hideMark/>
          </w:tcPr>
          <w:p w14:paraId="1D5EC6D4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1</w:t>
            </w:r>
          </w:p>
        </w:tc>
        <w:tc>
          <w:tcPr>
            <w:tcW w:w="6766" w:type="dxa"/>
            <w:gridSpan w:val="2"/>
            <w:hideMark/>
          </w:tcPr>
          <w:p w14:paraId="57FE6D4F" w14:textId="7264304D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 xml:space="preserve">Indicates presence of extra OFDM symbol segment for LDPC                                                                                                                  </w:t>
            </w:r>
            <w:r w:rsidRPr="00531992">
              <w:rPr>
                <w:rFonts w:eastAsia="Calibri"/>
                <w:szCs w:val="18"/>
                <w:lang w:val="en-US"/>
              </w:rPr>
              <w:t>Set to 0 for LDPC extra symbol</w:t>
            </w:r>
            <w:r w:rsidR="007574F6" w:rsidRPr="00531992">
              <w:rPr>
                <w:rFonts w:eastAsia="Calibri"/>
                <w:szCs w:val="18"/>
                <w:lang w:val="en-US"/>
              </w:rPr>
              <w:t xml:space="preserve"> segment is</w:t>
            </w:r>
            <w:r w:rsidRPr="00531992">
              <w:rPr>
                <w:rFonts w:eastAsia="Calibri"/>
                <w:szCs w:val="18"/>
                <w:lang w:val="en-US"/>
              </w:rPr>
              <w:t xml:space="preserve"> not present    </w:t>
            </w:r>
            <w:r w:rsidR="007574F6" w:rsidRPr="00531992">
              <w:rPr>
                <w:rFonts w:eastAsia="Calibri"/>
                <w:szCs w:val="18"/>
                <w:lang w:val="en-US"/>
              </w:rPr>
              <w:t xml:space="preserve">                                                 </w:t>
            </w:r>
            <w:r w:rsidRPr="00531992">
              <w:rPr>
                <w:rFonts w:eastAsia="Calibri"/>
                <w:szCs w:val="18"/>
                <w:lang w:val="en-US"/>
              </w:rPr>
              <w:t xml:space="preserve">                              Set to 1 for LDPC extra symbol</w:t>
            </w:r>
            <w:r w:rsidR="007574F6" w:rsidRPr="00531992">
              <w:rPr>
                <w:rFonts w:eastAsia="Calibri"/>
                <w:szCs w:val="18"/>
                <w:lang w:val="en-US"/>
              </w:rPr>
              <w:t xml:space="preserve"> segment is</w:t>
            </w:r>
            <w:r w:rsidRPr="00531992">
              <w:rPr>
                <w:rFonts w:eastAsia="Calibri"/>
                <w:szCs w:val="18"/>
                <w:lang w:val="en-US"/>
              </w:rPr>
              <w:t xml:space="preserve"> present.                                                                                                                                                  </w:t>
            </w:r>
            <w:r w:rsidRPr="007574F6">
              <w:rPr>
                <w:rFonts w:eastAsia="Calibri"/>
                <w:color w:val="FF0000"/>
                <w:szCs w:val="18"/>
                <w:u w:val="single"/>
                <w:lang w:val="en-US"/>
              </w:rPr>
              <w:t>NOTE- This field is reserved and set to 1 when Coding field is set to 0</w:t>
            </w:r>
          </w:p>
        </w:tc>
      </w:tr>
      <w:tr w:rsidR="00FF0240" w:rsidRPr="00FF0240" w14:paraId="2F01EFBF" w14:textId="77777777" w:rsidTr="00FF0240">
        <w:tblPrEx>
          <w:tblLook w:val="04A0" w:firstRow="1" w:lastRow="0" w:firstColumn="1" w:lastColumn="0" w:noHBand="0" w:noVBand="1"/>
        </w:tblPrEx>
        <w:trPr>
          <w:trHeight w:val="514"/>
        </w:trPr>
        <w:tc>
          <w:tcPr>
            <w:tcW w:w="878" w:type="dxa"/>
            <w:vMerge/>
            <w:hideMark/>
          </w:tcPr>
          <w:p w14:paraId="5F47AFDA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</w:p>
        </w:tc>
        <w:tc>
          <w:tcPr>
            <w:tcW w:w="863" w:type="dxa"/>
            <w:hideMark/>
          </w:tcPr>
          <w:p w14:paraId="5C322E83" w14:textId="77777777" w:rsidR="00FF0240" w:rsidRPr="00D91F95" w:rsidRDefault="00FF0240" w:rsidP="00FF0240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D91F95">
              <w:rPr>
                <w:rFonts w:eastAsia="Calibri"/>
                <w:color w:val="FF0000"/>
                <w:szCs w:val="18"/>
                <w:u w:val="single"/>
                <w:lang w:val="en-US"/>
              </w:rPr>
              <w:t>B9</w:t>
            </w:r>
          </w:p>
        </w:tc>
        <w:tc>
          <w:tcPr>
            <w:tcW w:w="890" w:type="dxa"/>
            <w:hideMark/>
          </w:tcPr>
          <w:p w14:paraId="0C2F3C26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STBC</w:t>
            </w:r>
          </w:p>
        </w:tc>
        <w:tc>
          <w:tcPr>
            <w:tcW w:w="678" w:type="dxa"/>
            <w:hideMark/>
          </w:tcPr>
          <w:p w14:paraId="0B232825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1</w:t>
            </w:r>
          </w:p>
        </w:tc>
        <w:tc>
          <w:tcPr>
            <w:tcW w:w="6766" w:type="dxa"/>
            <w:gridSpan w:val="2"/>
            <w:hideMark/>
          </w:tcPr>
          <w:p w14:paraId="5EC7B89B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 xml:space="preserve">Set to 1 if STBC is used                                                                                                                 Set to 0 otherwise </w:t>
            </w:r>
          </w:p>
        </w:tc>
      </w:tr>
      <w:tr w:rsidR="00FF0240" w:rsidRPr="00FF0240" w14:paraId="61D04F92" w14:textId="77777777" w:rsidTr="00FF0240">
        <w:tblPrEx>
          <w:tblLook w:val="04A0" w:firstRow="1" w:lastRow="0" w:firstColumn="1" w:lastColumn="0" w:noHBand="0" w:noVBand="1"/>
        </w:tblPrEx>
        <w:trPr>
          <w:trHeight w:val="643"/>
        </w:trPr>
        <w:tc>
          <w:tcPr>
            <w:tcW w:w="878" w:type="dxa"/>
            <w:vMerge/>
            <w:hideMark/>
          </w:tcPr>
          <w:p w14:paraId="78573944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</w:p>
        </w:tc>
        <w:tc>
          <w:tcPr>
            <w:tcW w:w="863" w:type="dxa"/>
            <w:hideMark/>
          </w:tcPr>
          <w:p w14:paraId="453CDF76" w14:textId="77777777" w:rsidR="00FF0240" w:rsidRPr="00D91F95" w:rsidRDefault="00FF0240" w:rsidP="00FF0240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D91F95">
              <w:rPr>
                <w:rFonts w:eastAsia="Calibri"/>
                <w:color w:val="FF0000"/>
                <w:szCs w:val="18"/>
                <w:u w:val="single"/>
                <w:lang w:val="en-US"/>
              </w:rPr>
              <w:t>B10</w:t>
            </w:r>
          </w:p>
        </w:tc>
        <w:tc>
          <w:tcPr>
            <w:tcW w:w="890" w:type="dxa"/>
            <w:hideMark/>
          </w:tcPr>
          <w:p w14:paraId="4B559226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proofErr w:type="spellStart"/>
            <w:r w:rsidRPr="00FF0240">
              <w:rPr>
                <w:rFonts w:eastAsia="Calibri"/>
                <w:szCs w:val="18"/>
                <w:lang w:val="en-US"/>
              </w:rPr>
              <w:t>Tx</w:t>
            </w:r>
            <w:proofErr w:type="spellEnd"/>
            <w:r w:rsidRPr="00FF0240">
              <w:rPr>
                <w:rFonts w:eastAsia="Calibri"/>
                <w:szCs w:val="18"/>
                <w:lang w:val="en-US"/>
              </w:rPr>
              <w:t xml:space="preserve"> BF</w:t>
            </w:r>
          </w:p>
        </w:tc>
        <w:tc>
          <w:tcPr>
            <w:tcW w:w="678" w:type="dxa"/>
            <w:hideMark/>
          </w:tcPr>
          <w:p w14:paraId="2CD4A54E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1</w:t>
            </w:r>
          </w:p>
        </w:tc>
        <w:tc>
          <w:tcPr>
            <w:tcW w:w="6766" w:type="dxa"/>
            <w:gridSpan w:val="2"/>
            <w:hideMark/>
          </w:tcPr>
          <w:p w14:paraId="74D67195" w14:textId="089DFCBA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 xml:space="preserve">Set to 1 if a Beamforming steering matrix is applied to the waveform in an SU transmission           </w:t>
            </w:r>
            <w:r w:rsidR="007574F6">
              <w:rPr>
                <w:rFonts w:eastAsia="Calibri"/>
                <w:szCs w:val="18"/>
                <w:lang w:val="en-US"/>
              </w:rPr>
              <w:t xml:space="preserve">                              </w:t>
            </w:r>
            <w:r w:rsidRPr="00FF0240">
              <w:rPr>
                <w:rFonts w:eastAsia="Calibri"/>
                <w:szCs w:val="18"/>
                <w:lang w:val="en-US"/>
              </w:rPr>
              <w:t xml:space="preserve">                                                                                                  Set to 0 otherwise</w:t>
            </w:r>
          </w:p>
        </w:tc>
      </w:tr>
      <w:tr w:rsidR="003008A0" w:rsidRPr="00FF0240" w14:paraId="74013AC0" w14:textId="77777777" w:rsidTr="00FF0240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78" w:type="dxa"/>
            <w:vMerge/>
            <w:hideMark/>
          </w:tcPr>
          <w:p w14:paraId="0F898A5B" w14:textId="77777777" w:rsidR="003008A0" w:rsidRPr="00FF0240" w:rsidRDefault="003008A0" w:rsidP="003008A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</w:p>
        </w:tc>
        <w:tc>
          <w:tcPr>
            <w:tcW w:w="863" w:type="dxa"/>
            <w:hideMark/>
          </w:tcPr>
          <w:p w14:paraId="2A8D7145" w14:textId="2726EC34" w:rsidR="003008A0" w:rsidRPr="00D91F95" w:rsidRDefault="003008A0" w:rsidP="003008A0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D91F95">
              <w:rPr>
                <w:rFonts w:eastAsia="Calibri"/>
                <w:color w:val="FF0000"/>
                <w:szCs w:val="18"/>
                <w:u w:val="single"/>
                <w:lang w:val="en-US"/>
              </w:rPr>
              <w:t>B11:B12</w:t>
            </w:r>
          </w:p>
        </w:tc>
        <w:tc>
          <w:tcPr>
            <w:tcW w:w="890" w:type="dxa"/>
            <w:hideMark/>
          </w:tcPr>
          <w:p w14:paraId="0F3F1DFD" w14:textId="115E0139" w:rsidR="003008A0" w:rsidRPr="00FF0240" w:rsidRDefault="003008A0" w:rsidP="003008A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>
              <w:rPr>
                <w:rFonts w:eastAsia="Calibri"/>
                <w:szCs w:val="18"/>
                <w:lang w:val="en-US"/>
              </w:rPr>
              <w:t>A-factor</w:t>
            </w:r>
          </w:p>
        </w:tc>
        <w:tc>
          <w:tcPr>
            <w:tcW w:w="678" w:type="dxa"/>
            <w:hideMark/>
          </w:tcPr>
          <w:p w14:paraId="036E360D" w14:textId="6520227D" w:rsidR="003008A0" w:rsidRPr="00FF0240" w:rsidRDefault="003008A0" w:rsidP="003008A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>
              <w:rPr>
                <w:rFonts w:eastAsia="Calibri"/>
                <w:szCs w:val="18"/>
                <w:lang w:val="en-US"/>
              </w:rPr>
              <w:t>2</w:t>
            </w:r>
          </w:p>
        </w:tc>
        <w:tc>
          <w:tcPr>
            <w:tcW w:w="6766" w:type="dxa"/>
            <w:gridSpan w:val="2"/>
            <w:hideMark/>
          </w:tcPr>
          <w:p w14:paraId="361C3A9C" w14:textId="5493A8E0" w:rsidR="003008A0" w:rsidRPr="00FF0240" w:rsidRDefault="003008A0" w:rsidP="003008A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>
              <w:rPr>
                <w:rFonts w:eastAsia="Calibri"/>
                <w:szCs w:val="18"/>
                <w:lang w:val="en-US"/>
              </w:rPr>
              <w:t>Indicates the “a-factor” as defined in Table 26-44 (a-</w:t>
            </w:r>
            <w:proofErr w:type="spellStart"/>
            <w:r>
              <w:rPr>
                <w:rFonts w:eastAsia="Calibri"/>
                <w:szCs w:val="18"/>
                <w:lang w:val="en-US"/>
              </w:rPr>
              <w:t>facotr</w:t>
            </w:r>
            <w:proofErr w:type="spellEnd"/>
            <w:r>
              <w:rPr>
                <w:rFonts w:eastAsia="Calibri"/>
                <w:szCs w:val="18"/>
                <w:lang w:val="en-US"/>
              </w:rPr>
              <w:t xml:space="preserve"> subfield encoding)</w:t>
            </w:r>
          </w:p>
        </w:tc>
      </w:tr>
      <w:tr w:rsidR="003008A0" w:rsidRPr="00FF0240" w14:paraId="762928A5" w14:textId="77777777" w:rsidTr="00FF0240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78" w:type="dxa"/>
            <w:vMerge/>
          </w:tcPr>
          <w:p w14:paraId="550DCECC" w14:textId="77777777" w:rsidR="003008A0" w:rsidRPr="00FF0240" w:rsidRDefault="003008A0" w:rsidP="003008A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</w:p>
        </w:tc>
        <w:tc>
          <w:tcPr>
            <w:tcW w:w="863" w:type="dxa"/>
          </w:tcPr>
          <w:p w14:paraId="0DC34DA4" w14:textId="1B4047C8" w:rsidR="003008A0" w:rsidRPr="00D91F95" w:rsidRDefault="003008A0" w:rsidP="003008A0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D91F95">
              <w:rPr>
                <w:rFonts w:eastAsia="Calibri"/>
                <w:color w:val="FF0000"/>
                <w:szCs w:val="18"/>
                <w:u w:val="single"/>
                <w:lang w:val="en-US"/>
              </w:rPr>
              <w:t>B13</w:t>
            </w:r>
          </w:p>
        </w:tc>
        <w:tc>
          <w:tcPr>
            <w:tcW w:w="890" w:type="dxa"/>
          </w:tcPr>
          <w:p w14:paraId="188644C7" w14:textId="0C0E82AD" w:rsidR="003008A0" w:rsidRPr="00FF0240" w:rsidRDefault="003008A0" w:rsidP="003008A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>
              <w:rPr>
                <w:rFonts w:eastAsia="Calibri"/>
                <w:szCs w:val="18"/>
                <w:lang w:val="en-US"/>
              </w:rPr>
              <w:t xml:space="preserve">PE </w:t>
            </w:r>
            <w:proofErr w:type="spellStart"/>
            <w:r>
              <w:rPr>
                <w:rFonts w:eastAsia="Calibri"/>
                <w:szCs w:val="18"/>
                <w:lang w:val="en-US"/>
              </w:rPr>
              <w:t>Disambiguity</w:t>
            </w:r>
            <w:proofErr w:type="spellEnd"/>
          </w:p>
        </w:tc>
        <w:tc>
          <w:tcPr>
            <w:tcW w:w="678" w:type="dxa"/>
          </w:tcPr>
          <w:p w14:paraId="7209429C" w14:textId="23B7D11C" w:rsidR="003008A0" w:rsidRPr="00FF0240" w:rsidRDefault="003008A0" w:rsidP="003008A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>
              <w:rPr>
                <w:rFonts w:eastAsia="Calibri"/>
                <w:szCs w:val="18"/>
                <w:lang w:val="en-US"/>
              </w:rPr>
              <w:t>1</w:t>
            </w:r>
          </w:p>
        </w:tc>
        <w:tc>
          <w:tcPr>
            <w:tcW w:w="6766" w:type="dxa"/>
            <w:gridSpan w:val="2"/>
          </w:tcPr>
          <w:p w14:paraId="684D3CFA" w14:textId="235A64AE" w:rsidR="003008A0" w:rsidRPr="00FF0240" w:rsidRDefault="003008A0" w:rsidP="003008A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>
              <w:rPr>
                <w:rFonts w:eastAsia="Calibri"/>
                <w:szCs w:val="18"/>
                <w:lang w:val="en-US"/>
              </w:rPr>
              <w:t xml:space="preserve">Indicates PE </w:t>
            </w:r>
            <w:proofErr w:type="spellStart"/>
            <w:r>
              <w:rPr>
                <w:rFonts w:eastAsia="Calibri"/>
                <w:szCs w:val="18"/>
                <w:lang w:val="en-US"/>
              </w:rPr>
              <w:t>Disambiguity</w:t>
            </w:r>
            <w:proofErr w:type="spellEnd"/>
            <w:r>
              <w:rPr>
                <w:rFonts w:eastAsia="Calibri"/>
                <w:szCs w:val="18"/>
                <w:lang w:val="en-US"/>
              </w:rPr>
              <w:t xml:space="preserve"> as defined in 26.3.11 (Packet Extension)</w:t>
            </w:r>
          </w:p>
        </w:tc>
      </w:tr>
      <w:tr w:rsidR="00FF0240" w:rsidRPr="00FF0240" w14:paraId="382A9DE5" w14:textId="77777777" w:rsidTr="00FF0240">
        <w:tblPrEx>
          <w:tblLook w:val="04A0" w:firstRow="1" w:lastRow="0" w:firstColumn="1" w:lastColumn="0" w:noHBand="0" w:noVBand="1"/>
        </w:tblPrEx>
        <w:trPr>
          <w:trHeight w:val="487"/>
        </w:trPr>
        <w:tc>
          <w:tcPr>
            <w:tcW w:w="878" w:type="dxa"/>
            <w:vMerge/>
            <w:hideMark/>
          </w:tcPr>
          <w:p w14:paraId="6E37CDE9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</w:p>
        </w:tc>
        <w:tc>
          <w:tcPr>
            <w:tcW w:w="863" w:type="dxa"/>
            <w:hideMark/>
          </w:tcPr>
          <w:p w14:paraId="6DE34EB7" w14:textId="77777777" w:rsidR="00FF0240" w:rsidRPr="00D91F95" w:rsidRDefault="00FF0240" w:rsidP="00FF0240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D91F95">
              <w:rPr>
                <w:rFonts w:eastAsia="Calibri"/>
                <w:color w:val="FF0000"/>
                <w:szCs w:val="18"/>
                <w:u w:val="single"/>
                <w:lang w:val="en-US"/>
              </w:rPr>
              <w:t>B14</w:t>
            </w:r>
          </w:p>
        </w:tc>
        <w:tc>
          <w:tcPr>
            <w:tcW w:w="890" w:type="dxa"/>
            <w:hideMark/>
          </w:tcPr>
          <w:p w14:paraId="444FB20C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Reserved</w:t>
            </w:r>
          </w:p>
        </w:tc>
        <w:tc>
          <w:tcPr>
            <w:tcW w:w="678" w:type="dxa"/>
            <w:hideMark/>
          </w:tcPr>
          <w:p w14:paraId="406E6208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1</w:t>
            </w:r>
          </w:p>
        </w:tc>
        <w:tc>
          <w:tcPr>
            <w:tcW w:w="6766" w:type="dxa"/>
            <w:gridSpan w:val="2"/>
            <w:hideMark/>
          </w:tcPr>
          <w:p w14:paraId="65B3A76B" w14:textId="77777777" w:rsidR="00FF0240" w:rsidRPr="007574F6" w:rsidRDefault="00FF0240" w:rsidP="00FF0240">
            <w:pPr>
              <w:spacing w:after="160" w:line="259" w:lineRule="auto"/>
              <w:rPr>
                <w:rFonts w:eastAsia="Calibri"/>
                <w:szCs w:val="18"/>
                <w:u w:val="single"/>
                <w:lang w:val="en-US"/>
              </w:rPr>
            </w:pPr>
            <w:r w:rsidRPr="007574F6">
              <w:rPr>
                <w:rFonts w:eastAsia="Calibri"/>
                <w:color w:val="FF0000"/>
                <w:szCs w:val="18"/>
                <w:u w:val="single"/>
                <w:lang w:val="en-US"/>
              </w:rPr>
              <w:t>Reserved and set to 1</w:t>
            </w:r>
          </w:p>
        </w:tc>
      </w:tr>
      <w:tr w:rsidR="00FF0240" w:rsidRPr="00FF0240" w14:paraId="3C2EE062" w14:textId="77777777" w:rsidTr="00FF0240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878" w:type="dxa"/>
            <w:vMerge/>
            <w:hideMark/>
          </w:tcPr>
          <w:p w14:paraId="55F834DB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</w:p>
        </w:tc>
        <w:tc>
          <w:tcPr>
            <w:tcW w:w="863" w:type="dxa"/>
            <w:hideMark/>
          </w:tcPr>
          <w:p w14:paraId="2E108728" w14:textId="77777777" w:rsidR="00FF0240" w:rsidRPr="00D91F95" w:rsidRDefault="00FF0240" w:rsidP="00FF0240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D91F95">
              <w:rPr>
                <w:rFonts w:eastAsia="Calibri"/>
                <w:color w:val="FF0000"/>
                <w:szCs w:val="18"/>
                <w:u w:val="single"/>
                <w:lang w:val="en-US"/>
              </w:rPr>
              <w:t>B15</w:t>
            </w:r>
          </w:p>
        </w:tc>
        <w:tc>
          <w:tcPr>
            <w:tcW w:w="890" w:type="dxa"/>
            <w:hideMark/>
          </w:tcPr>
          <w:p w14:paraId="4B1DDBF4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Doppler</w:t>
            </w:r>
          </w:p>
        </w:tc>
        <w:tc>
          <w:tcPr>
            <w:tcW w:w="678" w:type="dxa"/>
            <w:hideMark/>
          </w:tcPr>
          <w:p w14:paraId="538BF1FC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1</w:t>
            </w:r>
          </w:p>
        </w:tc>
        <w:tc>
          <w:tcPr>
            <w:tcW w:w="6766" w:type="dxa"/>
            <w:gridSpan w:val="2"/>
            <w:hideMark/>
          </w:tcPr>
          <w:p w14:paraId="3ACF424A" w14:textId="424F1689" w:rsidR="00FF0240" w:rsidRPr="007574F6" w:rsidRDefault="007574F6" w:rsidP="0053199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574F6">
              <w:rPr>
                <w:rFonts w:eastAsia="Calibri"/>
                <w:szCs w:val="18"/>
                <w:lang w:val="en-US"/>
              </w:rPr>
              <w:t xml:space="preserve">Set to 0 if Doppler mode is not used                                                                                          Set to 1 if Doppler mode is used </w:t>
            </w:r>
          </w:p>
        </w:tc>
      </w:tr>
      <w:tr w:rsidR="00FF0240" w:rsidRPr="00FF0240" w14:paraId="3357FF33" w14:textId="77777777" w:rsidTr="00FF0240">
        <w:tblPrEx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878" w:type="dxa"/>
            <w:vMerge/>
            <w:hideMark/>
          </w:tcPr>
          <w:p w14:paraId="6D62DEB9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</w:p>
        </w:tc>
        <w:tc>
          <w:tcPr>
            <w:tcW w:w="863" w:type="dxa"/>
            <w:hideMark/>
          </w:tcPr>
          <w:p w14:paraId="05075838" w14:textId="77777777" w:rsidR="00FF0240" w:rsidRPr="00D91F95" w:rsidRDefault="00FF0240" w:rsidP="00FF0240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D91F95">
              <w:rPr>
                <w:rFonts w:eastAsia="Calibri"/>
                <w:color w:val="FF0000"/>
                <w:szCs w:val="18"/>
                <w:u w:val="single"/>
                <w:lang w:val="en-US"/>
              </w:rPr>
              <w:t>B16:B19</w:t>
            </w:r>
          </w:p>
        </w:tc>
        <w:tc>
          <w:tcPr>
            <w:tcW w:w="890" w:type="dxa"/>
            <w:hideMark/>
          </w:tcPr>
          <w:p w14:paraId="05D01D4F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CRC</w:t>
            </w:r>
          </w:p>
        </w:tc>
        <w:tc>
          <w:tcPr>
            <w:tcW w:w="678" w:type="dxa"/>
            <w:hideMark/>
          </w:tcPr>
          <w:p w14:paraId="1C0125AF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4</w:t>
            </w:r>
          </w:p>
        </w:tc>
        <w:tc>
          <w:tcPr>
            <w:tcW w:w="6766" w:type="dxa"/>
            <w:gridSpan w:val="2"/>
            <w:hideMark/>
          </w:tcPr>
          <w:p w14:paraId="730F7713" w14:textId="5570991A" w:rsidR="00FF0240" w:rsidRPr="00FF0240" w:rsidRDefault="00FF0240" w:rsidP="000B407E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 xml:space="preserve">CRC of bits 0 </w:t>
            </w:r>
            <w:r w:rsidR="000B407E">
              <w:rPr>
                <w:rFonts w:eastAsia="Calibri"/>
                <w:szCs w:val="18"/>
                <w:lang w:val="en-US"/>
              </w:rPr>
              <w:t>- 41 in HE-SIG-A</w:t>
            </w:r>
            <w:r w:rsidR="001E6D6A">
              <w:rPr>
                <w:rFonts w:eastAsia="Calibri"/>
                <w:szCs w:val="18"/>
                <w:lang w:val="en-US"/>
              </w:rPr>
              <w:t xml:space="preserve"> </w:t>
            </w:r>
            <w:r w:rsidR="000B407E">
              <w:rPr>
                <w:rFonts w:eastAsia="Calibri"/>
                <w:szCs w:val="18"/>
                <w:lang w:val="en-US"/>
              </w:rPr>
              <w:t>(s</w:t>
            </w:r>
            <w:r w:rsidR="001E6D6A">
              <w:rPr>
                <w:rFonts w:eastAsia="Calibri"/>
                <w:szCs w:val="18"/>
                <w:lang w:val="en-US"/>
              </w:rPr>
              <w:t>ee 22.3.9.7.3</w:t>
            </w:r>
            <w:r w:rsidRPr="00FF0240">
              <w:rPr>
                <w:rFonts w:eastAsia="Calibri"/>
                <w:szCs w:val="18"/>
                <w:lang w:val="en-US"/>
              </w:rPr>
              <w:t xml:space="preserve"> (CRC </w:t>
            </w:r>
            <w:r w:rsidR="001E6D6A">
              <w:rPr>
                <w:rFonts w:eastAsia="Calibri"/>
                <w:szCs w:val="18"/>
                <w:lang w:val="en-US"/>
              </w:rPr>
              <w:t>computation)</w:t>
            </w:r>
            <w:r w:rsidRPr="00FF0240">
              <w:rPr>
                <w:rFonts w:eastAsia="Calibri"/>
                <w:szCs w:val="18"/>
                <w:lang w:val="en-US"/>
              </w:rPr>
              <w:t>). The first</w:t>
            </w:r>
            <w:r w:rsidR="007574F6">
              <w:rPr>
                <w:rFonts w:eastAsia="Calibri"/>
                <w:szCs w:val="18"/>
                <w:lang w:val="en-US"/>
              </w:rPr>
              <w:t xml:space="preserve"> bit to be transmitted is bit C7</w:t>
            </w:r>
            <w:r w:rsidR="001E6D6A">
              <w:rPr>
                <w:rFonts w:eastAsia="Calibri"/>
                <w:szCs w:val="18"/>
                <w:lang w:val="en-US"/>
              </w:rPr>
              <w:t xml:space="preserve"> as explained in 20.3.9.7.3</w:t>
            </w:r>
            <w:r w:rsidRPr="00FF0240">
              <w:rPr>
                <w:rFonts w:eastAsia="Calibri"/>
                <w:szCs w:val="18"/>
                <w:lang w:val="en-US"/>
              </w:rPr>
              <w:t xml:space="preserve"> (CRC </w:t>
            </w:r>
            <w:r w:rsidR="001E6D6A">
              <w:rPr>
                <w:rFonts w:eastAsia="Calibri"/>
                <w:szCs w:val="18"/>
                <w:lang w:val="en-US"/>
              </w:rPr>
              <w:t>computation</w:t>
            </w:r>
            <w:r w:rsidRPr="00FF0240">
              <w:rPr>
                <w:rFonts w:eastAsia="Calibri"/>
                <w:szCs w:val="18"/>
                <w:lang w:val="en-US"/>
              </w:rPr>
              <w:t>).</w:t>
            </w:r>
            <w:r w:rsidR="00531992">
              <w:rPr>
                <w:rFonts w:eastAsia="Calibri"/>
                <w:szCs w:val="18"/>
                <w:lang w:val="en-US"/>
              </w:rPr>
              <w:t xml:space="preserve"> </w:t>
            </w:r>
          </w:p>
        </w:tc>
      </w:tr>
      <w:tr w:rsidR="00FF0240" w:rsidRPr="00FF0240" w14:paraId="122C83CB" w14:textId="77777777" w:rsidTr="00FF0240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878" w:type="dxa"/>
            <w:vMerge/>
            <w:hideMark/>
          </w:tcPr>
          <w:p w14:paraId="51E62590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</w:p>
        </w:tc>
        <w:tc>
          <w:tcPr>
            <w:tcW w:w="863" w:type="dxa"/>
            <w:hideMark/>
          </w:tcPr>
          <w:p w14:paraId="053BDD95" w14:textId="77777777" w:rsidR="00FF0240" w:rsidRPr="00D91F95" w:rsidRDefault="00FF0240" w:rsidP="00FF0240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D91F95">
              <w:rPr>
                <w:rFonts w:eastAsia="Calibri"/>
                <w:color w:val="FF0000"/>
                <w:szCs w:val="18"/>
                <w:u w:val="single"/>
                <w:lang w:val="en-US"/>
              </w:rPr>
              <w:t>B20:B25</w:t>
            </w:r>
          </w:p>
        </w:tc>
        <w:tc>
          <w:tcPr>
            <w:tcW w:w="890" w:type="dxa"/>
            <w:hideMark/>
          </w:tcPr>
          <w:p w14:paraId="64B04F8E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Tail</w:t>
            </w:r>
          </w:p>
        </w:tc>
        <w:tc>
          <w:tcPr>
            <w:tcW w:w="678" w:type="dxa"/>
            <w:hideMark/>
          </w:tcPr>
          <w:p w14:paraId="5AE8DDCA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6</w:t>
            </w:r>
          </w:p>
        </w:tc>
        <w:tc>
          <w:tcPr>
            <w:tcW w:w="6766" w:type="dxa"/>
            <w:gridSpan w:val="2"/>
            <w:hideMark/>
          </w:tcPr>
          <w:p w14:paraId="32917B1B" w14:textId="7D8A3E2A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 xml:space="preserve">Used to terminate the trellis of the convolution decoder.    </w:t>
            </w:r>
            <w:r w:rsidR="007574F6">
              <w:rPr>
                <w:rFonts w:eastAsia="Calibri"/>
                <w:szCs w:val="18"/>
                <w:lang w:val="en-US"/>
              </w:rPr>
              <w:t xml:space="preserve">                         </w:t>
            </w:r>
            <w:r w:rsidRPr="00FF0240">
              <w:rPr>
                <w:rFonts w:eastAsia="Calibri"/>
                <w:szCs w:val="18"/>
                <w:lang w:val="en-US"/>
              </w:rPr>
              <w:t xml:space="preserve">                          Set to 0.</w:t>
            </w:r>
          </w:p>
        </w:tc>
      </w:tr>
    </w:tbl>
    <w:p w14:paraId="03CF32AD" w14:textId="5B8DD304" w:rsidR="00BA1842" w:rsidRPr="001A4C99" w:rsidRDefault="001A4C99" w:rsidP="00BE015C">
      <w:pPr>
        <w:spacing w:after="160" w:line="259" w:lineRule="auto"/>
        <w:rPr>
          <w:rFonts w:ascii="Arial" w:eastAsia="Calibri" w:hAnsi="Arial" w:cs="Arial"/>
          <w:color w:val="FF0000"/>
          <w:sz w:val="20"/>
          <w:u w:val="single"/>
          <w:lang w:val="en-US"/>
        </w:rPr>
      </w:pPr>
      <w:r w:rsidRPr="001A4C99">
        <w:rPr>
          <w:rFonts w:ascii="Arial" w:eastAsia="Calibri" w:hAnsi="Arial" w:cs="Arial"/>
          <w:color w:val="FF0000"/>
          <w:sz w:val="20"/>
          <w:u w:val="single"/>
          <w:lang w:val="en-US"/>
        </w:rPr>
        <w:t xml:space="preserve">NOTE- Integer fields are transmitted in unsigned binary format, LSB first, where </w:t>
      </w:r>
      <w:r w:rsidR="003A742A">
        <w:rPr>
          <w:rFonts w:ascii="Arial" w:eastAsia="Calibri" w:hAnsi="Arial" w:cs="Arial"/>
          <w:color w:val="FF0000"/>
          <w:sz w:val="20"/>
          <w:u w:val="single"/>
          <w:lang w:val="en-US"/>
        </w:rPr>
        <w:t xml:space="preserve">the </w:t>
      </w:r>
      <w:r w:rsidRPr="001A4C99">
        <w:rPr>
          <w:rFonts w:ascii="Arial" w:eastAsia="Calibri" w:hAnsi="Arial" w:cs="Arial"/>
          <w:color w:val="FF0000"/>
          <w:sz w:val="20"/>
          <w:u w:val="single"/>
          <w:lang w:val="en-US"/>
        </w:rPr>
        <w:t xml:space="preserve">LSB </w:t>
      </w:r>
      <w:r w:rsidR="003A742A">
        <w:rPr>
          <w:rFonts w:ascii="Arial" w:eastAsia="Calibri" w:hAnsi="Arial" w:cs="Arial"/>
          <w:color w:val="FF0000"/>
          <w:sz w:val="20"/>
          <w:u w:val="single"/>
          <w:lang w:val="en-US"/>
        </w:rPr>
        <w:t xml:space="preserve">is </w:t>
      </w:r>
      <w:r w:rsidRPr="001A4C99">
        <w:rPr>
          <w:rFonts w:ascii="Arial" w:eastAsia="Calibri" w:hAnsi="Arial" w:cs="Arial"/>
          <w:color w:val="FF0000"/>
          <w:sz w:val="20"/>
          <w:u w:val="single"/>
          <w:lang w:val="en-US"/>
        </w:rPr>
        <w:t>in the lowest number</w:t>
      </w:r>
      <w:r w:rsidR="003A742A">
        <w:rPr>
          <w:rFonts w:ascii="Arial" w:eastAsia="Calibri" w:hAnsi="Arial" w:cs="Arial"/>
          <w:color w:val="FF0000"/>
          <w:sz w:val="20"/>
          <w:u w:val="single"/>
          <w:lang w:val="en-US"/>
        </w:rPr>
        <w:t>ed</w:t>
      </w:r>
      <w:r w:rsidRPr="001A4C99">
        <w:rPr>
          <w:rFonts w:ascii="Arial" w:eastAsia="Calibri" w:hAnsi="Arial" w:cs="Arial"/>
          <w:color w:val="FF0000"/>
          <w:sz w:val="20"/>
          <w:u w:val="single"/>
          <w:lang w:val="en-US"/>
        </w:rPr>
        <w:t xml:space="preserve"> bit position.</w:t>
      </w:r>
    </w:p>
    <w:p w14:paraId="309FE0A8" w14:textId="77777777" w:rsidR="00D91F95" w:rsidRDefault="00D91F95" w:rsidP="00BE015C">
      <w:pPr>
        <w:spacing w:after="160" w:line="259" w:lineRule="auto"/>
        <w:rPr>
          <w:rFonts w:ascii="Arial" w:eastAsia="Calibri" w:hAnsi="Arial" w:cs="Arial"/>
          <w:b/>
          <w:sz w:val="20"/>
          <w:lang w:val="en-US"/>
        </w:rPr>
      </w:pPr>
    </w:p>
    <w:p w14:paraId="4C9DB90B" w14:textId="3599B438" w:rsidR="00E63598" w:rsidRDefault="00D91F95" w:rsidP="00D91F95">
      <w:pPr>
        <w:rPr>
          <w:b/>
          <w:i/>
          <w:sz w:val="20"/>
          <w:szCs w:val="24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</w:t>
      </w:r>
      <w:r>
        <w:rPr>
          <w:b/>
          <w:bCs/>
          <w:i/>
          <w:iCs/>
          <w:lang w:eastAsia="ko-KR"/>
        </w:rPr>
        <w:t>:</w:t>
      </w:r>
      <w:r w:rsidR="00E63598">
        <w:rPr>
          <w:b/>
          <w:bCs/>
          <w:i/>
          <w:iCs/>
          <w:lang w:eastAsia="ko-KR"/>
        </w:rPr>
        <w:t xml:space="preserve"> Delete Table 26-21 (Fields in the HE-SIG-A for an HE MU PPDU)</w:t>
      </w:r>
      <w:r w:rsidRPr="003F392C">
        <w:rPr>
          <w:b/>
          <w:i/>
          <w:sz w:val="20"/>
          <w:szCs w:val="24"/>
        </w:rPr>
        <w:t xml:space="preserve"> </w:t>
      </w:r>
    </w:p>
    <w:p w14:paraId="6FAD0E81" w14:textId="59D0AD6A" w:rsidR="00D91F95" w:rsidRDefault="00D91F95" w:rsidP="00D91F95">
      <w:pPr>
        <w:rPr>
          <w:b/>
          <w:i/>
          <w:sz w:val="20"/>
          <w:szCs w:val="24"/>
        </w:rPr>
      </w:pPr>
      <w:r>
        <w:rPr>
          <w:b/>
          <w:i/>
          <w:sz w:val="20"/>
          <w:szCs w:val="24"/>
        </w:rPr>
        <w:t>Replace Table 26-</w:t>
      </w:r>
      <w:r w:rsidR="00E63598">
        <w:rPr>
          <w:b/>
          <w:i/>
          <w:sz w:val="20"/>
          <w:szCs w:val="24"/>
        </w:rPr>
        <w:t>22</w:t>
      </w:r>
      <w:r>
        <w:rPr>
          <w:b/>
          <w:i/>
          <w:sz w:val="20"/>
          <w:szCs w:val="24"/>
        </w:rPr>
        <w:t xml:space="preserve"> (Fields in the HE-SIG-A for an HE MU PPDU) with the following table</w:t>
      </w:r>
      <w:r w:rsidRPr="003F392C">
        <w:rPr>
          <w:b/>
          <w:i/>
          <w:sz w:val="20"/>
          <w:szCs w:val="24"/>
        </w:rPr>
        <w:t>:</w:t>
      </w:r>
    </w:p>
    <w:p w14:paraId="39023B39" w14:textId="77777777" w:rsidR="00737442" w:rsidRDefault="00737442" w:rsidP="00D91F95">
      <w:pPr>
        <w:rPr>
          <w:b/>
          <w:i/>
          <w:sz w:val="20"/>
          <w:szCs w:val="24"/>
        </w:rPr>
      </w:pPr>
    </w:p>
    <w:p w14:paraId="497C5366" w14:textId="512AD8B9" w:rsidR="00737442" w:rsidRDefault="000C50F5" w:rsidP="00D91F95">
      <w:pPr>
        <w:rPr>
          <w:b/>
          <w:i/>
          <w:sz w:val="20"/>
          <w:szCs w:val="24"/>
        </w:rPr>
      </w:pPr>
      <w:r>
        <w:rPr>
          <w:b/>
          <w:i/>
          <w:sz w:val="20"/>
          <w:szCs w:val="24"/>
        </w:rPr>
        <w:t>Table 26-22</w:t>
      </w:r>
      <w:r w:rsidR="00737442">
        <w:rPr>
          <w:b/>
          <w:i/>
          <w:sz w:val="20"/>
          <w:szCs w:val="24"/>
        </w:rPr>
        <w:t xml:space="preserve"> – Fields in the HE-SIG-A for an HE MU PPDU</w:t>
      </w:r>
    </w:p>
    <w:tbl>
      <w:tblPr>
        <w:tblStyle w:val="TableGrid"/>
        <w:tblW w:w="10183" w:type="dxa"/>
        <w:tblLook w:val="0420" w:firstRow="1" w:lastRow="0" w:firstColumn="0" w:lastColumn="0" w:noHBand="0" w:noVBand="1"/>
      </w:tblPr>
      <w:tblGrid>
        <w:gridCol w:w="857"/>
        <w:gridCol w:w="906"/>
        <w:gridCol w:w="1608"/>
        <w:gridCol w:w="672"/>
        <w:gridCol w:w="6140"/>
      </w:tblGrid>
      <w:tr w:rsidR="00737442" w:rsidRPr="00737442" w14:paraId="2A7496F7" w14:textId="77777777" w:rsidTr="00520236">
        <w:trPr>
          <w:trHeight w:val="548"/>
        </w:trPr>
        <w:tc>
          <w:tcPr>
            <w:tcW w:w="857" w:type="dxa"/>
            <w:hideMark/>
          </w:tcPr>
          <w:p w14:paraId="7453A405" w14:textId="77777777" w:rsidR="00737442" w:rsidRPr="00737442" w:rsidRDefault="00737442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bCs/>
                <w:szCs w:val="18"/>
                <w:lang w:val="en-US"/>
              </w:rPr>
              <w:t>Two parts of HE-SIG-A</w:t>
            </w:r>
          </w:p>
        </w:tc>
        <w:tc>
          <w:tcPr>
            <w:tcW w:w="906" w:type="dxa"/>
            <w:hideMark/>
          </w:tcPr>
          <w:p w14:paraId="47C84AE1" w14:textId="77777777" w:rsidR="00737442" w:rsidRPr="00737442" w:rsidRDefault="00737442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bCs/>
                <w:szCs w:val="18"/>
                <w:lang w:val="en-US"/>
              </w:rPr>
              <w:t>Bits</w:t>
            </w:r>
          </w:p>
        </w:tc>
        <w:tc>
          <w:tcPr>
            <w:tcW w:w="1608" w:type="dxa"/>
            <w:hideMark/>
          </w:tcPr>
          <w:p w14:paraId="69ED6557" w14:textId="77777777" w:rsidR="00737442" w:rsidRPr="00737442" w:rsidRDefault="00737442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bCs/>
                <w:szCs w:val="18"/>
                <w:lang w:val="en-US"/>
              </w:rPr>
              <w:t>Field</w:t>
            </w:r>
          </w:p>
        </w:tc>
        <w:tc>
          <w:tcPr>
            <w:tcW w:w="672" w:type="dxa"/>
            <w:hideMark/>
          </w:tcPr>
          <w:p w14:paraId="53559F02" w14:textId="77777777" w:rsidR="00737442" w:rsidRPr="00737442" w:rsidRDefault="00737442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bCs/>
                <w:szCs w:val="18"/>
                <w:lang w:val="en-US"/>
              </w:rPr>
              <w:t># of bits</w:t>
            </w:r>
          </w:p>
        </w:tc>
        <w:tc>
          <w:tcPr>
            <w:tcW w:w="6140" w:type="dxa"/>
            <w:hideMark/>
          </w:tcPr>
          <w:p w14:paraId="16C1F8DB" w14:textId="77777777" w:rsidR="00737442" w:rsidRPr="00737442" w:rsidRDefault="00737442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bCs/>
                <w:szCs w:val="18"/>
                <w:lang w:val="en-US"/>
              </w:rPr>
              <w:t>Description</w:t>
            </w:r>
          </w:p>
        </w:tc>
      </w:tr>
      <w:tr w:rsidR="00A33B0C" w:rsidRPr="00737442" w14:paraId="60E9E19D" w14:textId="77777777" w:rsidTr="00520236">
        <w:trPr>
          <w:trHeight w:val="548"/>
        </w:trPr>
        <w:tc>
          <w:tcPr>
            <w:tcW w:w="857" w:type="dxa"/>
            <w:vMerge w:val="restart"/>
            <w:hideMark/>
          </w:tcPr>
          <w:p w14:paraId="55D05E6A" w14:textId="65F44960" w:rsidR="00A33B0C" w:rsidRPr="00737442" w:rsidRDefault="00A33B0C" w:rsidP="00A33B0C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>HE-SIG-A1</w:t>
            </w:r>
          </w:p>
        </w:tc>
        <w:tc>
          <w:tcPr>
            <w:tcW w:w="906" w:type="dxa"/>
            <w:hideMark/>
          </w:tcPr>
          <w:p w14:paraId="35C2FCCC" w14:textId="77777777" w:rsidR="00A33B0C" w:rsidRPr="002174DC" w:rsidRDefault="00A33B0C" w:rsidP="00737442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szCs w:val="18"/>
                <w:u w:val="single"/>
                <w:lang w:val="en-US"/>
              </w:rPr>
              <w:t>B0</w:t>
            </w:r>
          </w:p>
        </w:tc>
        <w:tc>
          <w:tcPr>
            <w:tcW w:w="1608" w:type="dxa"/>
            <w:hideMark/>
          </w:tcPr>
          <w:p w14:paraId="1468F45B" w14:textId="77777777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>UL/DL</w:t>
            </w:r>
          </w:p>
        </w:tc>
        <w:tc>
          <w:tcPr>
            <w:tcW w:w="672" w:type="dxa"/>
            <w:hideMark/>
          </w:tcPr>
          <w:p w14:paraId="1972FD29" w14:textId="77777777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>1</w:t>
            </w:r>
          </w:p>
        </w:tc>
        <w:tc>
          <w:tcPr>
            <w:tcW w:w="6140" w:type="dxa"/>
            <w:hideMark/>
          </w:tcPr>
          <w:p w14:paraId="6B66C6EA" w14:textId="77777777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 xml:space="preserve">Indicates whether the PPDU is sent UL or DL.                                                                                                                                             Set to 0 for DL                                                                                                               Set to 1 for UL.                                                                                                                                                                                                       This field indicates DL for TDLS. </w:t>
            </w:r>
          </w:p>
        </w:tc>
      </w:tr>
      <w:tr w:rsidR="00A33B0C" w:rsidRPr="00737442" w14:paraId="6658C166" w14:textId="77777777" w:rsidTr="00520236">
        <w:trPr>
          <w:trHeight w:val="548"/>
        </w:trPr>
        <w:tc>
          <w:tcPr>
            <w:tcW w:w="0" w:type="auto"/>
            <w:vMerge/>
            <w:hideMark/>
          </w:tcPr>
          <w:p w14:paraId="07811F60" w14:textId="090769BC" w:rsidR="00A33B0C" w:rsidRPr="00737442" w:rsidRDefault="00A33B0C" w:rsidP="00A33B0C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</w:p>
        </w:tc>
        <w:tc>
          <w:tcPr>
            <w:tcW w:w="906" w:type="dxa"/>
            <w:hideMark/>
          </w:tcPr>
          <w:p w14:paraId="7F9D6975" w14:textId="77777777" w:rsidR="00A33B0C" w:rsidRPr="002174DC" w:rsidRDefault="00A33B0C" w:rsidP="00737442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szCs w:val="18"/>
                <w:u w:val="single"/>
                <w:lang w:val="en-US"/>
              </w:rPr>
              <w:t>B1:B3</w:t>
            </w:r>
          </w:p>
        </w:tc>
        <w:tc>
          <w:tcPr>
            <w:tcW w:w="1608" w:type="dxa"/>
            <w:hideMark/>
          </w:tcPr>
          <w:p w14:paraId="54E3A790" w14:textId="6F2DE7CA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>
              <w:rPr>
                <w:rFonts w:eastAsia="Calibri"/>
                <w:szCs w:val="18"/>
                <w:lang w:val="en-US"/>
              </w:rPr>
              <w:t xml:space="preserve">SIGB </w:t>
            </w:r>
            <w:r w:rsidRPr="00737442">
              <w:rPr>
                <w:rFonts w:eastAsia="Calibri"/>
                <w:szCs w:val="18"/>
                <w:lang w:val="en-US"/>
              </w:rPr>
              <w:t>MCS</w:t>
            </w:r>
          </w:p>
        </w:tc>
        <w:tc>
          <w:tcPr>
            <w:tcW w:w="672" w:type="dxa"/>
            <w:hideMark/>
          </w:tcPr>
          <w:p w14:paraId="3CA0151B" w14:textId="77777777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>3</w:t>
            </w:r>
          </w:p>
        </w:tc>
        <w:tc>
          <w:tcPr>
            <w:tcW w:w="6140" w:type="dxa"/>
            <w:hideMark/>
          </w:tcPr>
          <w:p w14:paraId="645685D2" w14:textId="77777777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 xml:space="preserve">Indicates MCS of HE-SIG-B                                                                                                                                                                                  Set </w:t>
            </w:r>
            <w:proofErr w:type="spellStart"/>
            <w:r w:rsidRPr="00737442">
              <w:rPr>
                <w:rFonts w:eastAsia="Calibri"/>
                <w:szCs w:val="18"/>
                <w:lang w:val="en-US"/>
              </w:rPr>
              <w:t>to n</w:t>
            </w:r>
            <w:proofErr w:type="spellEnd"/>
            <w:r w:rsidRPr="00737442">
              <w:rPr>
                <w:rFonts w:eastAsia="Calibri"/>
                <w:szCs w:val="18"/>
                <w:lang w:val="en-US"/>
              </w:rPr>
              <w:t xml:space="preserve"> for </w:t>
            </w:r>
            <w:proofErr w:type="spellStart"/>
            <w:r w:rsidRPr="00737442">
              <w:rPr>
                <w:rFonts w:eastAsia="Calibri"/>
                <w:szCs w:val="18"/>
                <w:lang w:val="en-US"/>
              </w:rPr>
              <w:t>MCSn</w:t>
            </w:r>
            <w:proofErr w:type="spellEnd"/>
            <w:r w:rsidRPr="00737442">
              <w:rPr>
                <w:rFonts w:eastAsia="Calibri"/>
                <w:szCs w:val="18"/>
                <w:lang w:val="en-US"/>
              </w:rPr>
              <w:t>, where n = 0, 1, 2,….,5               Values 6 - 7 are reserved</w:t>
            </w:r>
          </w:p>
        </w:tc>
      </w:tr>
      <w:tr w:rsidR="00A33B0C" w:rsidRPr="00737442" w14:paraId="6E6A7A6A" w14:textId="77777777" w:rsidTr="00520236">
        <w:trPr>
          <w:trHeight w:val="548"/>
        </w:trPr>
        <w:tc>
          <w:tcPr>
            <w:tcW w:w="0" w:type="auto"/>
            <w:vMerge/>
            <w:hideMark/>
          </w:tcPr>
          <w:p w14:paraId="76004669" w14:textId="4E124F91" w:rsidR="00A33B0C" w:rsidRPr="00737442" w:rsidRDefault="00A33B0C" w:rsidP="00A33B0C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</w:p>
        </w:tc>
        <w:tc>
          <w:tcPr>
            <w:tcW w:w="906" w:type="dxa"/>
            <w:hideMark/>
          </w:tcPr>
          <w:p w14:paraId="039A1A9E" w14:textId="77777777" w:rsidR="00A33B0C" w:rsidRPr="002174DC" w:rsidRDefault="00A33B0C" w:rsidP="00737442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szCs w:val="18"/>
                <w:u w:val="single"/>
                <w:lang w:val="en-US"/>
              </w:rPr>
              <w:t>B4</w:t>
            </w:r>
          </w:p>
        </w:tc>
        <w:tc>
          <w:tcPr>
            <w:tcW w:w="1608" w:type="dxa"/>
            <w:hideMark/>
          </w:tcPr>
          <w:p w14:paraId="49FBC53D" w14:textId="4F221D67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>
              <w:rPr>
                <w:rFonts w:eastAsia="Calibri"/>
                <w:szCs w:val="18"/>
                <w:lang w:val="en-US"/>
              </w:rPr>
              <w:t xml:space="preserve">SIGB </w:t>
            </w:r>
            <w:r w:rsidRPr="00737442">
              <w:rPr>
                <w:rFonts w:eastAsia="Calibri"/>
                <w:szCs w:val="18"/>
                <w:lang w:val="en-US"/>
              </w:rPr>
              <w:t>DCM</w:t>
            </w:r>
          </w:p>
        </w:tc>
        <w:tc>
          <w:tcPr>
            <w:tcW w:w="672" w:type="dxa"/>
            <w:hideMark/>
          </w:tcPr>
          <w:p w14:paraId="5ACA8495" w14:textId="77777777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>1</w:t>
            </w:r>
          </w:p>
        </w:tc>
        <w:tc>
          <w:tcPr>
            <w:tcW w:w="6140" w:type="dxa"/>
            <w:hideMark/>
          </w:tcPr>
          <w:p w14:paraId="264D36A6" w14:textId="77777777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>Set to 1 indicates that the HE-SIG-B is modulated with dual sub-carrier modulation for the MCS.</w:t>
            </w:r>
          </w:p>
          <w:p w14:paraId="7B365512" w14:textId="6ACEDD58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 xml:space="preserve">Set to 0 indicates that the HE-SIB-B is not modulated with dual sub-carrier modulation for the MCS.                                                           </w:t>
            </w:r>
            <w:r>
              <w:rPr>
                <w:rFonts w:eastAsia="Calibri"/>
                <w:szCs w:val="18"/>
                <w:lang w:val="en-US"/>
              </w:rPr>
              <w:t xml:space="preserve">                                       </w:t>
            </w:r>
            <w:r w:rsidRPr="00737442">
              <w:rPr>
                <w:rFonts w:eastAsia="Calibri"/>
                <w:szCs w:val="18"/>
                <w:lang w:val="en-US"/>
              </w:rPr>
              <w:t xml:space="preserve">  </w:t>
            </w:r>
            <w:r w:rsidRPr="00A33B0C">
              <w:rPr>
                <w:rFonts w:eastAsia="Calibri"/>
                <w:color w:val="FF0000"/>
                <w:szCs w:val="18"/>
                <w:u w:val="single"/>
                <w:lang w:val="en-US"/>
              </w:rPr>
              <w:t>DCM is only applicable to MCS0, MCS1, MCS3, and MCS4.</w:t>
            </w:r>
            <w:r w:rsidRPr="00A33B0C">
              <w:rPr>
                <w:rFonts w:eastAsia="Calibri"/>
                <w:color w:val="FF0000"/>
                <w:szCs w:val="18"/>
                <w:lang w:val="en-US"/>
              </w:rPr>
              <w:t xml:space="preserve"> </w:t>
            </w:r>
          </w:p>
        </w:tc>
      </w:tr>
      <w:tr w:rsidR="00A33B0C" w:rsidRPr="00737442" w14:paraId="72FF4A85" w14:textId="77777777" w:rsidTr="00520236">
        <w:trPr>
          <w:trHeight w:val="548"/>
        </w:trPr>
        <w:tc>
          <w:tcPr>
            <w:tcW w:w="0" w:type="auto"/>
            <w:vMerge/>
            <w:hideMark/>
          </w:tcPr>
          <w:p w14:paraId="05E71D7C" w14:textId="148063BB" w:rsidR="00A33B0C" w:rsidRPr="00737442" w:rsidRDefault="00A33B0C" w:rsidP="00A33B0C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</w:p>
        </w:tc>
        <w:tc>
          <w:tcPr>
            <w:tcW w:w="906" w:type="dxa"/>
            <w:hideMark/>
          </w:tcPr>
          <w:p w14:paraId="0E62E3F5" w14:textId="77777777" w:rsidR="00A33B0C" w:rsidRPr="002174DC" w:rsidRDefault="00A33B0C" w:rsidP="00737442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szCs w:val="18"/>
                <w:u w:val="single"/>
                <w:lang w:val="en-US"/>
              </w:rPr>
              <w:t>B5:B10</w:t>
            </w:r>
          </w:p>
        </w:tc>
        <w:tc>
          <w:tcPr>
            <w:tcW w:w="1608" w:type="dxa"/>
            <w:hideMark/>
          </w:tcPr>
          <w:p w14:paraId="02CFF38B" w14:textId="77777777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>BSS Color</w:t>
            </w:r>
          </w:p>
        </w:tc>
        <w:tc>
          <w:tcPr>
            <w:tcW w:w="672" w:type="dxa"/>
            <w:hideMark/>
          </w:tcPr>
          <w:p w14:paraId="7EBEBE2F" w14:textId="77777777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>6</w:t>
            </w:r>
          </w:p>
        </w:tc>
        <w:tc>
          <w:tcPr>
            <w:tcW w:w="6140" w:type="dxa"/>
            <w:hideMark/>
          </w:tcPr>
          <w:p w14:paraId="4583F949" w14:textId="26B79E1B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>
              <w:rPr>
                <w:rFonts w:eastAsia="Calibri"/>
                <w:szCs w:val="18"/>
                <w:lang w:val="en-US"/>
              </w:rPr>
              <w:t>BSS Color field is an identifier of the BSS</w:t>
            </w:r>
          </w:p>
        </w:tc>
      </w:tr>
      <w:tr w:rsidR="00A33B0C" w:rsidRPr="00737442" w14:paraId="2EBE867C" w14:textId="77777777" w:rsidTr="00520236">
        <w:trPr>
          <w:trHeight w:val="548"/>
        </w:trPr>
        <w:tc>
          <w:tcPr>
            <w:tcW w:w="0" w:type="auto"/>
            <w:vMerge/>
            <w:hideMark/>
          </w:tcPr>
          <w:p w14:paraId="46DACAD3" w14:textId="3C8C1BE0" w:rsidR="00A33B0C" w:rsidRPr="00737442" w:rsidRDefault="00A33B0C" w:rsidP="00A33B0C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</w:p>
        </w:tc>
        <w:tc>
          <w:tcPr>
            <w:tcW w:w="906" w:type="dxa"/>
            <w:hideMark/>
          </w:tcPr>
          <w:p w14:paraId="52A3D9E4" w14:textId="77777777" w:rsidR="00A33B0C" w:rsidRPr="002174DC" w:rsidRDefault="00A33B0C" w:rsidP="00737442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szCs w:val="18"/>
                <w:u w:val="single"/>
                <w:lang w:val="en-US"/>
              </w:rPr>
              <w:t>B11:B14</w:t>
            </w:r>
          </w:p>
        </w:tc>
        <w:tc>
          <w:tcPr>
            <w:tcW w:w="1608" w:type="dxa"/>
            <w:hideMark/>
          </w:tcPr>
          <w:p w14:paraId="72EAE67A" w14:textId="77777777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>Spatial Reuse</w:t>
            </w:r>
          </w:p>
        </w:tc>
        <w:tc>
          <w:tcPr>
            <w:tcW w:w="672" w:type="dxa"/>
            <w:hideMark/>
          </w:tcPr>
          <w:p w14:paraId="3898D0AE" w14:textId="77777777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>4</w:t>
            </w:r>
          </w:p>
        </w:tc>
        <w:tc>
          <w:tcPr>
            <w:tcW w:w="6140" w:type="dxa"/>
            <w:hideMark/>
          </w:tcPr>
          <w:p w14:paraId="7D303F21" w14:textId="77777777" w:rsidR="00A33B0C" w:rsidRDefault="00A33B0C" w:rsidP="00A33B0C">
            <w:pPr>
              <w:rPr>
                <w:sz w:val="22"/>
                <w:lang w:eastAsia="zh-CN"/>
              </w:rPr>
            </w:pPr>
            <w:r>
              <w:rPr>
                <w:lang w:eastAsia="zh-CN"/>
              </w:rPr>
              <w:t>“</w:t>
            </w:r>
            <w:proofErr w:type="spellStart"/>
            <w:r>
              <w:rPr>
                <w:lang w:eastAsia="zh-CN"/>
              </w:rPr>
              <w:t>SR_allowed</w:t>
            </w:r>
            <w:proofErr w:type="spellEnd"/>
            <w:r>
              <w:rPr>
                <w:lang w:eastAsia="zh-CN"/>
              </w:rPr>
              <w:t xml:space="preserve">” </w:t>
            </w:r>
            <w:proofErr w:type="spellStart"/>
            <w:r>
              <w:rPr>
                <w:lang w:eastAsia="zh-CN"/>
              </w:rPr>
              <w:t>signaling</w:t>
            </w:r>
            <w:proofErr w:type="spellEnd"/>
            <w:r>
              <w:rPr>
                <w:lang w:eastAsia="zh-CN"/>
              </w:rPr>
              <w:t xml:space="preserve"> indicates whether SR operation is allowed or not.</w:t>
            </w:r>
          </w:p>
          <w:p w14:paraId="3EF2C4B5" w14:textId="77777777" w:rsidR="00A33B0C" w:rsidRDefault="00A33B0C" w:rsidP="00A33B0C">
            <w:pPr>
              <w:pStyle w:val="ListParagraph"/>
              <w:numPr>
                <w:ilvl w:val="0"/>
                <w:numId w:val="23"/>
              </w:numPr>
              <w:ind w:leftChars="0"/>
              <w:contextualSpacing/>
              <w:rPr>
                <w:rFonts w:ascii="Times" w:hAnsi="Times"/>
                <w:lang w:eastAsia="zh-CN"/>
              </w:rPr>
            </w:pPr>
            <w:r w:rsidRPr="00DB4D87">
              <w:rPr>
                <w:rFonts w:ascii="Times" w:hAnsi="Times"/>
                <w:color w:val="FF0000"/>
                <w:u w:val="single"/>
                <w:lang w:eastAsia="zh-CN"/>
              </w:rPr>
              <w:t xml:space="preserve">Set to 0 </w:t>
            </w:r>
            <w:r>
              <w:rPr>
                <w:rFonts w:ascii="Times" w:hAnsi="Times"/>
                <w:color w:val="FF0000"/>
                <w:u w:val="single"/>
                <w:lang w:eastAsia="zh-CN"/>
              </w:rPr>
              <w:t xml:space="preserve">to </w:t>
            </w:r>
            <w:r>
              <w:rPr>
                <w:rFonts w:ascii="Times" w:hAnsi="Times"/>
                <w:lang w:eastAsia="zh-CN"/>
              </w:rPr>
              <w:t>indicate SR is disallowed</w:t>
            </w:r>
          </w:p>
          <w:p w14:paraId="02712701" w14:textId="77777777" w:rsidR="00A33B0C" w:rsidRDefault="00A33B0C" w:rsidP="00A33B0C">
            <w:pPr>
              <w:pStyle w:val="ListParagraph"/>
              <w:numPr>
                <w:ilvl w:val="0"/>
                <w:numId w:val="23"/>
              </w:numPr>
              <w:ind w:leftChars="0"/>
              <w:contextualSpacing/>
              <w:rPr>
                <w:rFonts w:ascii="Times" w:hAnsi="Times"/>
                <w:lang w:eastAsia="zh-CN"/>
              </w:rPr>
            </w:pPr>
            <w:r>
              <w:rPr>
                <w:rFonts w:ascii="Times" w:hAnsi="Times"/>
                <w:lang w:eastAsia="zh-CN"/>
              </w:rPr>
              <w:t>The conditions to disallow SR are TBD</w:t>
            </w:r>
          </w:p>
          <w:p w14:paraId="49F1FD45" w14:textId="77777777" w:rsidR="00A33B0C" w:rsidRDefault="00A33B0C" w:rsidP="00A33B0C">
            <w:pPr>
              <w:rPr>
                <w:lang w:eastAsia="zh-CN"/>
              </w:rPr>
            </w:pPr>
            <w:r>
              <w:rPr>
                <w:lang w:eastAsia="zh-CN"/>
              </w:rPr>
              <w:t>Other details are TBD</w:t>
            </w:r>
          </w:p>
          <w:p w14:paraId="598A6E83" w14:textId="638E2AD7" w:rsidR="00A33B0C" w:rsidRPr="00737442" w:rsidRDefault="00A33B0C" w:rsidP="00A33B0C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>
              <w:rPr>
                <w:lang w:eastAsia="zh-CN"/>
              </w:rPr>
              <w:t>Notes: this part needs further development.</w:t>
            </w:r>
          </w:p>
        </w:tc>
      </w:tr>
      <w:tr w:rsidR="00A33B0C" w:rsidRPr="00737442" w14:paraId="16C8D149" w14:textId="77777777" w:rsidTr="00520236">
        <w:trPr>
          <w:trHeight w:val="548"/>
        </w:trPr>
        <w:tc>
          <w:tcPr>
            <w:tcW w:w="0" w:type="auto"/>
            <w:vMerge/>
            <w:hideMark/>
          </w:tcPr>
          <w:p w14:paraId="5E3A164A" w14:textId="2C1E9F9A" w:rsidR="00A33B0C" w:rsidRPr="00737442" w:rsidRDefault="00A33B0C" w:rsidP="00A33B0C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</w:p>
        </w:tc>
        <w:tc>
          <w:tcPr>
            <w:tcW w:w="906" w:type="dxa"/>
            <w:hideMark/>
          </w:tcPr>
          <w:p w14:paraId="75760D84" w14:textId="77777777" w:rsidR="00A33B0C" w:rsidRPr="002174DC" w:rsidRDefault="00A33B0C" w:rsidP="00737442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szCs w:val="18"/>
                <w:u w:val="single"/>
                <w:lang w:val="en-US"/>
              </w:rPr>
              <w:t>B15:B17</w:t>
            </w:r>
          </w:p>
        </w:tc>
        <w:tc>
          <w:tcPr>
            <w:tcW w:w="1608" w:type="dxa"/>
            <w:hideMark/>
          </w:tcPr>
          <w:p w14:paraId="4CF16BBA" w14:textId="77777777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>Bandwidth</w:t>
            </w:r>
          </w:p>
        </w:tc>
        <w:tc>
          <w:tcPr>
            <w:tcW w:w="672" w:type="dxa"/>
            <w:hideMark/>
          </w:tcPr>
          <w:p w14:paraId="64BE9243" w14:textId="77777777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>3</w:t>
            </w:r>
          </w:p>
        </w:tc>
        <w:tc>
          <w:tcPr>
            <w:tcW w:w="6140" w:type="dxa"/>
            <w:hideMark/>
          </w:tcPr>
          <w:p w14:paraId="7DFE106B" w14:textId="190B8C99" w:rsidR="00A33B0C" w:rsidRPr="00737442" w:rsidRDefault="00A04900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903880">
              <w:rPr>
                <w:rFonts w:eastAsia="Calibri"/>
                <w:lang w:val="en-US"/>
              </w:rPr>
              <w:t xml:space="preserve">Set to 0 for 20 MHz   </w:t>
            </w:r>
            <w:r>
              <w:rPr>
                <w:rFonts w:eastAsia="Calibri"/>
                <w:lang w:val="en-US"/>
              </w:rPr>
              <w:t xml:space="preserve">                                                                                                             </w:t>
            </w:r>
            <w:r w:rsidRPr="00903880">
              <w:rPr>
                <w:rFonts w:eastAsia="Calibri"/>
                <w:lang w:val="en-US"/>
              </w:rPr>
              <w:t xml:space="preserve">Set to 1 for 40 MHz    </w:t>
            </w:r>
            <w:r>
              <w:rPr>
                <w:rFonts w:eastAsia="Calibri"/>
                <w:lang w:val="en-US"/>
              </w:rPr>
              <w:t xml:space="preserve">                                                                                                            </w:t>
            </w:r>
            <w:r w:rsidRPr="00903880">
              <w:rPr>
                <w:rFonts w:eastAsia="Calibri"/>
                <w:lang w:val="en-US"/>
              </w:rPr>
              <w:t xml:space="preserve">Set to 2 for 80 MHz       </w:t>
            </w:r>
            <w:r>
              <w:rPr>
                <w:rFonts w:eastAsia="Calibri"/>
                <w:lang w:val="en-US"/>
              </w:rPr>
              <w:t xml:space="preserve">                                                                                                                      </w:t>
            </w:r>
            <w:r w:rsidRPr="00903880">
              <w:rPr>
                <w:rFonts w:eastAsia="Calibri"/>
                <w:lang w:val="en-US"/>
              </w:rPr>
              <w:t xml:space="preserve"> Set to 3 for 160/80+80 MHz</w:t>
            </w:r>
          </w:p>
        </w:tc>
      </w:tr>
      <w:tr w:rsidR="00A33B0C" w:rsidRPr="00737442" w14:paraId="48A6DDF2" w14:textId="77777777" w:rsidTr="00520236">
        <w:trPr>
          <w:trHeight w:val="548"/>
        </w:trPr>
        <w:tc>
          <w:tcPr>
            <w:tcW w:w="0" w:type="auto"/>
            <w:vMerge/>
            <w:hideMark/>
          </w:tcPr>
          <w:p w14:paraId="31118D1A" w14:textId="087FD6B8" w:rsidR="00A33B0C" w:rsidRPr="00737442" w:rsidRDefault="00A33B0C" w:rsidP="00A33B0C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</w:p>
        </w:tc>
        <w:tc>
          <w:tcPr>
            <w:tcW w:w="906" w:type="dxa"/>
            <w:hideMark/>
          </w:tcPr>
          <w:p w14:paraId="095EDF0A" w14:textId="77777777" w:rsidR="00A33B0C" w:rsidRPr="002174DC" w:rsidRDefault="00A33B0C" w:rsidP="00737442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szCs w:val="18"/>
                <w:u w:val="single"/>
                <w:lang w:val="en-US"/>
              </w:rPr>
              <w:t>B18:B21</w:t>
            </w:r>
          </w:p>
        </w:tc>
        <w:tc>
          <w:tcPr>
            <w:tcW w:w="1608" w:type="dxa"/>
            <w:hideMark/>
          </w:tcPr>
          <w:p w14:paraId="179F25C7" w14:textId="77777777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>SIGB Number of Symbols/Number of MU-MIMO Users</w:t>
            </w:r>
          </w:p>
        </w:tc>
        <w:tc>
          <w:tcPr>
            <w:tcW w:w="672" w:type="dxa"/>
            <w:hideMark/>
          </w:tcPr>
          <w:p w14:paraId="4F78FE09" w14:textId="77777777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>4</w:t>
            </w:r>
          </w:p>
        </w:tc>
        <w:tc>
          <w:tcPr>
            <w:tcW w:w="6140" w:type="dxa"/>
            <w:hideMark/>
          </w:tcPr>
          <w:p w14:paraId="6FB688B1" w14:textId="600E64BA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>When SIGB compression field=0, indicates the number of HE-SIG-B symbols.                                                                                                 Set to n for n+1 HE-SIG-B symbol, where n = 0, 1, 2</w:t>
            </w:r>
            <w:proofErr w:type="gramStart"/>
            <w:r w:rsidRPr="00737442">
              <w:rPr>
                <w:rFonts w:eastAsia="Calibri"/>
                <w:szCs w:val="18"/>
                <w:lang w:val="en-US"/>
              </w:rPr>
              <w:t>,…..</w:t>
            </w:r>
            <w:proofErr w:type="gramEnd"/>
            <w:r w:rsidRPr="00737442">
              <w:rPr>
                <w:rFonts w:eastAsia="Calibri"/>
                <w:szCs w:val="18"/>
                <w:lang w:val="en-US"/>
              </w:rPr>
              <w:t xml:space="preserve">15                                                                                                                       When SIGB compression field=1, </w:t>
            </w:r>
            <w:r w:rsidRPr="00A33B0C">
              <w:rPr>
                <w:rFonts w:eastAsia="Calibri"/>
                <w:color w:val="FF0000"/>
                <w:szCs w:val="18"/>
                <w:u w:val="single"/>
                <w:lang w:val="en-US"/>
              </w:rPr>
              <w:t>indicates the number of MU-MIMO users minus</w:t>
            </w:r>
            <w:r>
              <w:rPr>
                <w:rFonts w:eastAsia="Calibri"/>
                <w:color w:val="FF0000"/>
                <w:szCs w:val="18"/>
                <w:u w:val="single"/>
                <w:lang w:val="en-US"/>
              </w:rPr>
              <w:t xml:space="preserve"> </w:t>
            </w:r>
            <w:r w:rsidRPr="00A33B0C">
              <w:rPr>
                <w:rFonts w:eastAsia="Calibri"/>
                <w:color w:val="FF0000"/>
                <w:szCs w:val="18"/>
                <w:u w:val="single"/>
                <w:lang w:val="en-US"/>
              </w:rPr>
              <w:t>1.</w:t>
            </w:r>
          </w:p>
        </w:tc>
      </w:tr>
      <w:tr w:rsidR="00A33B0C" w:rsidRPr="00A33B0C" w14:paraId="3D9DD910" w14:textId="77777777" w:rsidTr="00520236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857" w:type="dxa"/>
            <w:vMerge/>
            <w:hideMark/>
          </w:tcPr>
          <w:p w14:paraId="18206E63" w14:textId="4E5A85DB" w:rsidR="00A33B0C" w:rsidRPr="00A33B0C" w:rsidRDefault="00A33B0C" w:rsidP="00A33B0C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06" w:type="dxa"/>
            <w:hideMark/>
          </w:tcPr>
          <w:p w14:paraId="2F379805" w14:textId="77777777" w:rsidR="00A33B0C" w:rsidRPr="002174DC" w:rsidRDefault="00A33B0C" w:rsidP="00A33B0C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u w:val="single"/>
                <w:lang w:val="en-US"/>
              </w:rPr>
              <w:t>B22</w:t>
            </w:r>
          </w:p>
        </w:tc>
        <w:tc>
          <w:tcPr>
            <w:tcW w:w="1608" w:type="dxa"/>
            <w:hideMark/>
          </w:tcPr>
          <w:p w14:paraId="02CFB94F" w14:textId="77777777" w:rsidR="00A33B0C" w:rsidRPr="00A33B0C" w:rsidRDefault="00A33B0C" w:rsidP="00A33B0C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A33B0C">
              <w:rPr>
                <w:rFonts w:eastAsia="Calibri"/>
                <w:lang w:val="en-US"/>
              </w:rPr>
              <w:t>SIGB Compression</w:t>
            </w:r>
          </w:p>
        </w:tc>
        <w:tc>
          <w:tcPr>
            <w:tcW w:w="672" w:type="dxa"/>
            <w:hideMark/>
          </w:tcPr>
          <w:p w14:paraId="7604B5BB" w14:textId="77777777" w:rsidR="00A33B0C" w:rsidRPr="00A33B0C" w:rsidRDefault="00A33B0C" w:rsidP="00A33B0C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A33B0C">
              <w:rPr>
                <w:rFonts w:eastAsia="Calibri"/>
                <w:lang w:val="en-US"/>
              </w:rPr>
              <w:t>1</w:t>
            </w:r>
          </w:p>
        </w:tc>
        <w:tc>
          <w:tcPr>
            <w:tcW w:w="6140" w:type="dxa"/>
            <w:hideMark/>
          </w:tcPr>
          <w:p w14:paraId="2DBCC351" w14:textId="77777777" w:rsidR="00A33B0C" w:rsidRPr="00A33B0C" w:rsidRDefault="00A33B0C" w:rsidP="00A33B0C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A33B0C">
              <w:rPr>
                <w:rFonts w:eastAsia="Calibri"/>
                <w:lang w:val="en-US"/>
              </w:rPr>
              <w:t>Set to 1 for full BW MU-MIMO.                                                                             Set to 0 otherwise.</w:t>
            </w:r>
          </w:p>
        </w:tc>
      </w:tr>
      <w:tr w:rsidR="00A33B0C" w:rsidRPr="00A33B0C" w14:paraId="2E3C2930" w14:textId="77777777" w:rsidTr="00520236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0" w:type="auto"/>
            <w:vMerge/>
            <w:hideMark/>
          </w:tcPr>
          <w:p w14:paraId="6B9CFE19" w14:textId="77777777" w:rsidR="00A33B0C" w:rsidRPr="00A33B0C" w:rsidRDefault="00A33B0C" w:rsidP="00A33B0C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06" w:type="dxa"/>
            <w:hideMark/>
          </w:tcPr>
          <w:p w14:paraId="00CCE345" w14:textId="77777777" w:rsidR="00A33B0C" w:rsidRPr="002174DC" w:rsidRDefault="00A33B0C" w:rsidP="00A33B0C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u w:val="single"/>
                <w:lang w:val="en-US"/>
              </w:rPr>
              <w:t>B23:B24</w:t>
            </w:r>
          </w:p>
        </w:tc>
        <w:tc>
          <w:tcPr>
            <w:tcW w:w="1608" w:type="dxa"/>
            <w:hideMark/>
          </w:tcPr>
          <w:p w14:paraId="4F378DFB" w14:textId="77777777" w:rsidR="00A33B0C" w:rsidRPr="00A33B0C" w:rsidRDefault="00A33B0C" w:rsidP="00A33B0C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A33B0C">
              <w:rPr>
                <w:rFonts w:eastAsia="Calibri"/>
                <w:lang w:val="en-US"/>
              </w:rPr>
              <w:t>LTF and CP</w:t>
            </w:r>
          </w:p>
        </w:tc>
        <w:tc>
          <w:tcPr>
            <w:tcW w:w="672" w:type="dxa"/>
            <w:hideMark/>
          </w:tcPr>
          <w:p w14:paraId="214EADB4" w14:textId="77777777" w:rsidR="00A33B0C" w:rsidRPr="00A33B0C" w:rsidRDefault="00A33B0C" w:rsidP="00A33B0C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A33B0C">
              <w:rPr>
                <w:rFonts w:eastAsia="Calibri"/>
                <w:lang w:val="en-US"/>
              </w:rPr>
              <w:t>2</w:t>
            </w:r>
          </w:p>
        </w:tc>
        <w:tc>
          <w:tcPr>
            <w:tcW w:w="6140" w:type="dxa"/>
            <w:hideMark/>
          </w:tcPr>
          <w:p w14:paraId="626A9753" w14:textId="372767F4" w:rsidR="00A33B0C" w:rsidRPr="00A33B0C" w:rsidRDefault="00A33B0C" w:rsidP="005C2D66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C2D66">
              <w:rPr>
                <w:rFonts w:eastAsia="Calibri"/>
                <w:color w:val="FF0000"/>
                <w:u w:val="single"/>
                <w:lang w:val="en-US"/>
              </w:rPr>
              <w:t xml:space="preserve">Set to 0 for </w:t>
            </w:r>
            <w:r w:rsidR="005C2D66" w:rsidRPr="005C2D66">
              <w:rPr>
                <w:rFonts w:eastAsia="Calibri"/>
                <w:color w:val="FF0000"/>
                <w:u w:val="single"/>
                <w:lang w:val="en-US"/>
              </w:rPr>
              <w:t xml:space="preserve">Reserved            </w:t>
            </w:r>
            <w:r w:rsidRPr="005C2D66">
              <w:rPr>
                <w:rFonts w:eastAsia="Calibri"/>
                <w:color w:val="FF0000"/>
                <w:u w:val="single"/>
                <w:lang w:val="en-US"/>
              </w:rPr>
              <w:t xml:space="preserve">           </w:t>
            </w:r>
            <w:r w:rsidR="005C2D66" w:rsidRPr="005C2D66">
              <w:rPr>
                <w:rFonts w:eastAsia="Calibri"/>
                <w:color w:val="FF0000"/>
                <w:u w:val="single"/>
                <w:lang w:val="en-US"/>
              </w:rPr>
              <w:t xml:space="preserve">                                         </w:t>
            </w:r>
            <w:r w:rsidRPr="005C2D66">
              <w:rPr>
                <w:rFonts w:eastAsia="Calibri"/>
                <w:color w:val="FF0000"/>
                <w:u w:val="single"/>
                <w:lang w:val="en-US"/>
              </w:rPr>
              <w:t xml:space="preserve">                                     </w:t>
            </w:r>
            <w:r w:rsidRPr="00A33B0C">
              <w:rPr>
                <w:rFonts w:eastAsia="Calibri"/>
                <w:lang w:val="en-US"/>
              </w:rPr>
              <w:t xml:space="preserve">Set to 1 for 2x HE-LTF + 0.8 </w:t>
            </w:r>
            <w:proofErr w:type="spellStart"/>
            <w:r w:rsidRPr="00A33B0C">
              <w:rPr>
                <w:rFonts w:eastAsia="Calibri"/>
                <w:lang w:val="en-US"/>
              </w:rPr>
              <w:t>us</w:t>
            </w:r>
            <w:proofErr w:type="spellEnd"/>
            <w:r w:rsidRPr="00A33B0C">
              <w:rPr>
                <w:rFonts w:eastAsia="Calibri"/>
                <w:lang w:val="en-US"/>
              </w:rPr>
              <w:t xml:space="preserve">                                                                                    Set to 2 for 2x HE-LTF + 1.6 </w:t>
            </w:r>
            <w:proofErr w:type="spellStart"/>
            <w:r w:rsidRPr="00A33B0C">
              <w:rPr>
                <w:rFonts w:eastAsia="Calibri"/>
                <w:lang w:val="en-US"/>
              </w:rPr>
              <w:t>us</w:t>
            </w:r>
            <w:proofErr w:type="spellEnd"/>
            <w:r w:rsidRPr="00A33B0C">
              <w:rPr>
                <w:rFonts w:eastAsia="Calibri"/>
                <w:lang w:val="en-US"/>
              </w:rPr>
              <w:t xml:space="preserve">          </w:t>
            </w:r>
            <w:r w:rsidR="005C2D66">
              <w:rPr>
                <w:rFonts w:eastAsia="Calibri"/>
                <w:lang w:val="en-US"/>
              </w:rPr>
              <w:t xml:space="preserve">                                            </w:t>
            </w:r>
            <w:r w:rsidRPr="00A33B0C">
              <w:rPr>
                <w:rFonts w:eastAsia="Calibri"/>
                <w:lang w:val="en-US"/>
              </w:rPr>
              <w:t xml:space="preserve">                                      Set to 3 for 4x HE-LTF + 3.2 us           </w:t>
            </w:r>
            <w:r w:rsidR="005C2D66">
              <w:rPr>
                <w:rFonts w:eastAsia="Calibri"/>
                <w:lang w:val="en-US"/>
              </w:rPr>
              <w:t xml:space="preserve">                                  </w:t>
            </w:r>
            <w:r w:rsidRPr="00A33B0C">
              <w:rPr>
                <w:rFonts w:eastAsia="Calibri"/>
                <w:lang w:val="en-US"/>
              </w:rPr>
              <w:t xml:space="preserve">                                  </w:t>
            </w:r>
          </w:p>
        </w:tc>
      </w:tr>
      <w:tr w:rsidR="00A33B0C" w:rsidRPr="00A33B0C" w14:paraId="1A410DDA" w14:textId="77777777" w:rsidTr="00520236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0" w:type="auto"/>
            <w:vMerge/>
            <w:hideMark/>
          </w:tcPr>
          <w:p w14:paraId="5504EEB4" w14:textId="77777777" w:rsidR="00A33B0C" w:rsidRPr="00A33B0C" w:rsidRDefault="00A33B0C" w:rsidP="00A33B0C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06" w:type="dxa"/>
            <w:hideMark/>
          </w:tcPr>
          <w:p w14:paraId="3946482E" w14:textId="77777777" w:rsidR="00A33B0C" w:rsidRPr="002174DC" w:rsidRDefault="00A33B0C" w:rsidP="00A33B0C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u w:val="single"/>
                <w:lang w:val="en-US"/>
              </w:rPr>
              <w:t>B25</w:t>
            </w:r>
          </w:p>
        </w:tc>
        <w:tc>
          <w:tcPr>
            <w:tcW w:w="1608" w:type="dxa"/>
            <w:hideMark/>
          </w:tcPr>
          <w:p w14:paraId="584BEFEA" w14:textId="77777777" w:rsidR="00A33B0C" w:rsidRPr="00A33B0C" w:rsidRDefault="00A33B0C" w:rsidP="00A33B0C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A33B0C">
              <w:rPr>
                <w:rFonts w:eastAsia="Calibri"/>
                <w:lang w:val="en-US"/>
              </w:rPr>
              <w:t>Doppler</w:t>
            </w:r>
          </w:p>
        </w:tc>
        <w:tc>
          <w:tcPr>
            <w:tcW w:w="672" w:type="dxa"/>
            <w:hideMark/>
          </w:tcPr>
          <w:p w14:paraId="743FD0BA" w14:textId="77777777" w:rsidR="00A33B0C" w:rsidRPr="00A33B0C" w:rsidRDefault="00A33B0C" w:rsidP="00A33B0C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A33B0C">
              <w:rPr>
                <w:rFonts w:eastAsia="Calibri"/>
                <w:lang w:val="en-US"/>
              </w:rPr>
              <w:t>1</w:t>
            </w:r>
          </w:p>
        </w:tc>
        <w:tc>
          <w:tcPr>
            <w:tcW w:w="6140" w:type="dxa"/>
            <w:hideMark/>
          </w:tcPr>
          <w:p w14:paraId="4F375EEA" w14:textId="3C1DA56B" w:rsidR="00A33B0C" w:rsidRPr="00A33B0C" w:rsidRDefault="005C2D66" w:rsidP="00A33B0C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7574F6">
              <w:rPr>
                <w:rFonts w:eastAsia="Calibri"/>
                <w:szCs w:val="18"/>
                <w:lang w:val="en-US"/>
              </w:rPr>
              <w:t>Set to 0 if Doppler mode is not used                                                                                          Set to 1 if Doppler mode is used</w:t>
            </w:r>
          </w:p>
        </w:tc>
      </w:tr>
      <w:tr w:rsidR="00520236" w:rsidRPr="00520236" w14:paraId="50081B00" w14:textId="77777777" w:rsidTr="007546F3">
        <w:tblPrEx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857" w:type="dxa"/>
            <w:vMerge w:val="restart"/>
            <w:hideMark/>
          </w:tcPr>
          <w:p w14:paraId="0EC7E62D" w14:textId="77777777" w:rsidR="00520236" w:rsidRPr="00520236" w:rsidRDefault="00520236" w:rsidP="00520236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lastRenderedPageBreak/>
              <w:t>HE-SIG-A2</w:t>
            </w:r>
          </w:p>
        </w:tc>
        <w:tc>
          <w:tcPr>
            <w:tcW w:w="906" w:type="dxa"/>
            <w:hideMark/>
          </w:tcPr>
          <w:p w14:paraId="25D5FB8E" w14:textId="77777777" w:rsidR="00520236" w:rsidRPr="002174DC" w:rsidRDefault="00520236" w:rsidP="00520236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u w:val="single"/>
                <w:lang w:val="en-US"/>
              </w:rPr>
              <w:t>B0:B6</w:t>
            </w:r>
          </w:p>
        </w:tc>
        <w:tc>
          <w:tcPr>
            <w:tcW w:w="1608" w:type="dxa"/>
            <w:hideMark/>
          </w:tcPr>
          <w:p w14:paraId="1D203AB3" w14:textId="77777777" w:rsidR="00520236" w:rsidRPr="00520236" w:rsidRDefault="00520236" w:rsidP="00520236">
            <w:pPr>
              <w:spacing w:after="160" w:line="259" w:lineRule="auto"/>
              <w:rPr>
                <w:rFonts w:eastAsia="Calibri"/>
                <w:lang w:val="en-US"/>
              </w:rPr>
            </w:pPr>
            <w:proofErr w:type="spellStart"/>
            <w:r w:rsidRPr="00520236">
              <w:rPr>
                <w:rFonts w:eastAsia="Calibri"/>
                <w:lang w:val="en-US"/>
              </w:rPr>
              <w:t>Txop</w:t>
            </w:r>
            <w:proofErr w:type="spellEnd"/>
            <w:r w:rsidRPr="00520236">
              <w:rPr>
                <w:rFonts w:eastAsia="Calibri"/>
                <w:lang w:val="en-US"/>
              </w:rPr>
              <w:t xml:space="preserve"> Duration</w:t>
            </w:r>
          </w:p>
        </w:tc>
        <w:tc>
          <w:tcPr>
            <w:tcW w:w="672" w:type="dxa"/>
            <w:hideMark/>
          </w:tcPr>
          <w:p w14:paraId="78789CC5" w14:textId="77777777" w:rsidR="00520236" w:rsidRPr="00520236" w:rsidRDefault="00520236" w:rsidP="00520236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>7</w:t>
            </w:r>
          </w:p>
        </w:tc>
        <w:tc>
          <w:tcPr>
            <w:tcW w:w="6140" w:type="dxa"/>
            <w:hideMark/>
          </w:tcPr>
          <w:p w14:paraId="4623372A" w14:textId="0B5DAE80" w:rsidR="00520236" w:rsidRPr="00520236" w:rsidRDefault="007546F3" w:rsidP="00520236">
            <w:pPr>
              <w:spacing w:after="160" w:line="259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szCs w:val="18"/>
                <w:lang w:val="en-US"/>
              </w:rPr>
              <w:t>Indicates the remaining time in the current TXOP. Details TBD.</w:t>
            </w:r>
          </w:p>
        </w:tc>
      </w:tr>
      <w:tr w:rsidR="00520236" w:rsidRPr="00520236" w14:paraId="7E2F500D" w14:textId="77777777" w:rsidTr="00520236">
        <w:tblPrEx>
          <w:tblLook w:val="04A0" w:firstRow="1" w:lastRow="0" w:firstColumn="1" w:lastColumn="0" w:noHBand="0" w:noVBand="1"/>
        </w:tblPrEx>
        <w:trPr>
          <w:trHeight w:val="466"/>
        </w:trPr>
        <w:tc>
          <w:tcPr>
            <w:tcW w:w="0" w:type="auto"/>
            <w:vMerge/>
            <w:hideMark/>
          </w:tcPr>
          <w:p w14:paraId="6200B98C" w14:textId="77777777" w:rsidR="00520236" w:rsidRPr="00520236" w:rsidRDefault="00520236" w:rsidP="00520236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06" w:type="dxa"/>
            <w:hideMark/>
          </w:tcPr>
          <w:p w14:paraId="50DB14F0" w14:textId="77777777" w:rsidR="00520236" w:rsidRPr="002174DC" w:rsidRDefault="00520236" w:rsidP="00520236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u w:val="single"/>
                <w:lang w:val="en-US"/>
              </w:rPr>
              <w:t>B7</w:t>
            </w:r>
          </w:p>
        </w:tc>
        <w:tc>
          <w:tcPr>
            <w:tcW w:w="1608" w:type="dxa"/>
            <w:hideMark/>
          </w:tcPr>
          <w:p w14:paraId="7FBF164C" w14:textId="77777777" w:rsidR="00520236" w:rsidRPr="00520236" w:rsidRDefault="00520236" w:rsidP="00520236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>Reserved</w:t>
            </w:r>
          </w:p>
        </w:tc>
        <w:tc>
          <w:tcPr>
            <w:tcW w:w="672" w:type="dxa"/>
            <w:hideMark/>
          </w:tcPr>
          <w:p w14:paraId="60C75D04" w14:textId="77777777" w:rsidR="00520236" w:rsidRPr="00520236" w:rsidRDefault="00520236" w:rsidP="00520236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>1</w:t>
            </w:r>
          </w:p>
        </w:tc>
        <w:tc>
          <w:tcPr>
            <w:tcW w:w="6140" w:type="dxa"/>
            <w:hideMark/>
          </w:tcPr>
          <w:p w14:paraId="5B484296" w14:textId="77777777" w:rsidR="00520236" w:rsidRPr="00C141E1" w:rsidRDefault="00520236" w:rsidP="00520236">
            <w:pPr>
              <w:spacing w:after="160" w:line="259" w:lineRule="auto"/>
              <w:rPr>
                <w:rFonts w:eastAsia="Calibri"/>
                <w:u w:val="single"/>
                <w:lang w:val="en-US"/>
              </w:rPr>
            </w:pPr>
            <w:r w:rsidRPr="00C141E1">
              <w:rPr>
                <w:rFonts w:eastAsia="Calibri"/>
                <w:color w:val="FF0000"/>
                <w:u w:val="single"/>
                <w:lang w:val="en-US"/>
              </w:rPr>
              <w:t>Reserved and set to 1</w:t>
            </w:r>
          </w:p>
        </w:tc>
      </w:tr>
      <w:tr w:rsidR="00520236" w:rsidRPr="00520236" w14:paraId="750A29AB" w14:textId="77777777" w:rsidTr="00520236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0" w:type="auto"/>
            <w:vMerge/>
            <w:hideMark/>
          </w:tcPr>
          <w:p w14:paraId="781F0193" w14:textId="77777777" w:rsidR="00520236" w:rsidRPr="00520236" w:rsidRDefault="00520236" w:rsidP="00520236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06" w:type="dxa"/>
            <w:hideMark/>
          </w:tcPr>
          <w:p w14:paraId="588C522C" w14:textId="77777777" w:rsidR="00520236" w:rsidRPr="002174DC" w:rsidRDefault="00520236" w:rsidP="00520236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u w:val="single"/>
                <w:lang w:val="en-US"/>
              </w:rPr>
              <w:t>B8:B10</w:t>
            </w:r>
          </w:p>
        </w:tc>
        <w:tc>
          <w:tcPr>
            <w:tcW w:w="1608" w:type="dxa"/>
            <w:hideMark/>
          </w:tcPr>
          <w:p w14:paraId="1A393FDF" w14:textId="77777777" w:rsidR="00520236" w:rsidRPr="00520236" w:rsidRDefault="00520236" w:rsidP="00520236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>Number of HE-LTF symbols</w:t>
            </w:r>
          </w:p>
        </w:tc>
        <w:tc>
          <w:tcPr>
            <w:tcW w:w="672" w:type="dxa"/>
            <w:hideMark/>
          </w:tcPr>
          <w:p w14:paraId="21541858" w14:textId="77777777" w:rsidR="00520236" w:rsidRPr="00520236" w:rsidRDefault="00520236" w:rsidP="00520236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>3</w:t>
            </w:r>
          </w:p>
        </w:tc>
        <w:tc>
          <w:tcPr>
            <w:tcW w:w="6140" w:type="dxa"/>
            <w:hideMark/>
          </w:tcPr>
          <w:p w14:paraId="3236A2A4" w14:textId="4BA84272" w:rsidR="00520236" w:rsidRPr="00520236" w:rsidRDefault="00520236" w:rsidP="00C141E1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 xml:space="preserve">Indicates the number of HE-LTF symbols.                                                                                                                            </w:t>
            </w:r>
            <w:r w:rsidR="00C141E1">
              <w:rPr>
                <w:rFonts w:eastAsia="Calibri"/>
                <w:lang w:val="en-US"/>
              </w:rPr>
              <w:t xml:space="preserve">                         Set to 0</w:t>
            </w:r>
            <w:r w:rsidRPr="00520236">
              <w:rPr>
                <w:rFonts w:eastAsia="Calibri"/>
                <w:lang w:val="en-US"/>
              </w:rPr>
              <w:t xml:space="preserve"> for </w:t>
            </w:r>
            <w:r w:rsidR="00C141E1">
              <w:rPr>
                <w:rFonts w:eastAsia="Calibri"/>
                <w:lang w:val="en-US"/>
              </w:rPr>
              <w:t>1</w:t>
            </w:r>
            <w:r w:rsidRPr="00520236">
              <w:rPr>
                <w:rFonts w:eastAsia="Calibri"/>
                <w:lang w:val="en-US"/>
              </w:rPr>
              <w:t xml:space="preserve"> HE-LTF symbol</w:t>
            </w:r>
            <w:r w:rsidR="00C141E1">
              <w:rPr>
                <w:rFonts w:eastAsia="Calibri"/>
                <w:lang w:val="en-US"/>
              </w:rPr>
              <w:t xml:space="preserve">                                                                                            Set to 1 for 2 HE-LTF symbols                                                                                    Set to 2 for 4 HE-LTF symbols                                                                                        Set to 3 for 6 HE-LTF symbols                                                                                       Set to 4 for 8 HE-LTF symbols                                                                                    Values 5 to 7 are reserved</w:t>
            </w:r>
          </w:p>
        </w:tc>
      </w:tr>
      <w:tr w:rsidR="00520236" w:rsidRPr="00520236" w14:paraId="79E7AB9D" w14:textId="77777777" w:rsidTr="00520236">
        <w:tblPrEx>
          <w:tblLook w:val="04A0" w:firstRow="1" w:lastRow="0" w:firstColumn="1" w:lastColumn="0" w:noHBand="0" w:noVBand="1"/>
        </w:tblPrEx>
        <w:trPr>
          <w:trHeight w:val="727"/>
        </w:trPr>
        <w:tc>
          <w:tcPr>
            <w:tcW w:w="0" w:type="auto"/>
            <w:vMerge/>
            <w:hideMark/>
          </w:tcPr>
          <w:p w14:paraId="21ED78E3" w14:textId="77777777" w:rsidR="00520236" w:rsidRPr="00520236" w:rsidRDefault="00520236" w:rsidP="00520236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06" w:type="dxa"/>
            <w:hideMark/>
          </w:tcPr>
          <w:p w14:paraId="2E43685E" w14:textId="77777777" w:rsidR="00520236" w:rsidRPr="002174DC" w:rsidRDefault="00520236" w:rsidP="00520236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u w:val="single"/>
                <w:lang w:val="en-US"/>
              </w:rPr>
              <w:t>B11</w:t>
            </w:r>
          </w:p>
        </w:tc>
        <w:tc>
          <w:tcPr>
            <w:tcW w:w="1608" w:type="dxa"/>
            <w:hideMark/>
          </w:tcPr>
          <w:p w14:paraId="6B07B80F" w14:textId="77777777" w:rsidR="00520236" w:rsidRPr="00520236" w:rsidRDefault="00520236" w:rsidP="00520236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>LDPC Extra Symbol Segment</w:t>
            </w:r>
          </w:p>
        </w:tc>
        <w:tc>
          <w:tcPr>
            <w:tcW w:w="672" w:type="dxa"/>
            <w:hideMark/>
          </w:tcPr>
          <w:p w14:paraId="222D1674" w14:textId="77777777" w:rsidR="00520236" w:rsidRPr="00520236" w:rsidRDefault="00520236" w:rsidP="00520236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>1</w:t>
            </w:r>
          </w:p>
        </w:tc>
        <w:tc>
          <w:tcPr>
            <w:tcW w:w="6140" w:type="dxa"/>
            <w:hideMark/>
          </w:tcPr>
          <w:p w14:paraId="36C3357C" w14:textId="0FFC5230" w:rsidR="00520236" w:rsidRPr="00520236" w:rsidRDefault="00C141E1" w:rsidP="00C141E1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 xml:space="preserve">Indicates presence of extra OFDM symbol segment for LDPC                                                                                                                  </w:t>
            </w:r>
            <w:r w:rsidRPr="00531992">
              <w:rPr>
                <w:rFonts w:eastAsia="Calibri"/>
                <w:szCs w:val="18"/>
                <w:lang w:val="en-US"/>
              </w:rPr>
              <w:t xml:space="preserve">Set to 0 for LDPC extra symbol segment is not present                                                                                   Set to 1 for LDPC extra symbol segment is present.                                                                                                                                                  </w:t>
            </w:r>
          </w:p>
        </w:tc>
      </w:tr>
      <w:tr w:rsidR="00520236" w:rsidRPr="00520236" w14:paraId="364CB3FB" w14:textId="77777777" w:rsidTr="00520236">
        <w:tblPrEx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0" w:type="auto"/>
            <w:vMerge/>
            <w:hideMark/>
          </w:tcPr>
          <w:p w14:paraId="47AF9082" w14:textId="77777777" w:rsidR="00520236" w:rsidRPr="00520236" w:rsidRDefault="00520236" w:rsidP="00520236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06" w:type="dxa"/>
            <w:hideMark/>
          </w:tcPr>
          <w:p w14:paraId="3547A96A" w14:textId="77777777" w:rsidR="00520236" w:rsidRPr="002174DC" w:rsidRDefault="00520236" w:rsidP="00520236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u w:val="single"/>
                <w:lang w:val="en-US"/>
              </w:rPr>
              <w:t>B12</w:t>
            </w:r>
          </w:p>
        </w:tc>
        <w:tc>
          <w:tcPr>
            <w:tcW w:w="1608" w:type="dxa"/>
            <w:hideMark/>
          </w:tcPr>
          <w:p w14:paraId="193B0759" w14:textId="77777777" w:rsidR="00520236" w:rsidRPr="00520236" w:rsidRDefault="00520236" w:rsidP="00520236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>STBC</w:t>
            </w:r>
          </w:p>
        </w:tc>
        <w:tc>
          <w:tcPr>
            <w:tcW w:w="672" w:type="dxa"/>
            <w:hideMark/>
          </w:tcPr>
          <w:p w14:paraId="0895B1E2" w14:textId="77777777" w:rsidR="00520236" w:rsidRPr="00520236" w:rsidRDefault="00520236" w:rsidP="00520236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>1</w:t>
            </w:r>
          </w:p>
        </w:tc>
        <w:tc>
          <w:tcPr>
            <w:tcW w:w="6140" w:type="dxa"/>
            <w:hideMark/>
          </w:tcPr>
          <w:p w14:paraId="71D5E8B1" w14:textId="3CBA3441" w:rsidR="00520236" w:rsidRPr="00520236" w:rsidRDefault="00C141E1" w:rsidP="00520236">
            <w:pPr>
              <w:spacing w:after="160" w:line="259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In an HE MU PPDU where each RU includes no more than 1 user, set to 1 to indicate al RUs are STBC encoded in the payload.                                                        Set to 0 to indicate al RUs are not STBC encoded in the payload.                             STBC is not applied in MU-MIMO </w:t>
            </w:r>
            <w:proofErr w:type="spellStart"/>
            <w:r>
              <w:rPr>
                <w:rFonts w:eastAsia="Calibri"/>
                <w:lang w:val="en-US"/>
              </w:rPr>
              <w:t>RUs.</w:t>
            </w:r>
            <w:proofErr w:type="spellEnd"/>
            <w:r>
              <w:rPr>
                <w:rFonts w:eastAsia="Calibri"/>
                <w:lang w:val="en-US"/>
              </w:rPr>
              <w:t xml:space="preserve">                                                                    STBC doesn’t apply to HE-SIG-B. </w:t>
            </w:r>
            <w:r w:rsidR="00520236" w:rsidRPr="00520236">
              <w:rPr>
                <w:rFonts w:eastAsia="Calibri"/>
                <w:lang w:val="en-US"/>
              </w:rPr>
              <w:t xml:space="preserve"> </w:t>
            </w:r>
          </w:p>
        </w:tc>
      </w:tr>
      <w:tr w:rsidR="003008A0" w:rsidRPr="00520236" w14:paraId="0BD58F13" w14:textId="77777777" w:rsidTr="005202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0" w:type="auto"/>
            <w:vMerge/>
            <w:hideMark/>
          </w:tcPr>
          <w:p w14:paraId="37A16A64" w14:textId="77777777" w:rsidR="003008A0" w:rsidRPr="00520236" w:rsidRDefault="003008A0" w:rsidP="003008A0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06" w:type="dxa"/>
            <w:hideMark/>
          </w:tcPr>
          <w:p w14:paraId="467B5FBC" w14:textId="6A2ADD97" w:rsidR="003008A0" w:rsidRPr="002174DC" w:rsidRDefault="003008A0" w:rsidP="003008A0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u w:val="single"/>
                <w:lang w:val="en-US"/>
              </w:rPr>
              <w:t>B13:B1</w:t>
            </w:r>
            <w:r w:rsidR="00E52903">
              <w:rPr>
                <w:rFonts w:eastAsia="Calibri"/>
                <w:color w:val="FF0000"/>
                <w:u w:val="single"/>
                <w:lang w:val="en-US"/>
              </w:rPr>
              <w:t>4</w:t>
            </w:r>
          </w:p>
        </w:tc>
        <w:tc>
          <w:tcPr>
            <w:tcW w:w="1608" w:type="dxa"/>
            <w:hideMark/>
          </w:tcPr>
          <w:p w14:paraId="06148E3C" w14:textId="4BE17E49" w:rsidR="003008A0" w:rsidRPr="00520236" w:rsidRDefault="003008A0" w:rsidP="003008A0">
            <w:pPr>
              <w:spacing w:after="160" w:line="259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A-factor</w:t>
            </w:r>
          </w:p>
        </w:tc>
        <w:tc>
          <w:tcPr>
            <w:tcW w:w="672" w:type="dxa"/>
            <w:hideMark/>
          </w:tcPr>
          <w:p w14:paraId="5DA14C97" w14:textId="0D482E84" w:rsidR="003008A0" w:rsidRPr="00520236" w:rsidRDefault="003008A0" w:rsidP="003008A0">
            <w:pPr>
              <w:spacing w:after="160" w:line="259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6140" w:type="dxa"/>
            <w:hideMark/>
          </w:tcPr>
          <w:p w14:paraId="100430EC" w14:textId="4CF55FCC" w:rsidR="003008A0" w:rsidRPr="00520236" w:rsidRDefault="003008A0" w:rsidP="003008A0">
            <w:pPr>
              <w:spacing w:after="160" w:line="259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szCs w:val="18"/>
                <w:lang w:val="en-US"/>
              </w:rPr>
              <w:t>Indicates the “a-factor” as defined in Table 26-44 (a-</w:t>
            </w:r>
            <w:proofErr w:type="spellStart"/>
            <w:r>
              <w:rPr>
                <w:rFonts w:eastAsia="Calibri"/>
                <w:szCs w:val="18"/>
                <w:lang w:val="en-US"/>
              </w:rPr>
              <w:t>facotr</w:t>
            </w:r>
            <w:proofErr w:type="spellEnd"/>
            <w:r>
              <w:rPr>
                <w:rFonts w:eastAsia="Calibri"/>
                <w:szCs w:val="18"/>
                <w:lang w:val="en-US"/>
              </w:rPr>
              <w:t xml:space="preserve"> subfield encoding)</w:t>
            </w:r>
          </w:p>
        </w:tc>
      </w:tr>
      <w:tr w:rsidR="003008A0" w:rsidRPr="00520236" w14:paraId="4848EBD9" w14:textId="77777777" w:rsidTr="005202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0" w:type="auto"/>
            <w:vMerge/>
          </w:tcPr>
          <w:p w14:paraId="756ACDC7" w14:textId="77777777" w:rsidR="003008A0" w:rsidRPr="00520236" w:rsidRDefault="003008A0" w:rsidP="003008A0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06" w:type="dxa"/>
          </w:tcPr>
          <w:p w14:paraId="1D654C52" w14:textId="0983EA23" w:rsidR="003008A0" w:rsidRPr="002174DC" w:rsidRDefault="00E52903" w:rsidP="003008A0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>
              <w:rPr>
                <w:rFonts w:eastAsia="Calibri"/>
                <w:color w:val="FF0000"/>
                <w:u w:val="single"/>
                <w:lang w:val="en-US"/>
              </w:rPr>
              <w:t>B15</w:t>
            </w:r>
          </w:p>
        </w:tc>
        <w:tc>
          <w:tcPr>
            <w:tcW w:w="1608" w:type="dxa"/>
          </w:tcPr>
          <w:p w14:paraId="522DB789" w14:textId="6B2DCB96" w:rsidR="003008A0" w:rsidRPr="00520236" w:rsidRDefault="003008A0" w:rsidP="003008A0">
            <w:pPr>
              <w:spacing w:after="160" w:line="259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PE </w:t>
            </w:r>
            <w:proofErr w:type="spellStart"/>
            <w:r>
              <w:rPr>
                <w:rFonts w:eastAsia="Calibri"/>
                <w:lang w:val="en-US"/>
              </w:rPr>
              <w:t>Disambiguity</w:t>
            </w:r>
            <w:proofErr w:type="spellEnd"/>
          </w:p>
        </w:tc>
        <w:tc>
          <w:tcPr>
            <w:tcW w:w="672" w:type="dxa"/>
          </w:tcPr>
          <w:p w14:paraId="3EE6E321" w14:textId="74549039" w:rsidR="003008A0" w:rsidRPr="00520236" w:rsidRDefault="003008A0" w:rsidP="003008A0">
            <w:pPr>
              <w:spacing w:after="160" w:line="259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6140" w:type="dxa"/>
          </w:tcPr>
          <w:p w14:paraId="3AA43318" w14:textId="2E0F089B" w:rsidR="003008A0" w:rsidRPr="00520236" w:rsidRDefault="003008A0" w:rsidP="003008A0">
            <w:pPr>
              <w:spacing w:after="160" w:line="259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szCs w:val="18"/>
                <w:lang w:val="en-US"/>
              </w:rPr>
              <w:t xml:space="preserve">Indicates PE </w:t>
            </w:r>
            <w:proofErr w:type="spellStart"/>
            <w:r>
              <w:rPr>
                <w:rFonts w:eastAsia="Calibri"/>
                <w:szCs w:val="18"/>
                <w:lang w:val="en-US"/>
              </w:rPr>
              <w:t>Disambiguity</w:t>
            </w:r>
            <w:proofErr w:type="spellEnd"/>
            <w:r>
              <w:rPr>
                <w:rFonts w:eastAsia="Calibri"/>
                <w:szCs w:val="18"/>
                <w:lang w:val="en-US"/>
              </w:rPr>
              <w:t xml:space="preserve"> as defined in 26.3.11 (Packet Extension)</w:t>
            </w:r>
          </w:p>
        </w:tc>
      </w:tr>
      <w:tr w:rsidR="003008A0" w:rsidRPr="00520236" w14:paraId="67B56317" w14:textId="77777777" w:rsidTr="00520236">
        <w:tblPrEx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0" w:type="auto"/>
            <w:vMerge/>
            <w:hideMark/>
          </w:tcPr>
          <w:p w14:paraId="1ADE8E5E" w14:textId="77777777" w:rsidR="003008A0" w:rsidRPr="00520236" w:rsidRDefault="003008A0" w:rsidP="003008A0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06" w:type="dxa"/>
            <w:hideMark/>
          </w:tcPr>
          <w:p w14:paraId="6708640B" w14:textId="77777777" w:rsidR="003008A0" w:rsidRPr="002174DC" w:rsidRDefault="003008A0" w:rsidP="003008A0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u w:val="single"/>
                <w:lang w:val="en-US"/>
              </w:rPr>
              <w:t>B16:B19</w:t>
            </w:r>
          </w:p>
        </w:tc>
        <w:tc>
          <w:tcPr>
            <w:tcW w:w="1608" w:type="dxa"/>
            <w:hideMark/>
          </w:tcPr>
          <w:p w14:paraId="47F2E72B" w14:textId="77777777" w:rsidR="003008A0" w:rsidRPr="00520236" w:rsidRDefault="003008A0" w:rsidP="003008A0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>CRC</w:t>
            </w:r>
          </w:p>
        </w:tc>
        <w:tc>
          <w:tcPr>
            <w:tcW w:w="672" w:type="dxa"/>
            <w:hideMark/>
          </w:tcPr>
          <w:p w14:paraId="4C9B290C" w14:textId="77777777" w:rsidR="003008A0" w:rsidRPr="00520236" w:rsidRDefault="003008A0" w:rsidP="003008A0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>4</w:t>
            </w:r>
          </w:p>
        </w:tc>
        <w:tc>
          <w:tcPr>
            <w:tcW w:w="6140" w:type="dxa"/>
            <w:hideMark/>
          </w:tcPr>
          <w:p w14:paraId="778295AF" w14:textId="43E5F243" w:rsidR="003008A0" w:rsidRPr="00520236" w:rsidRDefault="003008A0" w:rsidP="00FE6B7D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>CRC of bits 0 - 41 in HE-SIG-A. See 22.3.9.7.</w:t>
            </w:r>
            <w:r w:rsidR="00FE6B7D">
              <w:rPr>
                <w:rFonts w:eastAsia="Calibri"/>
                <w:lang w:val="en-US"/>
              </w:rPr>
              <w:t>3</w:t>
            </w:r>
            <w:r w:rsidRPr="00520236">
              <w:rPr>
                <w:rFonts w:eastAsia="Calibri"/>
                <w:lang w:val="en-US"/>
              </w:rPr>
              <w:t xml:space="preserve"> (CRC </w:t>
            </w:r>
            <w:r w:rsidR="00FE6B7D">
              <w:rPr>
                <w:rFonts w:eastAsia="Calibri"/>
                <w:lang w:val="en-US"/>
              </w:rPr>
              <w:t>computation)</w:t>
            </w:r>
            <w:r w:rsidRPr="00520236">
              <w:rPr>
                <w:rFonts w:eastAsia="Calibri"/>
                <w:lang w:val="en-US"/>
              </w:rPr>
              <w:t xml:space="preserve">). The first bit to be </w:t>
            </w:r>
            <w:r w:rsidR="00FE6B7D">
              <w:rPr>
                <w:rFonts w:eastAsia="Calibri"/>
                <w:lang w:val="en-US"/>
              </w:rPr>
              <w:t>transmitted is bit C7 as explained in 20.3.9.7.3</w:t>
            </w:r>
            <w:r w:rsidRPr="00520236">
              <w:rPr>
                <w:rFonts w:eastAsia="Calibri"/>
                <w:lang w:val="en-US"/>
              </w:rPr>
              <w:t xml:space="preserve"> (CRC </w:t>
            </w:r>
            <w:r w:rsidR="00FE6B7D">
              <w:rPr>
                <w:rFonts w:eastAsia="Calibri"/>
                <w:lang w:val="en-US"/>
              </w:rPr>
              <w:t>computation)</w:t>
            </w:r>
            <w:r w:rsidRPr="00520236">
              <w:rPr>
                <w:rFonts w:eastAsia="Calibri"/>
                <w:lang w:val="en-US"/>
              </w:rPr>
              <w:t>.</w:t>
            </w:r>
          </w:p>
        </w:tc>
      </w:tr>
      <w:tr w:rsidR="003008A0" w:rsidRPr="00520236" w14:paraId="52796CA3" w14:textId="77777777" w:rsidTr="00520236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0" w:type="auto"/>
            <w:vMerge/>
            <w:hideMark/>
          </w:tcPr>
          <w:p w14:paraId="34A767C3" w14:textId="77777777" w:rsidR="003008A0" w:rsidRPr="00520236" w:rsidRDefault="003008A0" w:rsidP="003008A0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06" w:type="dxa"/>
            <w:hideMark/>
          </w:tcPr>
          <w:p w14:paraId="154467BA" w14:textId="77777777" w:rsidR="003008A0" w:rsidRPr="002174DC" w:rsidRDefault="003008A0" w:rsidP="003008A0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u w:val="single"/>
                <w:lang w:val="en-US"/>
              </w:rPr>
              <w:t>B20:B25</w:t>
            </w:r>
          </w:p>
        </w:tc>
        <w:tc>
          <w:tcPr>
            <w:tcW w:w="1608" w:type="dxa"/>
            <w:hideMark/>
          </w:tcPr>
          <w:p w14:paraId="7C4C13C6" w14:textId="77777777" w:rsidR="003008A0" w:rsidRPr="00520236" w:rsidRDefault="003008A0" w:rsidP="003008A0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>Tail</w:t>
            </w:r>
          </w:p>
        </w:tc>
        <w:tc>
          <w:tcPr>
            <w:tcW w:w="672" w:type="dxa"/>
            <w:hideMark/>
          </w:tcPr>
          <w:p w14:paraId="0D9F7E88" w14:textId="77777777" w:rsidR="003008A0" w:rsidRPr="00520236" w:rsidRDefault="003008A0" w:rsidP="003008A0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>6</w:t>
            </w:r>
          </w:p>
        </w:tc>
        <w:tc>
          <w:tcPr>
            <w:tcW w:w="6140" w:type="dxa"/>
            <w:hideMark/>
          </w:tcPr>
          <w:p w14:paraId="3AC5D497" w14:textId="51CB1318" w:rsidR="003008A0" w:rsidRPr="00520236" w:rsidRDefault="003008A0" w:rsidP="003008A0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 xml:space="preserve">Used to terminate the trellis of the convolution decoder.         </w:t>
            </w:r>
            <w:r w:rsidR="007D127F">
              <w:rPr>
                <w:rFonts w:eastAsia="Calibri"/>
                <w:lang w:val="en-US"/>
              </w:rPr>
              <w:t xml:space="preserve">            </w:t>
            </w:r>
            <w:r w:rsidRPr="00520236">
              <w:rPr>
                <w:rFonts w:eastAsia="Calibri"/>
                <w:lang w:val="en-US"/>
              </w:rPr>
              <w:t xml:space="preserve">                     Set to 0.</w:t>
            </w:r>
          </w:p>
        </w:tc>
      </w:tr>
    </w:tbl>
    <w:p w14:paraId="437B1FAD" w14:textId="77777777" w:rsidR="000C29B5" w:rsidRPr="001A4C99" w:rsidRDefault="000C29B5" w:rsidP="000C29B5">
      <w:pPr>
        <w:spacing w:after="160" w:line="259" w:lineRule="auto"/>
        <w:rPr>
          <w:rFonts w:ascii="Arial" w:eastAsia="Calibri" w:hAnsi="Arial" w:cs="Arial"/>
          <w:color w:val="FF0000"/>
          <w:sz w:val="20"/>
          <w:u w:val="single"/>
          <w:lang w:val="en-US"/>
        </w:rPr>
      </w:pPr>
      <w:r w:rsidRPr="001A4C99">
        <w:rPr>
          <w:rFonts w:ascii="Arial" w:eastAsia="Calibri" w:hAnsi="Arial" w:cs="Arial"/>
          <w:color w:val="FF0000"/>
          <w:sz w:val="20"/>
          <w:u w:val="single"/>
          <w:lang w:val="en-US"/>
        </w:rPr>
        <w:t xml:space="preserve">NOTE- Integer fields are transmitted in unsigned binary format, LSB first, where </w:t>
      </w:r>
      <w:r>
        <w:rPr>
          <w:rFonts w:ascii="Arial" w:eastAsia="Calibri" w:hAnsi="Arial" w:cs="Arial"/>
          <w:color w:val="FF0000"/>
          <w:sz w:val="20"/>
          <w:u w:val="single"/>
          <w:lang w:val="en-US"/>
        </w:rPr>
        <w:t xml:space="preserve">the </w:t>
      </w:r>
      <w:r w:rsidRPr="001A4C99">
        <w:rPr>
          <w:rFonts w:ascii="Arial" w:eastAsia="Calibri" w:hAnsi="Arial" w:cs="Arial"/>
          <w:color w:val="FF0000"/>
          <w:sz w:val="20"/>
          <w:u w:val="single"/>
          <w:lang w:val="en-US"/>
        </w:rPr>
        <w:t xml:space="preserve">LSB </w:t>
      </w:r>
      <w:r>
        <w:rPr>
          <w:rFonts w:ascii="Arial" w:eastAsia="Calibri" w:hAnsi="Arial" w:cs="Arial"/>
          <w:color w:val="FF0000"/>
          <w:sz w:val="20"/>
          <w:u w:val="single"/>
          <w:lang w:val="en-US"/>
        </w:rPr>
        <w:t xml:space="preserve">is </w:t>
      </w:r>
      <w:r w:rsidRPr="001A4C99">
        <w:rPr>
          <w:rFonts w:ascii="Arial" w:eastAsia="Calibri" w:hAnsi="Arial" w:cs="Arial"/>
          <w:color w:val="FF0000"/>
          <w:sz w:val="20"/>
          <w:u w:val="single"/>
          <w:lang w:val="en-US"/>
        </w:rPr>
        <w:t>in the lowest number</w:t>
      </w:r>
      <w:r>
        <w:rPr>
          <w:rFonts w:ascii="Arial" w:eastAsia="Calibri" w:hAnsi="Arial" w:cs="Arial"/>
          <w:color w:val="FF0000"/>
          <w:sz w:val="20"/>
          <w:u w:val="single"/>
          <w:lang w:val="en-US"/>
        </w:rPr>
        <w:t>ed</w:t>
      </w:r>
      <w:r w:rsidRPr="001A4C99">
        <w:rPr>
          <w:rFonts w:ascii="Arial" w:eastAsia="Calibri" w:hAnsi="Arial" w:cs="Arial"/>
          <w:color w:val="FF0000"/>
          <w:sz w:val="20"/>
          <w:u w:val="single"/>
          <w:lang w:val="en-US"/>
        </w:rPr>
        <w:t xml:space="preserve"> bit position.</w:t>
      </w:r>
    </w:p>
    <w:p w14:paraId="007A521F" w14:textId="77777777" w:rsidR="00D91F95" w:rsidRDefault="00D91F95" w:rsidP="00BE015C">
      <w:pPr>
        <w:spacing w:after="160" w:line="259" w:lineRule="auto"/>
        <w:rPr>
          <w:rFonts w:ascii="Arial" w:eastAsia="Calibri" w:hAnsi="Arial" w:cs="Arial"/>
          <w:b/>
          <w:sz w:val="20"/>
          <w:lang w:val="en-US"/>
        </w:rPr>
      </w:pPr>
    </w:p>
    <w:p w14:paraId="736C5C49" w14:textId="057E0DB7" w:rsidR="0054291B" w:rsidRDefault="0054291B" w:rsidP="0054291B">
      <w:pPr>
        <w:rPr>
          <w:b/>
          <w:i/>
          <w:sz w:val="20"/>
          <w:szCs w:val="24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</w:t>
      </w:r>
      <w:r>
        <w:rPr>
          <w:b/>
          <w:bCs/>
          <w:i/>
          <w:iCs/>
          <w:lang w:eastAsia="ko-KR"/>
        </w:rPr>
        <w:t xml:space="preserve">: </w:t>
      </w:r>
      <w:r>
        <w:rPr>
          <w:b/>
          <w:i/>
          <w:sz w:val="20"/>
          <w:szCs w:val="24"/>
        </w:rPr>
        <w:t>Replace Table 26-</w:t>
      </w:r>
      <w:r w:rsidR="000C50F5">
        <w:rPr>
          <w:b/>
          <w:i/>
          <w:sz w:val="20"/>
          <w:szCs w:val="24"/>
        </w:rPr>
        <w:t>23</w:t>
      </w:r>
      <w:r>
        <w:rPr>
          <w:b/>
          <w:i/>
          <w:sz w:val="20"/>
          <w:szCs w:val="24"/>
        </w:rPr>
        <w:t xml:space="preserve"> (Fields in the HE-SIG-A for an HE trigger-based PPDU) with the following table</w:t>
      </w:r>
      <w:r w:rsidRPr="003F392C">
        <w:rPr>
          <w:b/>
          <w:i/>
          <w:sz w:val="20"/>
          <w:szCs w:val="24"/>
        </w:rPr>
        <w:t>:</w:t>
      </w:r>
    </w:p>
    <w:p w14:paraId="35C90B7B" w14:textId="77777777" w:rsidR="0054291B" w:rsidRDefault="0054291B" w:rsidP="00BE015C">
      <w:pPr>
        <w:spacing w:after="160" w:line="259" w:lineRule="auto"/>
        <w:rPr>
          <w:rFonts w:ascii="Arial" w:eastAsia="Calibri" w:hAnsi="Arial" w:cs="Arial"/>
          <w:b/>
          <w:sz w:val="20"/>
          <w:lang w:val="en-US"/>
        </w:rPr>
      </w:pPr>
    </w:p>
    <w:tbl>
      <w:tblPr>
        <w:tblStyle w:val="TableGrid"/>
        <w:tblW w:w="10318" w:type="dxa"/>
        <w:tblLook w:val="0420" w:firstRow="1" w:lastRow="0" w:firstColumn="0" w:lastColumn="0" w:noHBand="0" w:noVBand="1"/>
      </w:tblPr>
      <w:tblGrid>
        <w:gridCol w:w="889"/>
        <w:gridCol w:w="918"/>
        <w:gridCol w:w="1105"/>
        <w:gridCol w:w="694"/>
        <w:gridCol w:w="6712"/>
      </w:tblGrid>
      <w:tr w:rsidR="0054291B" w:rsidRPr="0054291B" w14:paraId="2035A0FE" w14:textId="77777777" w:rsidTr="00B778F7">
        <w:trPr>
          <w:trHeight w:val="573"/>
        </w:trPr>
        <w:tc>
          <w:tcPr>
            <w:tcW w:w="889" w:type="dxa"/>
            <w:hideMark/>
          </w:tcPr>
          <w:p w14:paraId="0C58AAE8" w14:textId="77777777" w:rsidR="0054291B" w:rsidRPr="0054291B" w:rsidRDefault="0054291B" w:rsidP="0054291B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bCs/>
                <w:lang w:val="en-US"/>
              </w:rPr>
              <w:t>Two parts of HE-SIG-A</w:t>
            </w:r>
          </w:p>
        </w:tc>
        <w:tc>
          <w:tcPr>
            <w:tcW w:w="918" w:type="dxa"/>
            <w:hideMark/>
          </w:tcPr>
          <w:p w14:paraId="40A142AC" w14:textId="77777777" w:rsidR="0054291B" w:rsidRPr="0054291B" w:rsidRDefault="0054291B" w:rsidP="0054291B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bCs/>
                <w:lang w:val="en-US"/>
              </w:rPr>
              <w:t>Bits</w:t>
            </w:r>
          </w:p>
        </w:tc>
        <w:tc>
          <w:tcPr>
            <w:tcW w:w="1105" w:type="dxa"/>
            <w:hideMark/>
          </w:tcPr>
          <w:p w14:paraId="0587A9C3" w14:textId="77777777" w:rsidR="0054291B" w:rsidRPr="0054291B" w:rsidRDefault="0054291B" w:rsidP="0054291B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bCs/>
                <w:lang w:val="en-US"/>
              </w:rPr>
              <w:t>Field</w:t>
            </w:r>
          </w:p>
        </w:tc>
        <w:tc>
          <w:tcPr>
            <w:tcW w:w="694" w:type="dxa"/>
            <w:hideMark/>
          </w:tcPr>
          <w:p w14:paraId="4088592F" w14:textId="77777777" w:rsidR="0054291B" w:rsidRPr="0054291B" w:rsidRDefault="0054291B" w:rsidP="0054291B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bCs/>
                <w:lang w:val="en-US"/>
              </w:rPr>
              <w:t># of bits</w:t>
            </w:r>
          </w:p>
        </w:tc>
        <w:tc>
          <w:tcPr>
            <w:tcW w:w="6712" w:type="dxa"/>
            <w:hideMark/>
          </w:tcPr>
          <w:p w14:paraId="49D23485" w14:textId="77777777" w:rsidR="0054291B" w:rsidRPr="0054291B" w:rsidRDefault="0054291B" w:rsidP="0054291B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bCs/>
                <w:lang w:val="en-US"/>
              </w:rPr>
              <w:t>Description</w:t>
            </w:r>
          </w:p>
        </w:tc>
      </w:tr>
      <w:tr w:rsidR="0054291B" w:rsidRPr="0054291B" w14:paraId="1AA58125" w14:textId="77777777" w:rsidTr="00B778F7">
        <w:trPr>
          <w:trHeight w:val="573"/>
        </w:trPr>
        <w:tc>
          <w:tcPr>
            <w:tcW w:w="889" w:type="dxa"/>
            <w:vMerge w:val="restart"/>
            <w:hideMark/>
          </w:tcPr>
          <w:p w14:paraId="446DFF79" w14:textId="77777777" w:rsidR="0054291B" w:rsidRPr="0054291B" w:rsidRDefault="0054291B" w:rsidP="0054291B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lang w:val="en-US"/>
              </w:rPr>
              <w:t>HE-SIG-A1</w:t>
            </w:r>
          </w:p>
        </w:tc>
        <w:tc>
          <w:tcPr>
            <w:tcW w:w="918" w:type="dxa"/>
            <w:hideMark/>
          </w:tcPr>
          <w:p w14:paraId="4AEE9E92" w14:textId="77777777" w:rsidR="0054291B" w:rsidRPr="00FA3880" w:rsidRDefault="0054291B" w:rsidP="0054291B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FA3880">
              <w:rPr>
                <w:rFonts w:eastAsia="Calibri"/>
                <w:color w:val="FF0000"/>
                <w:u w:val="single"/>
                <w:lang w:val="en-US"/>
              </w:rPr>
              <w:t>B0</w:t>
            </w:r>
          </w:p>
        </w:tc>
        <w:tc>
          <w:tcPr>
            <w:tcW w:w="1105" w:type="dxa"/>
            <w:hideMark/>
          </w:tcPr>
          <w:p w14:paraId="3F462A2B" w14:textId="77777777" w:rsidR="0054291B" w:rsidRPr="0054291B" w:rsidRDefault="0054291B" w:rsidP="0054291B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lang w:val="en-US"/>
              </w:rPr>
              <w:t>Format</w:t>
            </w:r>
          </w:p>
        </w:tc>
        <w:tc>
          <w:tcPr>
            <w:tcW w:w="694" w:type="dxa"/>
            <w:hideMark/>
          </w:tcPr>
          <w:p w14:paraId="01CC9961" w14:textId="77777777" w:rsidR="0054291B" w:rsidRPr="0054291B" w:rsidRDefault="0054291B" w:rsidP="0054291B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lang w:val="en-US"/>
              </w:rPr>
              <w:t>1</w:t>
            </w:r>
          </w:p>
        </w:tc>
        <w:tc>
          <w:tcPr>
            <w:tcW w:w="6712" w:type="dxa"/>
            <w:hideMark/>
          </w:tcPr>
          <w:p w14:paraId="2124C4FA" w14:textId="3F2D02A2" w:rsidR="0054291B" w:rsidRPr="0054291B" w:rsidRDefault="0054291B" w:rsidP="00A04900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lang w:val="en-US"/>
              </w:rPr>
              <w:t xml:space="preserve">Differentiate between an HE SU PPDU and an HE trigger-based PPDU.                                                                                                          Set to 0 for HE trigger-based PPDU                                                                                                                                                        Set to 1 for HE SU PPDU                                                                                                                                                                              </w:t>
            </w:r>
          </w:p>
        </w:tc>
      </w:tr>
      <w:tr w:rsidR="00940253" w:rsidRPr="0054291B" w14:paraId="5AD210D9" w14:textId="77777777" w:rsidTr="00B778F7">
        <w:trPr>
          <w:trHeight w:val="573"/>
        </w:trPr>
        <w:tc>
          <w:tcPr>
            <w:tcW w:w="0" w:type="auto"/>
            <w:vMerge/>
            <w:hideMark/>
          </w:tcPr>
          <w:p w14:paraId="5A581625" w14:textId="77777777" w:rsidR="00940253" w:rsidRPr="0054291B" w:rsidRDefault="00940253" w:rsidP="00940253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18" w:type="dxa"/>
            <w:hideMark/>
          </w:tcPr>
          <w:p w14:paraId="00568201" w14:textId="77777777" w:rsidR="00940253" w:rsidRPr="00FA3880" w:rsidRDefault="00940253" w:rsidP="00940253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FA3880">
              <w:rPr>
                <w:rFonts w:eastAsia="Calibri"/>
                <w:color w:val="FF0000"/>
                <w:u w:val="single"/>
                <w:lang w:val="en-US"/>
              </w:rPr>
              <w:t>B1:B6</w:t>
            </w:r>
          </w:p>
        </w:tc>
        <w:tc>
          <w:tcPr>
            <w:tcW w:w="1105" w:type="dxa"/>
            <w:hideMark/>
          </w:tcPr>
          <w:p w14:paraId="11C61DCF" w14:textId="77777777" w:rsidR="00940253" w:rsidRPr="0054291B" w:rsidRDefault="00940253" w:rsidP="00940253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lang w:val="en-US"/>
              </w:rPr>
              <w:t>BSS Color</w:t>
            </w:r>
          </w:p>
        </w:tc>
        <w:tc>
          <w:tcPr>
            <w:tcW w:w="694" w:type="dxa"/>
            <w:hideMark/>
          </w:tcPr>
          <w:p w14:paraId="78723F93" w14:textId="77777777" w:rsidR="00940253" w:rsidRPr="0054291B" w:rsidRDefault="00940253" w:rsidP="00940253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lang w:val="en-US"/>
              </w:rPr>
              <w:t>6</w:t>
            </w:r>
          </w:p>
        </w:tc>
        <w:tc>
          <w:tcPr>
            <w:tcW w:w="6712" w:type="dxa"/>
            <w:hideMark/>
          </w:tcPr>
          <w:p w14:paraId="6E374EAC" w14:textId="0BC97E00" w:rsidR="00940253" w:rsidRPr="0054291B" w:rsidRDefault="00940253" w:rsidP="00940253">
            <w:pPr>
              <w:spacing w:after="160" w:line="259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szCs w:val="18"/>
                <w:lang w:val="en-US"/>
              </w:rPr>
              <w:t>BSS Color field is an identifier of the BSS</w:t>
            </w:r>
          </w:p>
        </w:tc>
      </w:tr>
      <w:tr w:rsidR="00940253" w:rsidRPr="0054291B" w14:paraId="58B6FC87" w14:textId="77777777" w:rsidTr="00B778F7">
        <w:trPr>
          <w:trHeight w:val="573"/>
        </w:trPr>
        <w:tc>
          <w:tcPr>
            <w:tcW w:w="0" w:type="auto"/>
            <w:vMerge/>
            <w:hideMark/>
          </w:tcPr>
          <w:p w14:paraId="47DD321E" w14:textId="77777777" w:rsidR="00940253" w:rsidRPr="0054291B" w:rsidRDefault="00940253" w:rsidP="00940253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18" w:type="dxa"/>
            <w:hideMark/>
          </w:tcPr>
          <w:p w14:paraId="0BD88836" w14:textId="77777777" w:rsidR="00940253" w:rsidRPr="00FA3880" w:rsidRDefault="00940253" w:rsidP="00940253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FA3880">
              <w:rPr>
                <w:rFonts w:eastAsia="Calibri"/>
                <w:color w:val="FF0000"/>
                <w:u w:val="single"/>
                <w:lang w:val="en-US"/>
              </w:rPr>
              <w:t>B7:B22</w:t>
            </w:r>
          </w:p>
        </w:tc>
        <w:tc>
          <w:tcPr>
            <w:tcW w:w="1105" w:type="dxa"/>
            <w:hideMark/>
          </w:tcPr>
          <w:p w14:paraId="0CEE34E5" w14:textId="77777777" w:rsidR="00940253" w:rsidRPr="0054291B" w:rsidRDefault="00940253" w:rsidP="00940253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lang w:val="en-US"/>
              </w:rPr>
              <w:t>Spatial Reuse</w:t>
            </w:r>
          </w:p>
        </w:tc>
        <w:tc>
          <w:tcPr>
            <w:tcW w:w="694" w:type="dxa"/>
            <w:hideMark/>
          </w:tcPr>
          <w:p w14:paraId="296FEE4A" w14:textId="77777777" w:rsidR="00940253" w:rsidRPr="0054291B" w:rsidRDefault="00940253" w:rsidP="00940253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lang w:val="en-US"/>
              </w:rPr>
              <w:t>16</w:t>
            </w:r>
          </w:p>
        </w:tc>
        <w:tc>
          <w:tcPr>
            <w:tcW w:w="6712" w:type="dxa"/>
            <w:hideMark/>
          </w:tcPr>
          <w:p w14:paraId="551AFF6A" w14:textId="77777777" w:rsidR="00940253" w:rsidRDefault="00940253" w:rsidP="00940253">
            <w:pPr>
              <w:rPr>
                <w:sz w:val="22"/>
                <w:lang w:eastAsia="zh-CN"/>
              </w:rPr>
            </w:pPr>
            <w:r>
              <w:rPr>
                <w:lang w:eastAsia="zh-CN"/>
              </w:rPr>
              <w:t>“</w:t>
            </w:r>
            <w:proofErr w:type="spellStart"/>
            <w:r>
              <w:rPr>
                <w:lang w:eastAsia="zh-CN"/>
              </w:rPr>
              <w:t>SR_allowed</w:t>
            </w:r>
            <w:proofErr w:type="spellEnd"/>
            <w:r>
              <w:rPr>
                <w:lang w:eastAsia="zh-CN"/>
              </w:rPr>
              <w:t xml:space="preserve">” </w:t>
            </w:r>
            <w:proofErr w:type="spellStart"/>
            <w:r>
              <w:rPr>
                <w:lang w:eastAsia="zh-CN"/>
              </w:rPr>
              <w:t>signaling</w:t>
            </w:r>
            <w:proofErr w:type="spellEnd"/>
            <w:r>
              <w:rPr>
                <w:lang w:eastAsia="zh-CN"/>
              </w:rPr>
              <w:t xml:space="preserve"> indicates whether SR operation is allowed or not.</w:t>
            </w:r>
          </w:p>
          <w:p w14:paraId="07C5778D" w14:textId="77777777" w:rsidR="00940253" w:rsidRDefault="00940253" w:rsidP="00940253">
            <w:pPr>
              <w:pStyle w:val="ListParagraph"/>
              <w:numPr>
                <w:ilvl w:val="0"/>
                <w:numId w:val="23"/>
              </w:numPr>
              <w:ind w:leftChars="0"/>
              <w:contextualSpacing/>
              <w:rPr>
                <w:rFonts w:ascii="Times" w:hAnsi="Times"/>
                <w:lang w:eastAsia="zh-CN"/>
              </w:rPr>
            </w:pPr>
            <w:r w:rsidRPr="00DB4D87">
              <w:rPr>
                <w:rFonts w:ascii="Times" w:hAnsi="Times"/>
                <w:color w:val="FF0000"/>
                <w:u w:val="single"/>
                <w:lang w:eastAsia="zh-CN"/>
              </w:rPr>
              <w:t xml:space="preserve">Set to 0 </w:t>
            </w:r>
            <w:r>
              <w:rPr>
                <w:rFonts w:ascii="Times" w:hAnsi="Times"/>
                <w:color w:val="FF0000"/>
                <w:u w:val="single"/>
                <w:lang w:eastAsia="zh-CN"/>
              </w:rPr>
              <w:t xml:space="preserve">to </w:t>
            </w:r>
            <w:r>
              <w:rPr>
                <w:rFonts w:ascii="Times" w:hAnsi="Times"/>
                <w:lang w:eastAsia="zh-CN"/>
              </w:rPr>
              <w:t>indicate SR is disallowed</w:t>
            </w:r>
          </w:p>
          <w:p w14:paraId="3D88213B" w14:textId="77777777" w:rsidR="00940253" w:rsidRDefault="00940253" w:rsidP="00940253">
            <w:pPr>
              <w:pStyle w:val="ListParagraph"/>
              <w:numPr>
                <w:ilvl w:val="0"/>
                <w:numId w:val="23"/>
              </w:numPr>
              <w:ind w:leftChars="0"/>
              <w:contextualSpacing/>
              <w:rPr>
                <w:rFonts w:ascii="Times" w:hAnsi="Times"/>
                <w:lang w:eastAsia="zh-CN"/>
              </w:rPr>
            </w:pPr>
            <w:r>
              <w:rPr>
                <w:rFonts w:ascii="Times" w:hAnsi="Times"/>
                <w:lang w:eastAsia="zh-CN"/>
              </w:rPr>
              <w:t>The conditions to disallow SR are TBD</w:t>
            </w:r>
          </w:p>
          <w:p w14:paraId="2A6FB970" w14:textId="282DBB63" w:rsidR="00940253" w:rsidRDefault="00940253" w:rsidP="00940253">
            <w:pPr>
              <w:rPr>
                <w:lang w:eastAsia="zh-CN"/>
              </w:rPr>
            </w:pPr>
            <w:r>
              <w:rPr>
                <w:lang w:eastAsia="zh-CN"/>
              </w:rPr>
              <w:t>Multiple SR fields (</w:t>
            </w:r>
            <m:oMath>
              <m:r>
                <w:rPr>
                  <w:rFonts w:ascii="Cambria Math" w:hAnsi="Cambria Math"/>
                  <w:lang w:eastAsia="zh-CN"/>
                </w:rPr>
                <m:t>≥</m:t>
              </m:r>
            </m:oMath>
            <w:r>
              <w:rPr>
                <w:lang w:eastAsia="zh-CN"/>
              </w:rPr>
              <w:t>2) are signalled, where each SR field corresponds to a different subband of the PPDU. Other details are TBD.</w:t>
            </w:r>
          </w:p>
          <w:p w14:paraId="2E03894C" w14:textId="1B29D1D6" w:rsidR="00940253" w:rsidRPr="0054291B" w:rsidRDefault="00940253" w:rsidP="00940253">
            <w:pPr>
              <w:spacing w:after="160" w:line="259" w:lineRule="auto"/>
              <w:rPr>
                <w:rFonts w:eastAsia="Calibri"/>
                <w:lang w:val="en-US"/>
              </w:rPr>
            </w:pPr>
            <w:r>
              <w:rPr>
                <w:lang w:eastAsia="zh-CN"/>
              </w:rPr>
              <w:t>Notes: this part needs further development.</w:t>
            </w:r>
          </w:p>
        </w:tc>
      </w:tr>
      <w:tr w:rsidR="0054291B" w:rsidRPr="0054291B" w14:paraId="7CA5C97E" w14:textId="77777777" w:rsidTr="00B778F7">
        <w:trPr>
          <w:trHeight w:val="573"/>
        </w:trPr>
        <w:tc>
          <w:tcPr>
            <w:tcW w:w="0" w:type="auto"/>
            <w:vMerge/>
            <w:hideMark/>
          </w:tcPr>
          <w:p w14:paraId="7F02B1AA" w14:textId="77777777" w:rsidR="0054291B" w:rsidRPr="0054291B" w:rsidRDefault="0054291B" w:rsidP="0054291B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18" w:type="dxa"/>
            <w:hideMark/>
          </w:tcPr>
          <w:p w14:paraId="2566B2CE" w14:textId="77777777" w:rsidR="0054291B" w:rsidRPr="00FA3880" w:rsidRDefault="0054291B" w:rsidP="0054291B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FA3880">
              <w:rPr>
                <w:rFonts w:eastAsia="Calibri"/>
                <w:color w:val="FF0000"/>
                <w:u w:val="single"/>
                <w:lang w:val="en-US"/>
              </w:rPr>
              <w:t>B23</w:t>
            </w:r>
          </w:p>
        </w:tc>
        <w:tc>
          <w:tcPr>
            <w:tcW w:w="1105" w:type="dxa"/>
            <w:hideMark/>
          </w:tcPr>
          <w:p w14:paraId="6FE65FFA" w14:textId="77777777" w:rsidR="0054291B" w:rsidRPr="0054291B" w:rsidRDefault="0054291B" w:rsidP="0054291B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lang w:val="en-US"/>
              </w:rPr>
              <w:t>Reserved</w:t>
            </w:r>
          </w:p>
        </w:tc>
        <w:tc>
          <w:tcPr>
            <w:tcW w:w="694" w:type="dxa"/>
            <w:hideMark/>
          </w:tcPr>
          <w:p w14:paraId="73FCDD2C" w14:textId="77777777" w:rsidR="0054291B" w:rsidRPr="0054291B" w:rsidRDefault="0054291B" w:rsidP="0054291B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lang w:val="en-US"/>
              </w:rPr>
              <w:t>1</w:t>
            </w:r>
          </w:p>
        </w:tc>
        <w:tc>
          <w:tcPr>
            <w:tcW w:w="6712" w:type="dxa"/>
            <w:hideMark/>
          </w:tcPr>
          <w:p w14:paraId="46BDDBCB" w14:textId="77777777" w:rsidR="0054291B" w:rsidRPr="00D8039D" w:rsidRDefault="0054291B" w:rsidP="0054291B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D8039D">
              <w:rPr>
                <w:rFonts w:eastAsia="Calibri"/>
                <w:color w:val="FF0000"/>
                <w:u w:val="single"/>
                <w:lang w:val="en-US"/>
              </w:rPr>
              <w:t>Reserved and set to value indicated in the Trigger  frame</w:t>
            </w:r>
          </w:p>
        </w:tc>
      </w:tr>
      <w:tr w:rsidR="0054291B" w:rsidRPr="0054291B" w14:paraId="6581FCDD" w14:textId="77777777" w:rsidTr="00B778F7">
        <w:trPr>
          <w:trHeight w:val="573"/>
        </w:trPr>
        <w:tc>
          <w:tcPr>
            <w:tcW w:w="0" w:type="auto"/>
            <w:vMerge/>
            <w:hideMark/>
          </w:tcPr>
          <w:p w14:paraId="7F2FE34D" w14:textId="77777777" w:rsidR="0054291B" w:rsidRPr="0054291B" w:rsidRDefault="0054291B" w:rsidP="0054291B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18" w:type="dxa"/>
            <w:hideMark/>
          </w:tcPr>
          <w:p w14:paraId="6B2FFCFA" w14:textId="77777777" w:rsidR="0054291B" w:rsidRPr="00FA3880" w:rsidRDefault="0054291B" w:rsidP="0054291B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FA3880">
              <w:rPr>
                <w:rFonts w:eastAsia="Calibri"/>
                <w:color w:val="FF0000"/>
                <w:u w:val="single"/>
                <w:lang w:val="en-US"/>
              </w:rPr>
              <w:t>B24:B25</w:t>
            </w:r>
          </w:p>
        </w:tc>
        <w:tc>
          <w:tcPr>
            <w:tcW w:w="1105" w:type="dxa"/>
            <w:hideMark/>
          </w:tcPr>
          <w:p w14:paraId="2B08F457" w14:textId="77777777" w:rsidR="0054291B" w:rsidRPr="0054291B" w:rsidRDefault="0054291B" w:rsidP="0054291B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lang w:val="en-US"/>
              </w:rPr>
              <w:t>Bandwidth</w:t>
            </w:r>
          </w:p>
        </w:tc>
        <w:tc>
          <w:tcPr>
            <w:tcW w:w="694" w:type="dxa"/>
            <w:hideMark/>
          </w:tcPr>
          <w:p w14:paraId="11926847" w14:textId="77777777" w:rsidR="0054291B" w:rsidRPr="0054291B" w:rsidRDefault="0054291B" w:rsidP="0054291B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lang w:val="en-US"/>
              </w:rPr>
              <w:t>2</w:t>
            </w:r>
          </w:p>
        </w:tc>
        <w:tc>
          <w:tcPr>
            <w:tcW w:w="6712" w:type="dxa"/>
            <w:hideMark/>
          </w:tcPr>
          <w:p w14:paraId="38B727E3" w14:textId="7C93AA66" w:rsidR="0054291B" w:rsidRPr="0054291B" w:rsidRDefault="0054291B" w:rsidP="0054291B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lang w:val="en-US"/>
              </w:rPr>
              <w:t xml:space="preserve">Set to 0 for 20 MHz         </w:t>
            </w:r>
            <w:r w:rsidR="00D8039D">
              <w:rPr>
                <w:rFonts w:eastAsia="Calibri"/>
                <w:lang w:val="en-US"/>
              </w:rPr>
              <w:t xml:space="preserve">                               </w:t>
            </w:r>
            <w:r w:rsidRPr="0054291B">
              <w:rPr>
                <w:rFonts w:eastAsia="Calibri"/>
                <w:lang w:val="en-US"/>
              </w:rPr>
              <w:t xml:space="preserve">                                                                                             Set to 1 for 40 MHz        </w:t>
            </w:r>
            <w:r w:rsidR="00D8039D">
              <w:rPr>
                <w:rFonts w:eastAsia="Calibri"/>
                <w:lang w:val="en-US"/>
              </w:rPr>
              <w:t xml:space="preserve">                         </w:t>
            </w:r>
            <w:r w:rsidRPr="0054291B">
              <w:rPr>
                <w:rFonts w:eastAsia="Calibri"/>
                <w:lang w:val="en-US"/>
              </w:rPr>
              <w:t xml:space="preserve">                                                                                             Set to 2 for 80 MHz       </w:t>
            </w:r>
            <w:r w:rsidR="00D8039D">
              <w:rPr>
                <w:rFonts w:eastAsia="Calibri"/>
                <w:lang w:val="en-US"/>
              </w:rPr>
              <w:t xml:space="preserve">                      </w:t>
            </w:r>
            <w:r w:rsidRPr="0054291B">
              <w:rPr>
                <w:rFonts w:eastAsia="Calibri"/>
                <w:lang w:val="en-US"/>
              </w:rPr>
              <w:t xml:space="preserve">                                                                                               Set to 3 for 160/80+80 MHz</w:t>
            </w:r>
          </w:p>
        </w:tc>
      </w:tr>
      <w:tr w:rsidR="00B778F7" w:rsidRPr="00B778F7" w14:paraId="5A805C71" w14:textId="77777777" w:rsidTr="00B778F7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889" w:type="dxa"/>
            <w:vMerge w:val="restart"/>
            <w:hideMark/>
          </w:tcPr>
          <w:p w14:paraId="339001BF" w14:textId="77777777" w:rsidR="00B778F7" w:rsidRPr="00B778F7" w:rsidRDefault="00B778F7" w:rsidP="00B778F7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B778F7">
              <w:rPr>
                <w:rFonts w:eastAsia="Calibri"/>
                <w:lang w:val="en-US"/>
              </w:rPr>
              <w:t>HE-SIG-A2</w:t>
            </w:r>
          </w:p>
        </w:tc>
        <w:tc>
          <w:tcPr>
            <w:tcW w:w="918" w:type="dxa"/>
            <w:hideMark/>
          </w:tcPr>
          <w:p w14:paraId="369FC4D8" w14:textId="77777777" w:rsidR="00B778F7" w:rsidRPr="00FA3880" w:rsidRDefault="00B778F7" w:rsidP="00B778F7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FA3880">
              <w:rPr>
                <w:rFonts w:eastAsia="Calibri"/>
                <w:color w:val="FF0000"/>
                <w:u w:val="single"/>
                <w:lang w:val="en-US"/>
              </w:rPr>
              <w:t>B0:B6</w:t>
            </w:r>
          </w:p>
        </w:tc>
        <w:tc>
          <w:tcPr>
            <w:tcW w:w="1105" w:type="dxa"/>
            <w:hideMark/>
          </w:tcPr>
          <w:p w14:paraId="2A4F5EBF" w14:textId="77777777" w:rsidR="00B778F7" w:rsidRPr="00B778F7" w:rsidRDefault="00B778F7" w:rsidP="00B778F7">
            <w:pPr>
              <w:spacing w:after="160" w:line="259" w:lineRule="auto"/>
              <w:rPr>
                <w:rFonts w:eastAsia="Calibri"/>
                <w:lang w:val="en-US"/>
              </w:rPr>
            </w:pPr>
            <w:proofErr w:type="spellStart"/>
            <w:r w:rsidRPr="00B778F7">
              <w:rPr>
                <w:rFonts w:eastAsia="Calibri"/>
                <w:lang w:val="en-US"/>
              </w:rPr>
              <w:t>Txop</w:t>
            </w:r>
            <w:proofErr w:type="spellEnd"/>
            <w:r w:rsidRPr="00B778F7">
              <w:rPr>
                <w:rFonts w:eastAsia="Calibri"/>
                <w:lang w:val="en-US"/>
              </w:rPr>
              <w:t xml:space="preserve"> Duration</w:t>
            </w:r>
          </w:p>
        </w:tc>
        <w:tc>
          <w:tcPr>
            <w:tcW w:w="694" w:type="dxa"/>
            <w:hideMark/>
          </w:tcPr>
          <w:p w14:paraId="41F29BC7" w14:textId="77777777" w:rsidR="00B778F7" w:rsidRPr="00B778F7" w:rsidRDefault="00B778F7" w:rsidP="00B778F7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B778F7">
              <w:rPr>
                <w:rFonts w:eastAsia="Calibri"/>
                <w:lang w:val="en-US"/>
              </w:rPr>
              <w:t>7</w:t>
            </w:r>
          </w:p>
        </w:tc>
        <w:tc>
          <w:tcPr>
            <w:tcW w:w="6712" w:type="dxa"/>
            <w:hideMark/>
          </w:tcPr>
          <w:p w14:paraId="134F0BB2" w14:textId="12DECC7B" w:rsidR="00B778F7" w:rsidRPr="00B778F7" w:rsidRDefault="00B778F7" w:rsidP="00B778F7">
            <w:pPr>
              <w:spacing w:after="160" w:line="259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szCs w:val="18"/>
                <w:lang w:val="en-US"/>
              </w:rPr>
              <w:t>Indicates the remaining time in the current TXOP. Details TBD.</w:t>
            </w:r>
          </w:p>
        </w:tc>
      </w:tr>
      <w:tr w:rsidR="00B778F7" w:rsidRPr="00B778F7" w14:paraId="1E728D34" w14:textId="77777777" w:rsidTr="00B778F7">
        <w:tblPrEx>
          <w:tblLook w:val="04A0" w:firstRow="1" w:lastRow="0" w:firstColumn="1" w:lastColumn="0" w:noHBand="0" w:noVBand="1"/>
        </w:tblPrEx>
        <w:trPr>
          <w:trHeight w:val="466"/>
        </w:trPr>
        <w:tc>
          <w:tcPr>
            <w:tcW w:w="0" w:type="auto"/>
            <w:vMerge/>
            <w:hideMark/>
          </w:tcPr>
          <w:p w14:paraId="09673E69" w14:textId="77777777" w:rsidR="00B778F7" w:rsidRPr="00B778F7" w:rsidRDefault="00B778F7" w:rsidP="00B778F7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18" w:type="dxa"/>
            <w:hideMark/>
          </w:tcPr>
          <w:p w14:paraId="58D1F013" w14:textId="77777777" w:rsidR="00B778F7" w:rsidRPr="00FA3880" w:rsidRDefault="00B778F7" w:rsidP="00B778F7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FA3880">
              <w:rPr>
                <w:rFonts w:eastAsia="Calibri"/>
                <w:color w:val="FF0000"/>
                <w:u w:val="single"/>
                <w:lang w:val="en-US"/>
              </w:rPr>
              <w:t>B7:B15</w:t>
            </w:r>
          </w:p>
        </w:tc>
        <w:tc>
          <w:tcPr>
            <w:tcW w:w="1105" w:type="dxa"/>
            <w:hideMark/>
          </w:tcPr>
          <w:p w14:paraId="08F3F002" w14:textId="77777777" w:rsidR="00B778F7" w:rsidRPr="00B778F7" w:rsidRDefault="00B778F7" w:rsidP="00B778F7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B778F7">
              <w:rPr>
                <w:rFonts w:eastAsia="Calibri"/>
                <w:lang w:val="en-US"/>
              </w:rPr>
              <w:t>Reserved</w:t>
            </w:r>
          </w:p>
        </w:tc>
        <w:tc>
          <w:tcPr>
            <w:tcW w:w="694" w:type="dxa"/>
            <w:hideMark/>
          </w:tcPr>
          <w:p w14:paraId="114B2DCF" w14:textId="77777777" w:rsidR="00B778F7" w:rsidRPr="00B778F7" w:rsidRDefault="00B778F7" w:rsidP="00B778F7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B778F7">
              <w:rPr>
                <w:rFonts w:eastAsia="Calibri"/>
                <w:lang w:val="en-US"/>
              </w:rPr>
              <w:t>9</w:t>
            </w:r>
          </w:p>
        </w:tc>
        <w:tc>
          <w:tcPr>
            <w:tcW w:w="6712" w:type="dxa"/>
            <w:hideMark/>
          </w:tcPr>
          <w:p w14:paraId="0C2910B4" w14:textId="77777777" w:rsidR="00B778F7" w:rsidRPr="000755D7" w:rsidRDefault="00B778F7" w:rsidP="00B778F7">
            <w:pPr>
              <w:spacing w:after="160" w:line="259" w:lineRule="auto"/>
              <w:rPr>
                <w:rFonts w:eastAsia="Calibri"/>
                <w:u w:val="single"/>
                <w:lang w:val="en-US"/>
              </w:rPr>
            </w:pPr>
            <w:r w:rsidRPr="000755D7">
              <w:rPr>
                <w:rFonts w:eastAsia="Calibri"/>
                <w:color w:val="FF0000"/>
                <w:u w:val="single"/>
                <w:lang w:val="en-US"/>
              </w:rPr>
              <w:t>Reserved and set to value indicated in the Trigger frame</w:t>
            </w:r>
          </w:p>
        </w:tc>
      </w:tr>
      <w:tr w:rsidR="00B778F7" w:rsidRPr="00B778F7" w14:paraId="41775297" w14:textId="77777777" w:rsidTr="00B778F7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0" w:type="auto"/>
            <w:vMerge/>
            <w:hideMark/>
          </w:tcPr>
          <w:p w14:paraId="2B9FC621" w14:textId="77777777" w:rsidR="00B778F7" w:rsidRPr="00B778F7" w:rsidRDefault="00B778F7" w:rsidP="00B778F7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18" w:type="dxa"/>
            <w:hideMark/>
          </w:tcPr>
          <w:p w14:paraId="2B80A958" w14:textId="77777777" w:rsidR="00B778F7" w:rsidRPr="00FA3880" w:rsidRDefault="00B778F7" w:rsidP="00B778F7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FA3880">
              <w:rPr>
                <w:rFonts w:eastAsia="Calibri"/>
                <w:color w:val="FF0000"/>
                <w:u w:val="single"/>
                <w:lang w:val="en-US"/>
              </w:rPr>
              <w:t>B16:B19</w:t>
            </w:r>
          </w:p>
        </w:tc>
        <w:tc>
          <w:tcPr>
            <w:tcW w:w="1105" w:type="dxa"/>
            <w:hideMark/>
          </w:tcPr>
          <w:p w14:paraId="01ED6825" w14:textId="77777777" w:rsidR="00B778F7" w:rsidRPr="00B778F7" w:rsidRDefault="00B778F7" w:rsidP="00B778F7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B778F7">
              <w:rPr>
                <w:rFonts w:eastAsia="Calibri"/>
                <w:lang w:val="en-US"/>
              </w:rPr>
              <w:t>CRC</w:t>
            </w:r>
          </w:p>
        </w:tc>
        <w:tc>
          <w:tcPr>
            <w:tcW w:w="694" w:type="dxa"/>
            <w:hideMark/>
          </w:tcPr>
          <w:p w14:paraId="0BC0F862" w14:textId="77777777" w:rsidR="00B778F7" w:rsidRPr="00B778F7" w:rsidRDefault="00B778F7" w:rsidP="00B778F7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B778F7">
              <w:rPr>
                <w:rFonts w:eastAsia="Calibri"/>
                <w:lang w:val="en-US"/>
              </w:rPr>
              <w:t>4</w:t>
            </w:r>
          </w:p>
        </w:tc>
        <w:tc>
          <w:tcPr>
            <w:tcW w:w="6712" w:type="dxa"/>
            <w:hideMark/>
          </w:tcPr>
          <w:p w14:paraId="05059023" w14:textId="4608BEBB" w:rsidR="00B778F7" w:rsidRPr="00B778F7" w:rsidRDefault="00B778F7" w:rsidP="000755D7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B778F7">
              <w:rPr>
                <w:rFonts w:eastAsia="Calibri"/>
                <w:lang w:val="en-US"/>
              </w:rPr>
              <w:t xml:space="preserve">CRC of bits 0 </w:t>
            </w:r>
            <w:r w:rsidR="000755D7">
              <w:rPr>
                <w:rFonts w:eastAsia="Calibri"/>
                <w:lang w:val="en-US"/>
              </w:rPr>
              <w:t>- 41 in HE-SIG-A. See 22.3.9.7.3</w:t>
            </w:r>
            <w:r w:rsidRPr="00B778F7">
              <w:rPr>
                <w:rFonts w:eastAsia="Calibri"/>
                <w:lang w:val="en-US"/>
              </w:rPr>
              <w:t xml:space="preserve"> (CRC c</w:t>
            </w:r>
            <w:r w:rsidR="000755D7">
              <w:rPr>
                <w:rFonts w:eastAsia="Calibri"/>
                <w:lang w:val="en-US"/>
              </w:rPr>
              <w:t>omputation</w:t>
            </w:r>
            <w:r w:rsidRPr="00B778F7">
              <w:rPr>
                <w:rFonts w:eastAsia="Calibri"/>
                <w:lang w:val="en-US"/>
              </w:rPr>
              <w:t>). The first</w:t>
            </w:r>
            <w:r w:rsidR="000755D7">
              <w:rPr>
                <w:rFonts w:eastAsia="Calibri"/>
                <w:lang w:val="en-US"/>
              </w:rPr>
              <w:t xml:space="preserve"> bit to be transmitted is bit C7 as explained in 20.3.9.7.3</w:t>
            </w:r>
            <w:r w:rsidRPr="00B778F7">
              <w:rPr>
                <w:rFonts w:eastAsia="Calibri"/>
                <w:lang w:val="en-US"/>
              </w:rPr>
              <w:t xml:space="preserve"> (CRC </w:t>
            </w:r>
            <w:r w:rsidR="000755D7">
              <w:rPr>
                <w:rFonts w:eastAsia="Calibri"/>
                <w:lang w:val="en-US"/>
              </w:rPr>
              <w:t>computation</w:t>
            </w:r>
            <w:r w:rsidRPr="00B778F7">
              <w:rPr>
                <w:rFonts w:eastAsia="Calibri"/>
                <w:lang w:val="en-US"/>
              </w:rPr>
              <w:t>).</w:t>
            </w:r>
          </w:p>
        </w:tc>
      </w:tr>
      <w:tr w:rsidR="00B778F7" w:rsidRPr="00B778F7" w14:paraId="41E733C2" w14:textId="77777777" w:rsidTr="00B778F7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0" w:type="auto"/>
            <w:vMerge/>
            <w:hideMark/>
          </w:tcPr>
          <w:p w14:paraId="19A84B2B" w14:textId="77777777" w:rsidR="00B778F7" w:rsidRPr="00B778F7" w:rsidRDefault="00B778F7" w:rsidP="00B778F7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18" w:type="dxa"/>
            <w:hideMark/>
          </w:tcPr>
          <w:p w14:paraId="68587B2C" w14:textId="77777777" w:rsidR="00B778F7" w:rsidRPr="00FA3880" w:rsidRDefault="00B778F7" w:rsidP="00B778F7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FA3880">
              <w:rPr>
                <w:rFonts w:eastAsia="Calibri"/>
                <w:color w:val="FF0000"/>
                <w:u w:val="single"/>
                <w:lang w:val="en-US"/>
              </w:rPr>
              <w:t>B20:B25</w:t>
            </w:r>
          </w:p>
        </w:tc>
        <w:tc>
          <w:tcPr>
            <w:tcW w:w="1105" w:type="dxa"/>
            <w:hideMark/>
          </w:tcPr>
          <w:p w14:paraId="257A3CEC" w14:textId="77777777" w:rsidR="00B778F7" w:rsidRPr="00B778F7" w:rsidRDefault="00B778F7" w:rsidP="00B778F7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B778F7">
              <w:rPr>
                <w:rFonts w:eastAsia="Calibri"/>
                <w:lang w:val="en-US"/>
              </w:rPr>
              <w:t>Tail</w:t>
            </w:r>
          </w:p>
        </w:tc>
        <w:tc>
          <w:tcPr>
            <w:tcW w:w="694" w:type="dxa"/>
            <w:hideMark/>
          </w:tcPr>
          <w:p w14:paraId="5D7FFFD3" w14:textId="77777777" w:rsidR="00B778F7" w:rsidRPr="00B778F7" w:rsidRDefault="00B778F7" w:rsidP="00B778F7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B778F7">
              <w:rPr>
                <w:rFonts w:eastAsia="Calibri"/>
                <w:lang w:val="en-US"/>
              </w:rPr>
              <w:t>6</w:t>
            </w:r>
          </w:p>
        </w:tc>
        <w:tc>
          <w:tcPr>
            <w:tcW w:w="6712" w:type="dxa"/>
            <w:hideMark/>
          </w:tcPr>
          <w:p w14:paraId="1286368B" w14:textId="5889E672" w:rsidR="00B778F7" w:rsidRPr="00B778F7" w:rsidRDefault="00B778F7" w:rsidP="00B778F7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B778F7">
              <w:rPr>
                <w:rFonts w:eastAsia="Calibri"/>
                <w:lang w:val="en-US"/>
              </w:rPr>
              <w:t xml:space="preserve">Used to terminate the trellis of the convolution decoder.                 </w:t>
            </w:r>
            <w:r w:rsidR="000755D7">
              <w:rPr>
                <w:rFonts w:eastAsia="Calibri"/>
                <w:lang w:val="en-US"/>
              </w:rPr>
              <w:t xml:space="preserve">                               </w:t>
            </w:r>
            <w:r w:rsidRPr="00B778F7">
              <w:rPr>
                <w:rFonts w:eastAsia="Calibri"/>
                <w:lang w:val="en-US"/>
              </w:rPr>
              <w:t xml:space="preserve">             Set to 0.</w:t>
            </w:r>
          </w:p>
        </w:tc>
      </w:tr>
    </w:tbl>
    <w:p w14:paraId="37F4D58E" w14:textId="77777777" w:rsidR="00D169FF" w:rsidRPr="001A4C99" w:rsidRDefault="00D169FF" w:rsidP="00D169FF">
      <w:pPr>
        <w:spacing w:after="160" w:line="259" w:lineRule="auto"/>
        <w:rPr>
          <w:rFonts w:ascii="Arial" w:eastAsia="Calibri" w:hAnsi="Arial" w:cs="Arial"/>
          <w:color w:val="FF0000"/>
          <w:sz w:val="20"/>
          <w:u w:val="single"/>
          <w:lang w:val="en-US"/>
        </w:rPr>
      </w:pPr>
      <w:r w:rsidRPr="001A4C99">
        <w:rPr>
          <w:rFonts w:ascii="Arial" w:eastAsia="Calibri" w:hAnsi="Arial" w:cs="Arial"/>
          <w:color w:val="FF0000"/>
          <w:sz w:val="20"/>
          <w:u w:val="single"/>
          <w:lang w:val="en-US"/>
        </w:rPr>
        <w:t xml:space="preserve">NOTE- Integer fields are transmitted in unsigned binary format, LSB first, where </w:t>
      </w:r>
      <w:r>
        <w:rPr>
          <w:rFonts w:ascii="Arial" w:eastAsia="Calibri" w:hAnsi="Arial" w:cs="Arial"/>
          <w:color w:val="FF0000"/>
          <w:sz w:val="20"/>
          <w:u w:val="single"/>
          <w:lang w:val="en-US"/>
        </w:rPr>
        <w:t xml:space="preserve">the </w:t>
      </w:r>
      <w:r w:rsidRPr="001A4C99">
        <w:rPr>
          <w:rFonts w:ascii="Arial" w:eastAsia="Calibri" w:hAnsi="Arial" w:cs="Arial"/>
          <w:color w:val="FF0000"/>
          <w:sz w:val="20"/>
          <w:u w:val="single"/>
          <w:lang w:val="en-US"/>
        </w:rPr>
        <w:t xml:space="preserve">LSB </w:t>
      </w:r>
      <w:r>
        <w:rPr>
          <w:rFonts w:ascii="Arial" w:eastAsia="Calibri" w:hAnsi="Arial" w:cs="Arial"/>
          <w:color w:val="FF0000"/>
          <w:sz w:val="20"/>
          <w:u w:val="single"/>
          <w:lang w:val="en-US"/>
        </w:rPr>
        <w:t xml:space="preserve">is </w:t>
      </w:r>
      <w:r w:rsidRPr="001A4C99">
        <w:rPr>
          <w:rFonts w:ascii="Arial" w:eastAsia="Calibri" w:hAnsi="Arial" w:cs="Arial"/>
          <w:color w:val="FF0000"/>
          <w:sz w:val="20"/>
          <w:u w:val="single"/>
          <w:lang w:val="en-US"/>
        </w:rPr>
        <w:t>in the lowest number</w:t>
      </w:r>
      <w:r>
        <w:rPr>
          <w:rFonts w:ascii="Arial" w:eastAsia="Calibri" w:hAnsi="Arial" w:cs="Arial"/>
          <w:color w:val="FF0000"/>
          <w:sz w:val="20"/>
          <w:u w:val="single"/>
          <w:lang w:val="en-US"/>
        </w:rPr>
        <w:t>ed</w:t>
      </w:r>
      <w:r w:rsidRPr="001A4C99">
        <w:rPr>
          <w:rFonts w:ascii="Arial" w:eastAsia="Calibri" w:hAnsi="Arial" w:cs="Arial"/>
          <w:color w:val="FF0000"/>
          <w:sz w:val="20"/>
          <w:u w:val="single"/>
          <w:lang w:val="en-US"/>
        </w:rPr>
        <w:t xml:space="preserve"> bit position.</w:t>
      </w:r>
    </w:p>
    <w:p w14:paraId="58100D8C" w14:textId="77777777" w:rsidR="0054291B" w:rsidRDefault="0054291B" w:rsidP="00BE015C">
      <w:pPr>
        <w:spacing w:after="160" w:line="259" w:lineRule="auto"/>
        <w:rPr>
          <w:rFonts w:ascii="Arial" w:eastAsia="Calibri" w:hAnsi="Arial" w:cs="Arial"/>
          <w:b/>
          <w:sz w:val="20"/>
          <w:lang w:val="en-US"/>
        </w:rPr>
      </w:pPr>
      <w:bookmarkStart w:id="0" w:name="_GoBack"/>
      <w:bookmarkEnd w:id="0"/>
    </w:p>
    <w:p w14:paraId="05285BBD" w14:textId="77777777"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14:paraId="7854107D" w14:textId="418EA075" w:rsidR="00E20BEE" w:rsidRPr="001A2687" w:rsidRDefault="00E20BEE" w:rsidP="00E20BEE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="00A135FE">
        <w:rPr>
          <w:b/>
          <w:color w:val="000000"/>
          <w:sz w:val="28"/>
          <w:lang w:val="en-US" w:eastAsia="ko-KR"/>
        </w:rPr>
        <w:t>/D0.2</w:t>
      </w:r>
      <w:r w:rsidR="00CA7041">
        <w:rPr>
          <w:b/>
          <w:color w:val="000000"/>
          <w:sz w:val="28"/>
          <w:lang w:val="en-US" w:eastAsia="ko-KR"/>
        </w:rPr>
        <w:t>, June</w:t>
      </w:r>
      <w:r w:rsidRPr="001A2687">
        <w:rPr>
          <w:b/>
          <w:color w:val="000000"/>
          <w:sz w:val="28"/>
          <w:lang w:val="en-US" w:eastAsia="ko-KR"/>
        </w:rPr>
        <w:t xml:space="preserve"> 2016.</w:t>
      </w:r>
    </w:p>
    <w:sectPr w:rsidR="00E20BEE" w:rsidRPr="001A2687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10B73" w14:textId="77777777" w:rsidR="004B7096" w:rsidRDefault="004B7096">
      <w:r>
        <w:separator/>
      </w:r>
    </w:p>
  </w:endnote>
  <w:endnote w:type="continuationSeparator" w:id="0">
    <w:p w14:paraId="4603DF01" w14:textId="77777777" w:rsidR="004B7096" w:rsidRDefault="004B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77777777" w:rsidR="000B5F29" w:rsidRDefault="004B709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B5F29">
      <w:t>Submission</w:t>
    </w:r>
    <w:r>
      <w:fldChar w:fldCharType="end"/>
    </w:r>
    <w:r w:rsidR="000B5F29">
      <w:tab/>
      <w:t xml:space="preserve">page </w:t>
    </w:r>
    <w:r w:rsidR="000B5F29">
      <w:fldChar w:fldCharType="begin"/>
    </w:r>
    <w:r w:rsidR="000B5F29">
      <w:instrText xml:space="preserve">page </w:instrText>
    </w:r>
    <w:r w:rsidR="000B5F29">
      <w:fldChar w:fldCharType="separate"/>
    </w:r>
    <w:r w:rsidR="00D169FF">
      <w:rPr>
        <w:noProof/>
      </w:rPr>
      <w:t>5</w:t>
    </w:r>
    <w:r w:rsidR="000B5F29">
      <w:rPr>
        <w:noProof/>
      </w:rPr>
      <w:fldChar w:fldCharType="end"/>
    </w:r>
    <w:r w:rsidR="000B5F29">
      <w:tab/>
    </w:r>
    <w:r w:rsidR="000B5F29">
      <w:rPr>
        <w:lang w:eastAsia="ko-KR"/>
      </w:rPr>
      <w:t>Lochan Verma &amp; Sameer Vermani</w:t>
    </w:r>
    <w:r w:rsidR="000B5F29">
      <w:t>, Qualcomm Inc.</w:t>
    </w:r>
  </w:p>
  <w:p w14:paraId="68131EC6" w14:textId="77777777" w:rsidR="000B5F29" w:rsidRDefault="000B5F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D0C64" w14:textId="77777777" w:rsidR="004B7096" w:rsidRDefault="004B7096">
      <w:r>
        <w:separator/>
      </w:r>
    </w:p>
  </w:footnote>
  <w:footnote w:type="continuationSeparator" w:id="0">
    <w:p w14:paraId="78AF23E8" w14:textId="77777777" w:rsidR="004B7096" w:rsidRDefault="004B7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48D88755" w:rsidR="000B5F29" w:rsidRDefault="000B5F2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 2016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4B7096">
      <w:fldChar w:fldCharType="begin"/>
    </w:r>
    <w:r w:rsidR="004B7096">
      <w:instrText xml:space="preserve"> TITLE  \* MERGEFORMAT </w:instrText>
    </w:r>
    <w:r w:rsidR="004B7096">
      <w:fldChar w:fldCharType="separate"/>
    </w:r>
    <w:r w:rsidR="00615CA0">
      <w:t>doc.: IEEE 802.11-16/0915</w:t>
    </w:r>
    <w:r>
      <w:rPr>
        <w:lang w:eastAsia="ko-KR"/>
      </w:rPr>
      <w:t>r</w:t>
    </w:r>
    <w:r w:rsidR="004B7096">
      <w:rPr>
        <w:lang w:eastAsia="ko-KR"/>
      </w:rPr>
      <w:fldChar w:fldCharType="end"/>
    </w:r>
    <w:r w:rsidR="00F35D69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A483E"/>
    <w:multiLevelType w:val="hybridMultilevel"/>
    <w:tmpl w:val="005068E6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5"/>
  </w:num>
  <w:num w:numId="10">
    <w:abstractNumId w:val="4"/>
  </w:num>
  <w:num w:numId="11">
    <w:abstractNumId w:val="9"/>
  </w:num>
  <w:num w:numId="12">
    <w:abstractNumId w:val="11"/>
  </w:num>
  <w:num w:numId="13">
    <w:abstractNumId w:val="3"/>
  </w:num>
  <w:num w:numId="14">
    <w:abstractNumId w:val="2"/>
  </w:num>
  <w:num w:numId="15">
    <w:abstractNumId w:val="13"/>
  </w:num>
  <w:num w:numId="16">
    <w:abstractNumId w:val="12"/>
  </w:num>
  <w:num w:numId="17">
    <w:abstractNumId w:val="17"/>
  </w:num>
  <w:num w:numId="18">
    <w:abstractNumId w:val="12"/>
  </w:num>
  <w:num w:numId="19">
    <w:abstractNumId w:val="17"/>
  </w:num>
  <w:num w:numId="20">
    <w:abstractNumId w:val="18"/>
  </w:num>
  <w:num w:numId="21">
    <w:abstractNumId w:val="6"/>
  </w:num>
  <w:num w:numId="22">
    <w:abstractNumId w:val="14"/>
  </w:num>
  <w:num w:numId="23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0548"/>
    <w:rsid w:val="000013EC"/>
    <w:rsid w:val="0000230D"/>
    <w:rsid w:val="000026B9"/>
    <w:rsid w:val="000027A5"/>
    <w:rsid w:val="00003800"/>
    <w:rsid w:val="000045FA"/>
    <w:rsid w:val="00004E7A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57CC"/>
    <w:rsid w:val="00016D9C"/>
    <w:rsid w:val="00016DE0"/>
    <w:rsid w:val="00017D25"/>
    <w:rsid w:val="0002028F"/>
    <w:rsid w:val="00021A27"/>
    <w:rsid w:val="00022086"/>
    <w:rsid w:val="00023CD8"/>
    <w:rsid w:val="00024344"/>
    <w:rsid w:val="00024487"/>
    <w:rsid w:val="00027D05"/>
    <w:rsid w:val="00031E68"/>
    <w:rsid w:val="00033648"/>
    <w:rsid w:val="00033B0A"/>
    <w:rsid w:val="00034E6F"/>
    <w:rsid w:val="000353B5"/>
    <w:rsid w:val="000358B3"/>
    <w:rsid w:val="00037AD9"/>
    <w:rsid w:val="00037B1A"/>
    <w:rsid w:val="000405C4"/>
    <w:rsid w:val="00040697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60630"/>
    <w:rsid w:val="00063073"/>
    <w:rsid w:val="000642FC"/>
    <w:rsid w:val="0006469A"/>
    <w:rsid w:val="00066421"/>
    <w:rsid w:val="0006732A"/>
    <w:rsid w:val="00070ABB"/>
    <w:rsid w:val="00071971"/>
    <w:rsid w:val="00073BB4"/>
    <w:rsid w:val="000751BD"/>
    <w:rsid w:val="000755D7"/>
    <w:rsid w:val="00075C3C"/>
    <w:rsid w:val="00075E1E"/>
    <w:rsid w:val="00076885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3864"/>
    <w:rsid w:val="00084297"/>
    <w:rsid w:val="000865AA"/>
    <w:rsid w:val="00086780"/>
    <w:rsid w:val="00090640"/>
    <w:rsid w:val="00091349"/>
    <w:rsid w:val="00092971"/>
    <w:rsid w:val="00092AC6"/>
    <w:rsid w:val="00093AD2"/>
    <w:rsid w:val="00093F1F"/>
    <w:rsid w:val="00094FFA"/>
    <w:rsid w:val="0009661D"/>
    <w:rsid w:val="00096697"/>
    <w:rsid w:val="0009713F"/>
    <w:rsid w:val="000A1C31"/>
    <w:rsid w:val="000A1F25"/>
    <w:rsid w:val="000A32F0"/>
    <w:rsid w:val="000A4D1E"/>
    <w:rsid w:val="000A671D"/>
    <w:rsid w:val="000A7680"/>
    <w:rsid w:val="000B041A"/>
    <w:rsid w:val="000B083E"/>
    <w:rsid w:val="000B0DAF"/>
    <w:rsid w:val="000B407E"/>
    <w:rsid w:val="000B50F5"/>
    <w:rsid w:val="000B59FE"/>
    <w:rsid w:val="000B5F29"/>
    <w:rsid w:val="000C1B3F"/>
    <w:rsid w:val="000C29B5"/>
    <w:rsid w:val="000C3186"/>
    <w:rsid w:val="000C3193"/>
    <w:rsid w:val="000C50F5"/>
    <w:rsid w:val="000C54F3"/>
    <w:rsid w:val="000C5EF5"/>
    <w:rsid w:val="000C6A2F"/>
    <w:rsid w:val="000D174A"/>
    <w:rsid w:val="000D1AD4"/>
    <w:rsid w:val="000D276A"/>
    <w:rsid w:val="000D2F1B"/>
    <w:rsid w:val="000D41AE"/>
    <w:rsid w:val="000D4A8F"/>
    <w:rsid w:val="000D5EBD"/>
    <w:rsid w:val="000D674F"/>
    <w:rsid w:val="000E0494"/>
    <w:rsid w:val="000E1085"/>
    <w:rsid w:val="000E1C37"/>
    <w:rsid w:val="000E1D7B"/>
    <w:rsid w:val="000E27EF"/>
    <w:rsid w:val="000E4B82"/>
    <w:rsid w:val="000E4C0E"/>
    <w:rsid w:val="000E6539"/>
    <w:rsid w:val="000E6771"/>
    <w:rsid w:val="000E70CA"/>
    <w:rsid w:val="000E720C"/>
    <w:rsid w:val="000E722B"/>
    <w:rsid w:val="000E752D"/>
    <w:rsid w:val="000F171F"/>
    <w:rsid w:val="000F1EAA"/>
    <w:rsid w:val="000F2258"/>
    <w:rsid w:val="000F238C"/>
    <w:rsid w:val="000F2F7D"/>
    <w:rsid w:val="000F3617"/>
    <w:rsid w:val="000F4937"/>
    <w:rsid w:val="000F5088"/>
    <w:rsid w:val="000F685B"/>
    <w:rsid w:val="000F6BB9"/>
    <w:rsid w:val="000F76F0"/>
    <w:rsid w:val="000F7895"/>
    <w:rsid w:val="001005A8"/>
    <w:rsid w:val="00100937"/>
    <w:rsid w:val="00100E3B"/>
    <w:rsid w:val="001015F8"/>
    <w:rsid w:val="00101868"/>
    <w:rsid w:val="0010469F"/>
    <w:rsid w:val="00105918"/>
    <w:rsid w:val="00106553"/>
    <w:rsid w:val="001101C2"/>
    <w:rsid w:val="001109AA"/>
    <w:rsid w:val="00111F01"/>
    <w:rsid w:val="00112C6A"/>
    <w:rsid w:val="00113B5F"/>
    <w:rsid w:val="00113F20"/>
    <w:rsid w:val="00114B35"/>
    <w:rsid w:val="00114FCA"/>
    <w:rsid w:val="00115A75"/>
    <w:rsid w:val="00115B7B"/>
    <w:rsid w:val="00117299"/>
    <w:rsid w:val="00120298"/>
    <w:rsid w:val="00120BD6"/>
    <w:rsid w:val="001215C0"/>
    <w:rsid w:val="00122191"/>
    <w:rsid w:val="00122325"/>
    <w:rsid w:val="00122D51"/>
    <w:rsid w:val="00122FE9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3757C"/>
    <w:rsid w:val="001420E5"/>
    <w:rsid w:val="001448D8"/>
    <w:rsid w:val="001449D1"/>
    <w:rsid w:val="001450BB"/>
    <w:rsid w:val="001459E7"/>
    <w:rsid w:val="00145C98"/>
    <w:rsid w:val="001460F6"/>
    <w:rsid w:val="00146D19"/>
    <w:rsid w:val="00150F68"/>
    <w:rsid w:val="00151729"/>
    <w:rsid w:val="00151BBE"/>
    <w:rsid w:val="001523EB"/>
    <w:rsid w:val="00154791"/>
    <w:rsid w:val="00154B26"/>
    <w:rsid w:val="001555C0"/>
    <w:rsid w:val="001557CB"/>
    <w:rsid w:val="001559BB"/>
    <w:rsid w:val="00156C4B"/>
    <w:rsid w:val="0015733A"/>
    <w:rsid w:val="0016428D"/>
    <w:rsid w:val="00164438"/>
    <w:rsid w:val="00165BE6"/>
    <w:rsid w:val="00166C49"/>
    <w:rsid w:val="00167101"/>
    <w:rsid w:val="00170292"/>
    <w:rsid w:val="00172489"/>
    <w:rsid w:val="00172DD9"/>
    <w:rsid w:val="001738FD"/>
    <w:rsid w:val="001755EA"/>
    <w:rsid w:val="00175CDF"/>
    <w:rsid w:val="0017659B"/>
    <w:rsid w:val="00176BC6"/>
    <w:rsid w:val="00177BCE"/>
    <w:rsid w:val="001812B0"/>
    <w:rsid w:val="00181423"/>
    <w:rsid w:val="001821E0"/>
    <w:rsid w:val="0018224A"/>
    <w:rsid w:val="00183698"/>
    <w:rsid w:val="00183F4C"/>
    <w:rsid w:val="0018577E"/>
    <w:rsid w:val="00186166"/>
    <w:rsid w:val="001869E8"/>
    <w:rsid w:val="00187129"/>
    <w:rsid w:val="00190187"/>
    <w:rsid w:val="0019164F"/>
    <w:rsid w:val="00192134"/>
    <w:rsid w:val="00192679"/>
    <w:rsid w:val="00192C6E"/>
    <w:rsid w:val="00193C39"/>
    <w:rsid w:val="001943F7"/>
    <w:rsid w:val="001966B7"/>
    <w:rsid w:val="00196B8E"/>
    <w:rsid w:val="00197B92"/>
    <w:rsid w:val="00197BFA"/>
    <w:rsid w:val="001A0BCF"/>
    <w:rsid w:val="001A0CEC"/>
    <w:rsid w:val="001A0EDB"/>
    <w:rsid w:val="001A100B"/>
    <w:rsid w:val="001A1B7C"/>
    <w:rsid w:val="001A1F3C"/>
    <w:rsid w:val="001A2240"/>
    <w:rsid w:val="001A2687"/>
    <w:rsid w:val="001A2CDE"/>
    <w:rsid w:val="001A4C99"/>
    <w:rsid w:val="001A77FD"/>
    <w:rsid w:val="001B0001"/>
    <w:rsid w:val="001B05CC"/>
    <w:rsid w:val="001B252D"/>
    <w:rsid w:val="001B2904"/>
    <w:rsid w:val="001B2AD8"/>
    <w:rsid w:val="001B48E7"/>
    <w:rsid w:val="001B63BC"/>
    <w:rsid w:val="001B7137"/>
    <w:rsid w:val="001C501D"/>
    <w:rsid w:val="001C6CD8"/>
    <w:rsid w:val="001C78D9"/>
    <w:rsid w:val="001C7CCE"/>
    <w:rsid w:val="001D15ED"/>
    <w:rsid w:val="001D1E4B"/>
    <w:rsid w:val="001D2A6C"/>
    <w:rsid w:val="001D328B"/>
    <w:rsid w:val="001D3CA6"/>
    <w:rsid w:val="001D4A93"/>
    <w:rsid w:val="001D52D4"/>
    <w:rsid w:val="001D5F28"/>
    <w:rsid w:val="001D6545"/>
    <w:rsid w:val="001D7529"/>
    <w:rsid w:val="001D7948"/>
    <w:rsid w:val="001D7EDC"/>
    <w:rsid w:val="001E0946"/>
    <w:rsid w:val="001E1001"/>
    <w:rsid w:val="001E15F8"/>
    <w:rsid w:val="001E1C8D"/>
    <w:rsid w:val="001E3195"/>
    <w:rsid w:val="001E32FA"/>
    <w:rsid w:val="001E349E"/>
    <w:rsid w:val="001E4DFC"/>
    <w:rsid w:val="001E52F7"/>
    <w:rsid w:val="001E6267"/>
    <w:rsid w:val="001E6D6A"/>
    <w:rsid w:val="001E7C32"/>
    <w:rsid w:val="001E7E20"/>
    <w:rsid w:val="001F0210"/>
    <w:rsid w:val="001F0891"/>
    <w:rsid w:val="001F10F7"/>
    <w:rsid w:val="001F130D"/>
    <w:rsid w:val="001F13CA"/>
    <w:rsid w:val="001F1570"/>
    <w:rsid w:val="001F1EB4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1F6C36"/>
    <w:rsid w:val="0020013A"/>
    <w:rsid w:val="002002A6"/>
    <w:rsid w:val="0020058A"/>
    <w:rsid w:val="002035EE"/>
    <w:rsid w:val="0020462A"/>
    <w:rsid w:val="002046A1"/>
    <w:rsid w:val="0020501A"/>
    <w:rsid w:val="002063EC"/>
    <w:rsid w:val="00206C7A"/>
    <w:rsid w:val="00206D24"/>
    <w:rsid w:val="00210DDD"/>
    <w:rsid w:val="00211DBE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174DC"/>
    <w:rsid w:val="00217C07"/>
    <w:rsid w:val="00220581"/>
    <w:rsid w:val="002208B9"/>
    <w:rsid w:val="0022139A"/>
    <w:rsid w:val="00222261"/>
    <w:rsid w:val="00222778"/>
    <w:rsid w:val="002239F2"/>
    <w:rsid w:val="00223B55"/>
    <w:rsid w:val="00224133"/>
    <w:rsid w:val="00224D82"/>
    <w:rsid w:val="002251A9"/>
    <w:rsid w:val="00225508"/>
    <w:rsid w:val="00225570"/>
    <w:rsid w:val="0022599C"/>
    <w:rsid w:val="00226ECD"/>
    <w:rsid w:val="00231F3B"/>
    <w:rsid w:val="002323FE"/>
    <w:rsid w:val="00233E60"/>
    <w:rsid w:val="00234C13"/>
    <w:rsid w:val="002369FD"/>
    <w:rsid w:val="00236A7E"/>
    <w:rsid w:val="0023760F"/>
    <w:rsid w:val="00237985"/>
    <w:rsid w:val="00240895"/>
    <w:rsid w:val="00241AD7"/>
    <w:rsid w:val="00245644"/>
    <w:rsid w:val="002470AC"/>
    <w:rsid w:val="0024720B"/>
    <w:rsid w:val="00252D47"/>
    <w:rsid w:val="0025375C"/>
    <w:rsid w:val="002539AB"/>
    <w:rsid w:val="002543E6"/>
    <w:rsid w:val="00255A8B"/>
    <w:rsid w:val="00257E1F"/>
    <w:rsid w:val="002618B9"/>
    <w:rsid w:val="0026229C"/>
    <w:rsid w:val="00262D56"/>
    <w:rsid w:val="00263092"/>
    <w:rsid w:val="0026342D"/>
    <w:rsid w:val="0026408E"/>
    <w:rsid w:val="002662A5"/>
    <w:rsid w:val="002674D1"/>
    <w:rsid w:val="002675CD"/>
    <w:rsid w:val="00270171"/>
    <w:rsid w:val="00270F98"/>
    <w:rsid w:val="00273257"/>
    <w:rsid w:val="00273F9F"/>
    <w:rsid w:val="00273FA9"/>
    <w:rsid w:val="00274A4A"/>
    <w:rsid w:val="002772E5"/>
    <w:rsid w:val="002773F1"/>
    <w:rsid w:val="00281013"/>
    <w:rsid w:val="00281033"/>
    <w:rsid w:val="00281A5D"/>
    <w:rsid w:val="00282053"/>
    <w:rsid w:val="00282EFB"/>
    <w:rsid w:val="002833DD"/>
    <w:rsid w:val="00283DAF"/>
    <w:rsid w:val="00284C5E"/>
    <w:rsid w:val="00287B9F"/>
    <w:rsid w:val="002905B3"/>
    <w:rsid w:val="00291097"/>
    <w:rsid w:val="002919E5"/>
    <w:rsid w:val="00291A10"/>
    <w:rsid w:val="002928E7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3B5"/>
    <w:rsid w:val="002B0983"/>
    <w:rsid w:val="002B5901"/>
    <w:rsid w:val="002B5973"/>
    <w:rsid w:val="002B6896"/>
    <w:rsid w:val="002C271D"/>
    <w:rsid w:val="002C2A2B"/>
    <w:rsid w:val="002C49D8"/>
    <w:rsid w:val="002C5EB9"/>
    <w:rsid w:val="002C6B4F"/>
    <w:rsid w:val="002C6CFB"/>
    <w:rsid w:val="002C72E1"/>
    <w:rsid w:val="002D001B"/>
    <w:rsid w:val="002D1D40"/>
    <w:rsid w:val="002D1F74"/>
    <w:rsid w:val="002D3073"/>
    <w:rsid w:val="002D518F"/>
    <w:rsid w:val="002D5D5C"/>
    <w:rsid w:val="002D6F6A"/>
    <w:rsid w:val="002D7944"/>
    <w:rsid w:val="002D7ED5"/>
    <w:rsid w:val="002E1B18"/>
    <w:rsid w:val="002E1BD4"/>
    <w:rsid w:val="002E2017"/>
    <w:rsid w:val="002E3403"/>
    <w:rsid w:val="002E340A"/>
    <w:rsid w:val="002E6FF6"/>
    <w:rsid w:val="002F0915"/>
    <w:rsid w:val="002F0CA0"/>
    <w:rsid w:val="002F1269"/>
    <w:rsid w:val="002F25B2"/>
    <w:rsid w:val="002F279E"/>
    <w:rsid w:val="002F2BC5"/>
    <w:rsid w:val="002F2E8E"/>
    <w:rsid w:val="002F376B"/>
    <w:rsid w:val="002F47F4"/>
    <w:rsid w:val="002F499D"/>
    <w:rsid w:val="002F50E3"/>
    <w:rsid w:val="002F5C8C"/>
    <w:rsid w:val="002F6541"/>
    <w:rsid w:val="002F7199"/>
    <w:rsid w:val="002F7D11"/>
    <w:rsid w:val="0030034E"/>
    <w:rsid w:val="0030081B"/>
    <w:rsid w:val="003008A0"/>
    <w:rsid w:val="003021B7"/>
    <w:rsid w:val="003024ED"/>
    <w:rsid w:val="0030268D"/>
    <w:rsid w:val="003034AC"/>
    <w:rsid w:val="0030382C"/>
    <w:rsid w:val="00304CD2"/>
    <w:rsid w:val="00305159"/>
    <w:rsid w:val="00305D12"/>
    <w:rsid w:val="00305D6E"/>
    <w:rsid w:val="0030782E"/>
    <w:rsid w:val="00307F5F"/>
    <w:rsid w:val="00313CB2"/>
    <w:rsid w:val="003143D6"/>
    <w:rsid w:val="003144D3"/>
    <w:rsid w:val="00315B1A"/>
    <w:rsid w:val="00315B52"/>
    <w:rsid w:val="00315DE7"/>
    <w:rsid w:val="00317A7D"/>
    <w:rsid w:val="00320ED2"/>
    <w:rsid w:val="003214E2"/>
    <w:rsid w:val="003222DD"/>
    <w:rsid w:val="00322F99"/>
    <w:rsid w:val="003231DA"/>
    <w:rsid w:val="0032433D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4DEA"/>
    <w:rsid w:val="00336F5F"/>
    <w:rsid w:val="00343554"/>
    <w:rsid w:val="003449F9"/>
    <w:rsid w:val="00344DA5"/>
    <w:rsid w:val="00345650"/>
    <w:rsid w:val="0034581F"/>
    <w:rsid w:val="0034592B"/>
    <w:rsid w:val="00346E5B"/>
    <w:rsid w:val="003479E4"/>
    <w:rsid w:val="00347C43"/>
    <w:rsid w:val="00350CA7"/>
    <w:rsid w:val="003515B8"/>
    <w:rsid w:val="0035213C"/>
    <w:rsid w:val="00352DC1"/>
    <w:rsid w:val="00355254"/>
    <w:rsid w:val="0035591D"/>
    <w:rsid w:val="00355B56"/>
    <w:rsid w:val="00356265"/>
    <w:rsid w:val="00357F36"/>
    <w:rsid w:val="00360C87"/>
    <w:rsid w:val="003622ED"/>
    <w:rsid w:val="00362BFB"/>
    <w:rsid w:val="00362C5B"/>
    <w:rsid w:val="003640D1"/>
    <w:rsid w:val="00366AF0"/>
    <w:rsid w:val="00366D58"/>
    <w:rsid w:val="003678EE"/>
    <w:rsid w:val="003713CA"/>
    <w:rsid w:val="00371E4A"/>
    <w:rsid w:val="0037201A"/>
    <w:rsid w:val="003724BD"/>
    <w:rsid w:val="003729FC"/>
    <w:rsid w:val="00372FCA"/>
    <w:rsid w:val="0037319C"/>
    <w:rsid w:val="00373D57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516A"/>
    <w:rsid w:val="00385654"/>
    <w:rsid w:val="00385FD6"/>
    <w:rsid w:val="0038601E"/>
    <w:rsid w:val="00387A77"/>
    <w:rsid w:val="003906A1"/>
    <w:rsid w:val="00391845"/>
    <w:rsid w:val="003924F8"/>
    <w:rsid w:val="003945E3"/>
    <w:rsid w:val="00395A50"/>
    <w:rsid w:val="0039787F"/>
    <w:rsid w:val="003A147C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2DF"/>
    <w:rsid w:val="003A478D"/>
    <w:rsid w:val="003A5BFF"/>
    <w:rsid w:val="003A6244"/>
    <w:rsid w:val="003A6AC1"/>
    <w:rsid w:val="003A742A"/>
    <w:rsid w:val="003A74EB"/>
    <w:rsid w:val="003A7B64"/>
    <w:rsid w:val="003B03CE"/>
    <w:rsid w:val="003B0978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4B4D"/>
    <w:rsid w:val="003C56D8"/>
    <w:rsid w:val="003C58AE"/>
    <w:rsid w:val="003C6D45"/>
    <w:rsid w:val="003C74FF"/>
    <w:rsid w:val="003D0004"/>
    <w:rsid w:val="003D0525"/>
    <w:rsid w:val="003D1D90"/>
    <w:rsid w:val="003D26A5"/>
    <w:rsid w:val="003D3623"/>
    <w:rsid w:val="003D3F93"/>
    <w:rsid w:val="003D4734"/>
    <w:rsid w:val="003D5013"/>
    <w:rsid w:val="003D559C"/>
    <w:rsid w:val="003D5F14"/>
    <w:rsid w:val="003D65C7"/>
    <w:rsid w:val="003D664E"/>
    <w:rsid w:val="003D77A3"/>
    <w:rsid w:val="003D78F7"/>
    <w:rsid w:val="003E29E2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6F7B"/>
    <w:rsid w:val="003E7414"/>
    <w:rsid w:val="003E7B8A"/>
    <w:rsid w:val="003E7F99"/>
    <w:rsid w:val="003F1281"/>
    <w:rsid w:val="003F2B96"/>
    <w:rsid w:val="003F2D6C"/>
    <w:rsid w:val="003F6B76"/>
    <w:rsid w:val="003F793B"/>
    <w:rsid w:val="00400D6B"/>
    <w:rsid w:val="004010D0"/>
    <w:rsid w:val="004014AE"/>
    <w:rsid w:val="00403271"/>
    <w:rsid w:val="00403645"/>
    <w:rsid w:val="00403B13"/>
    <w:rsid w:val="00403F46"/>
    <w:rsid w:val="00404B8C"/>
    <w:rsid w:val="004051EE"/>
    <w:rsid w:val="00407C5B"/>
    <w:rsid w:val="004110BE"/>
    <w:rsid w:val="0041147F"/>
    <w:rsid w:val="00411A99"/>
    <w:rsid w:val="00411C03"/>
    <w:rsid w:val="00411E59"/>
    <w:rsid w:val="004123DA"/>
    <w:rsid w:val="0041562C"/>
    <w:rsid w:val="00415C55"/>
    <w:rsid w:val="0041745A"/>
    <w:rsid w:val="004209D5"/>
    <w:rsid w:val="00421159"/>
    <w:rsid w:val="00421A46"/>
    <w:rsid w:val="00422546"/>
    <w:rsid w:val="00422A0F"/>
    <w:rsid w:val="00422D5C"/>
    <w:rsid w:val="00423116"/>
    <w:rsid w:val="00423634"/>
    <w:rsid w:val="004270C7"/>
    <w:rsid w:val="0042760E"/>
    <w:rsid w:val="00430648"/>
    <w:rsid w:val="00430E74"/>
    <w:rsid w:val="00432069"/>
    <w:rsid w:val="004332BB"/>
    <w:rsid w:val="004339CB"/>
    <w:rsid w:val="00435208"/>
    <w:rsid w:val="00435703"/>
    <w:rsid w:val="00437814"/>
    <w:rsid w:val="004402C9"/>
    <w:rsid w:val="00440A54"/>
    <w:rsid w:val="00440B42"/>
    <w:rsid w:val="00440FF1"/>
    <w:rsid w:val="004413CB"/>
    <w:rsid w:val="004417F2"/>
    <w:rsid w:val="00442799"/>
    <w:rsid w:val="00443A9D"/>
    <w:rsid w:val="00443FBF"/>
    <w:rsid w:val="004452DF"/>
    <w:rsid w:val="004507E7"/>
    <w:rsid w:val="0045084E"/>
    <w:rsid w:val="00450CC0"/>
    <w:rsid w:val="00451160"/>
    <w:rsid w:val="0045288D"/>
    <w:rsid w:val="00453127"/>
    <w:rsid w:val="004535CB"/>
    <w:rsid w:val="00453A44"/>
    <w:rsid w:val="00457028"/>
    <w:rsid w:val="00457E3B"/>
    <w:rsid w:val="00457FA3"/>
    <w:rsid w:val="00457FDC"/>
    <w:rsid w:val="00461C2E"/>
    <w:rsid w:val="00462172"/>
    <w:rsid w:val="004625C3"/>
    <w:rsid w:val="00466B33"/>
    <w:rsid w:val="00466EEB"/>
    <w:rsid w:val="004721EF"/>
    <w:rsid w:val="0047267B"/>
    <w:rsid w:val="00472EA0"/>
    <w:rsid w:val="00474E8B"/>
    <w:rsid w:val="00475A71"/>
    <w:rsid w:val="00475D9E"/>
    <w:rsid w:val="00476F40"/>
    <w:rsid w:val="00476FD4"/>
    <w:rsid w:val="004804A4"/>
    <w:rsid w:val="004821A5"/>
    <w:rsid w:val="004828D5"/>
    <w:rsid w:val="00482AD0"/>
    <w:rsid w:val="00482AF6"/>
    <w:rsid w:val="004841EB"/>
    <w:rsid w:val="00484651"/>
    <w:rsid w:val="00484CF4"/>
    <w:rsid w:val="00486EB3"/>
    <w:rsid w:val="00487778"/>
    <w:rsid w:val="00491CAF"/>
    <w:rsid w:val="004921DA"/>
    <w:rsid w:val="00492A82"/>
    <w:rsid w:val="004940D8"/>
    <w:rsid w:val="0049468A"/>
    <w:rsid w:val="00494F9B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0BC9"/>
    <w:rsid w:val="004B14F5"/>
    <w:rsid w:val="004B2117"/>
    <w:rsid w:val="004B2974"/>
    <w:rsid w:val="004B493F"/>
    <w:rsid w:val="004B4E15"/>
    <w:rsid w:val="004B50D6"/>
    <w:rsid w:val="004B6067"/>
    <w:rsid w:val="004B7096"/>
    <w:rsid w:val="004B7780"/>
    <w:rsid w:val="004C0BD8"/>
    <w:rsid w:val="004C0D4F"/>
    <w:rsid w:val="004C0F0A"/>
    <w:rsid w:val="004C12CE"/>
    <w:rsid w:val="004C3C2A"/>
    <w:rsid w:val="004C3CFD"/>
    <w:rsid w:val="004C7042"/>
    <w:rsid w:val="004C7CE0"/>
    <w:rsid w:val="004D03A1"/>
    <w:rsid w:val="004D0487"/>
    <w:rsid w:val="004D071D"/>
    <w:rsid w:val="004D0CE4"/>
    <w:rsid w:val="004D0DAE"/>
    <w:rsid w:val="004D0F1C"/>
    <w:rsid w:val="004D2D75"/>
    <w:rsid w:val="004D37A1"/>
    <w:rsid w:val="004D4671"/>
    <w:rsid w:val="004D49E7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40E9"/>
    <w:rsid w:val="004E4538"/>
    <w:rsid w:val="004E46DF"/>
    <w:rsid w:val="004E4B5B"/>
    <w:rsid w:val="004E66C3"/>
    <w:rsid w:val="004E7E34"/>
    <w:rsid w:val="004F0AC7"/>
    <w:rsid w:val="004F0CB7"/>
    <w:rsid w:val="004F1733"/>
    <w:rsid w:val="004F1A47"/>
    <w:rsid w:val="004F22BE"/>
    <w:rsid w:val="004F3A00"/>
    <w:rsid w:val="004F4564"/>
    <w:rsid w:val="004F4BBB"/>
    <w:rsid w:val="004F5A90"/>
    <w:rsid w:val="004F74F8"/>
    <w:rsid w:val="005001E7"/>
    <w:rsid w:val="005004EC"/>
    <w:rsid w:val="0050128F"/>
    <w:rsid w:val="00501D5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588E"/>
    <w:rsid w:val="005167F8"/>
    <w:rsid w:val="005175EF"/>
    <w:rsid w:val="00517ED6"/>
    <w:rsid w:val="00520236"/>
    <w:rsid w:val="00520B8C"/>
    <w:rsid w:val="0052151C"/>
    <w:rsid w:val="00521FF4"/>
    <w:rsid w:val="00522A49"/>
    <w:rsid w:val="005230FA"/>
    <w:rsid w:val="005235B6"/>
    <w:rsid w:val="005243B4"/>
    <w:rsid w:val="005252E1"/>
    <w:rsid w:val="005260D8"/>
    <w:rsid w:val="00526970"/>
    <w:rsid w:val="00527489"/>
    <w:rsid w:val="00527BB3"/>
    <w:rsid w:val="00530C5C"/>
    <w:rsid w:val="00531734"/>
    <w:rsid w:val="00531992"/>
    <w:rsid w:val="0053254A"/>
    <w:rsid w:val="0053566B"/>
    <w:rsid w:val="005363F9"/>
    <w:rsid w:val="0053691C"/>
    <w:rsid w:val="0053731F"/>
    <w:rsid w:val="00540622"/>
    <w:rsid w:val="00540657"/>
    <w:rsid w:val="00540A28"/>
    <w:rsid w:val="0054235E"/>
    <w:rsid w:val="0054291B"/>
    <w:rsid w:val="00543CCF"/>
    <w:rsid w:val="0054425D"/>
    <w:rsid w:val="005442D3"/>
    <w:rsid w:val="00544597"/>
    <w:rsid w:val="00544B61"/>
    <w:rsid w:val="00553C7D"/>
    <w:rsid w:val="0055429B"/>
    <w:rsid w:val="0055459B"/>
    <w:rsid w:val="005546A4"/>
    <w:rsid w:val="00554995"/>
    <w:rsid w:val="00554EEF"/>
    <w:rsid w:val="005555B2"/>
    <w:rsid w:val="00557153"/>
    <w:rsid w:val="00562627"/>
    <w:rsid w:val="00563B85"/>
    <w:rsid w:val="00565751"/>
    <w:rsid w:val="005673F3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164B"/>
    <w:rsid w:val="005821D7"/>
    <w:rsid w:val="00583212"/>
    <w:rsid w:val="00583E50"/>
    <w:rsid w:val="005848F8"/>
    <w:rsid w:val="00585D8F"/>
    <w:rsid w:val="00586072"/>
    <w:rsid w:val="0058644C"/>
    <w:rsid w:val="00586FCB"/>
    <w:rsid w:val="00587806"/>
    <w:rsid w:val="00587F10"/>
    <w:rsid w:val="00591351"/>
    <w:rsid w:val="00591F64"/>
    <w:rsid w:val="00596243"/>
    <w:rsid w:val="00596413"/>
    <w:rsid w:val="00596B6A"/>
    <w:rsid w:val="00597451"/>
    <w:rsid w:val="005A16CF"/>
    <w:rsid w:val="005A1A3D"/>
    <w:rsid w:val="005A23DB"/>
    <w:rsid w:val="005A2ECA"/>
    <w:rsid w:val="005A2FB5"/>
    <w:rsid w:val="005A3CEA"/>
    <w:rsid w:val="005A4504"/>
    <w:rsid w:val="005A624A"/>
    <w:rsid w:val="005A6BC3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68D2"/>
    <w:rsid w:val="005B6C67"/>
    <w:rsid w:val="005B727A"/>
    <w:rsid w:val="005C062B"/>
    <w:rsid w:val="005C0CBC"/>
    <w:rsid w:val="005C2D66"/>
    <w:rsid w:val="005C4204"/>
    <w:rsid w:val="005C45E7"/>
    <w:rsid w:val="005C6389"/>
    <w:rsid w:val="005C6554"/>
    <w:rsid w:val="005C6823"/>
    <w:rsid w:val="005D0C43"/>
    <w:rsid w:val="005D1461"/>
    <w:rsid w:val="005D203C"/>
    <w:rsid w:val="005D293F"/>
    <w:rsid w:val="005D2DE8"/>
    <w:rsid w:val="005D33B5"/>
    <w:rsid w:val="005D397D"/>
    <w:rsid w:val="005D3D5E"/>
    <w:rsid w:val="005D3F28"/>
    <w:rsid w:val="005D5C6E"/>
    <w:rsid w:val="005D645B"/>
    <w:rsid w:val="005D6910"/>
    <w:rsid w:val="005D74B0"/>
    <w:rsid w:val="005D7951"/>
    <w:rsid w:val="005E2305"/>
    <w:rsid w:val="005E23A9"/>
    <w:rsid w:val="005E2949"/>
    <w:rsid w:val="005E3E49"/>
    <w:rsid w:val="005E4E9C"/>
    <w:rsid w:val="005E58D3"/>
    <w:rsid w:val="005E768D"/>
    <w:rsid w:val="005E7B13"/>
    <w:rsid w:val="005F00B1"/>
    <w:rsid w:val="005F00E7"/>
    <w:rsid w:val="005F0CDE"/>
    <w:rsid w:val="005F19DD"/>
    <w:rsid w:val="005F23B2"/>
    <w:rsid w:val="005F4AD8"/>
    <w:rsid w:val="005F5ADA"/>
    <w:rsid w:val="005F695C"/>
    <w:rsid w:val="005F705A"/>
    <w:rsid w:val="005F71B8"/>
    <w:rsid w:val="005F7C51"/>
    <w:rsid w:val="00600A10"/>
    <w:rsid w:val="006022D5"/>
    <w:rsid w:val="00610293"/>
    <w:rsid w:val="006104BB"/>
    <w:rsid w:val="006111B6"/>
    <w:rsid w:val="006117D4"/>
    <w:rsid w:val="00611897"/>
    <w:rsid w:val="00612605"/>
    <w:rsid w:val="00613F53"/>
    <w:rsid w:val="00615CA0"/>
    <w:rsid w:val="00615E8C"/>
    <w:rsid w:val="00616288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27EB"/>
    <w:rsid w:val="00633A8F"/>
    <w:rsid w:val="006343BA"/>
    <w:rsid w:val="006346CB"/>
    <w:rsid w:val="00635200"/>
    <w:rsid w:val="006362D2"/>
    <w:rsid w:val="00636633"/>
    <w:rsid w:val="00637D47"/>
    <w:rsid w:val="006405E4"/>
    <w:rsid w:val="006416FF"/>
    <w:rsid w:val="00643DE9"/>
    <w:rsid w:val="006449BB"/>
    <w:rsid w:val="00644E29"/>
    <w:rsid w:val="0064582B"/>
    <w:rsid w:val="006458EA"/>
    <w:rsid w:val="0064617E"/>
    <w:rsid w:val="00646871"/>
    <w:rsid w:val="006512AD"/>
    <w:rsid w:val="00651442"/>
    <w:rsid w:val="00651FCD"/>
    <w:rsid w:val="0065264D"/>
    <w:rsid w:val="006548B7"/>
    <w:rsid w:val="00654B3B"/>
    <w:rsid w:val="00654E65"/>
    <w:rsid w:val="00656882"/>
    <w:rsid w:val="00656BB9"/>
    <w:rsid w:val="00657061"/>
    <w:rsid w:val="00657363"/>
    <w:rsid w:val="00657DBD"/>
    <w:rsid w:val="00660ACE"/>
    <w:rsid w:val="00662343"/>
    <w:rsid w:val="0066236B"/>
    <w:rsid w:val="0066483B"/>
    <w:rsid w:val="00664CCC"/>
    <w:rsid w:val="00666B90"/>
    <w:rsid w:val="00667D96"/>
    <w:rsid w:val="0067069C"/>
    <w:rsid w:val="00671F29"/>
    <w:rsid w:val="0067305F"/>
    <w:rsid w:val="00673E73"/>
    <w:rsid w:val="00674382"/>
    <w:rsid w:val="00674986"/>
    <w:rsid w:val="00674B13"/>
    <w:rsid w:val="0067737F"/>
    <w:rsid w:val="00680308"/>
    <w:rsid w:val="00680634"/>
    <w:rsid w:val="006813E4"/>
    <w:rsid w:val="0068174A"/>
    <w:rsid w:val="0068276E"/>
    <w:rsid w:val="0068429C"/>
    <w:rsid w:val="0068438F"/>
    <w:rsid w:val="00685816"/>
    <w:rsid w:val="006861D2"/>
    <w:rsid w:val="00687476"/>
    <w:rsid w:val="00687A6F"/>
    <w:rsid w:val="00687EF9"/>
    <w:rsid w:val="0069038E"/>
    <w:rsid w:val="00690EB5"/>
    <w:rsid w:val="006925B5"/>
    <w:rsid w:val="00694B68"/>
    <w:rsid w:val="0069501E"/>
    <w:rsid w:val="00696C79"/>
    <w:rsid w:val="006976B8"/>
    <w:rsid w:val="00697D9C"/>
    <w:rsid w:val="006A1A0A"/>
    <w:rsid w:val="006A3117"/>
    <w:rsid w:val="006A3A0E"/>
    <w:rsid w:val="006A3EB3"/>
    <w:rsid w:val="006A433F"/>
    <w:rsid w:val="006A4F60"/>
    <w:rsid w:val="006A503E"/>
    <w:rsid w:val="006A59BC"/>
    <w:rsid w:val="006A67EB"/>
    <w:rsid w:val="006A6A83"/>
    <w:rsid w:val="006A790E"/>
    <w:rsid w:val="006A7F86"/>
    <w:rsid w:val="006B2139"/>
    <w:rsid w:val="006C0178"/>
    <w:rsid w:val="006C063A"/>
    <w:rsid w:val="006C1785"/>
    <w:rsid w:val="006C1FA8"/>
    <w:rsid w:val="006C208E"/>
    <w:rsid w:val="006C2C97"/>
    <w:rsid w:val="006C3C41"/>
    <w:rsid w:val="006C5695"/>
    <w:rsid w:val="006D26BC"/>
    <w:rsid w:val="006D3377"/>
    <w:rsid w:val="006D3E5E"/>
    <w:rsid w:val="006D4C00"/>
    <w:rsid w:val="006D5362"/>
    <w:rsid w:val="006D6DCA"/>
    <w:rsid w:val="006D79F7"/>
    <w:rsid w:val="006D7EB0"/>
    <w:rsid w:val="006E1323"/>
    <w:rsid w:val="006E181A"/>
    <w:rsid w:val="006E21CA"/>
    <w:rsid w:val="006E2D44"/>
    <w:rsid w:val="006E6EBE"/>
    <w:rsid w:val="006E753D"/>
    <w:rsid w:val="006F1498"/>
    <w:rsid w:val="006F14CD"/>
    <w:rsid w:val="006F241A"/>
    <w:rsid w:val="006F36A8"/>
    <w:rsid w:val="006F3DD4"/>
    <w:rsid w:val="006F4E04"/>
    <w:rsid w:val="006F6E4C"/>
    <w:rsid w:val="00700354"/>
    <w:rsid w:val="007005D5"/>
    <w:rsid w:val="00702CA2"/>
    <w:rsid w:val="00703928"/>
    <w:rsid w:val="007045BD"/>
    <w:rsid w:val="007046F5"/>
    <w:rsid w:val="00704E38"/>
    <w:rsid w:val="007069D9"/>
    <w:rsid w:val="00711472"/>
    <w:rsid w:val="00711E05"/>
    <w:rsid w:val="007121E9"/>
    <w:rsid w:val="00714DE0"/>
    <w:rsid w:val="007164A7"/>
    <w:rsid w:val="00716DFF"/>
    <w:rsid w:val="007201B1"/>
    <w:rsid w:val="00721A60"/>
    <w:rsid w:val="007220CF"/>
    <w:rsid w:val="00722163"/>
    <w:rsid w:val="007223A2"/>
    <w:rsid w:val="00723821"/>
    <w:rsid w:val="007247F4"/>
    <w:rsid w:val="00724942"/>
    <w:rsid w:val="007257AC"/>
    <w:rsid w:val="0072612D"/>
    <w:rsid w:val="00727341"/>
    <w:rsid w:val="00727426"/>
    <w:rsid w:val="00727E1D"/>
    <w:rsid w:val="00731808"/>
    <w:rsid w:val="0073465E"/>
    <w:rsid w:val="00734AC1"/>
    <w:rsid w:val="00734C35"/>
    <w:rsid w:val="00734F1A"/>
    <w:rsid w:val="007355B7"/>
    <w:rsid w:val="00736065"/>
    <w:rsid w:val="00736C8F"/>
    <w:rsid w:val="00737442"/>
    <w:rsid w:val="0074006F"/>
    <w:rsid w:val="00741D75"/>
    <w:rsid w:val="007421CA"/>
    <w:rsid w:val="00742EC9"/>
    <w:rsid w:val="007433F4"/>
    <w:rsid w:val="00745008"/>
    <w:rsid w:val="0074621F"/>
    <w:rsid w:val="007463FB"/>
    <w:rsid w:val="007513CD"/>
    <w:rsid w:val="00751F14"/>
    <w:rsid w:val="00752588"/>
    <w:rsid w:val="00752D8F"/>
    <w:rsid w:val="007540EC"/>
    <w:rsid w:val="007546E8"/>
    <w:rsid w:val="007546F3"/>
    <w:rsid w:val="00755880"/>
    <w:rsid w:val="00755D22"/>
    <w:rsid w:val="0075660F"/>
    <w:rsid w:val="0075696F"/>
    <w:rsid w:val="007571C4"/>
    <w:rsid w:val="007574F6"/>
    <w:rsid w:val="00760099"/>
    <w:rsid w:val="00760685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2027"/>
    <w:rsid w:val="0077584D"/>
    <w:rsid w:val="00775DC4"/>
    <w:rsid w:val="00777246"/>
    <w:rsid w:val="0077797F"/>
    <w:rsid w:val="0078150F"/>
    <w:rsid w:val="00783B46"/>
    <w:rsid w:val="00784800"/>
    <w:rsid w:val="00786A15"/>
    <w:rsid w:val="00786FD9"/>
    <w:rsid w:val="007904E0"/>
    <w:rsid w:val="00790C55"/>
    <w:rsid w:val="00790E01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D42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B682A"/>
    <w:rsid w:val="007C06AB"/>
    <w:rsid w:val="007C0795"/>
    <w:rsid w:val="007C13AC"/>
    <w:rsid w:val="007C14AD"/>
    <w:rsid w:val="007C4EF1"/>
    <w:rsid w:val="007C6C61"/>
    <w:rsid w:val="007D08BB"/>
    <w:rsid w:val="007D1085"/>
    <w:rsid w:val="007D127F"/>
    <w:rsid w:val="007D1926"/>
    <w:rsid w:val="007D22BE"/>
    <w:rsid w:val="007D25CF"/>
    <w:rsid w:val="007D3C15"/>
    <w:rsid w:val="007D495A"/>
    <w:rsid w:val="007D4D44"/>
    <w:rsid w:val="007D50FF"/>
    <w:rsid w:val="007D5668"/>
    <w:rsid w:val="007D58A9"/>
    <w:rsid w:val="007D6B5D"/>
    <w:rsid w:val="007D7265"/>
    <w:rsid w:val="007D73E8"/>
    <w:rsid w:val="007D7FFC"/>
    <w:rsid w:val="007E0A1D"/>
    <w:rsid w:val="007E20FF"/>
    <w:rsid w:val="007E21DF"/>
    <w:rsid w:val="007E362C"/>
    <w:rsid w:val="007E41CB"/>
    <w:rsid w:val="007E5479"/>
    <w:rsid w:val="007E5F8E"/>
    <w:rsid w:val="007E79A4"/>
    <w:rsid w:val="007F072E"/>
    <w:rsid w:val="007F2366"/>
    <w:rsid w:val="007F6EC7"/>
    <w:rsid w:val="007F75A8"/>
    <w:rsid w:val="007F768F"/>
    <w:rsid w:val="007F7E00"/>
    <w:rsid w:val="007F7EA7"/>
    <w:rsid w:val="00800B72"/>
    <w:rsid w:val="00802FC5"/>
    <w:rsid w:val="00803BD1"/>
    <w:rsid w:val="00803FD0"/>
    <w:rsid w:val="00804590"/>
    <w:rsid w:val="0080576E"/>
    <w:rsid w:val="008077DC"/>
    <w:rsid w:val="0081078F"/>
    <w:rsid w:val="008117FD"/>
    <w:rsid w:val="008121A6"/>
    <w:rsid w:val="00812782"/>
    <w:rsid w:val="00812FF3"/>
    <w:rsid w:val="008138C1"/>
    <w:rsid w:val="00813F18"/>
    <w:rsid w:val="008143CA"/>
    <w:rsid w:val="00815DA5"/>
    <w:rsid w:val="00816255"/>
    <w:rsid w:val="00816A54"/>
    <w:rsid w:val="00816B48"/>
    <w:rsid w:val="00817CE8"/>
    <w:rsid w:val="008204A2"/>
    <w:rsid w:val="008208CB"/>
    <w:rsid w:val="00820B60"/>
    <w:rsid w:val="00821363"/>
    <w:rsid w:val="00822070"/>
    <w:rsid w:val="00822142"/>
    <w:rsid w:val="00822EA3"/>
    <w:rsid w:val="0082437A"/>
    <w:rsid w:val="008254E5"/>
    <w:rsid w:val="00830ACB"/>
    <w:rsid w:val="0083127F"/>
    <w:rsid w:val="008312B9"/>
    <w:rsid w:val="00831EDC"/>
    <w:rsid w:val="00832700"/>
    <w:rsid w:val="00832898"/>
    <w:rsid w:val="00835499"/>
    <w:rsid w:val="00835A0A"/>
    <w:rsid w:val="00835ECD"/>
    <w:rsid w:val="008369E5"/>
    <w:rsid w:val="0083702D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2936"/>
    <w:rsid w:val="008652DF"/>
    <w:rsid w:val="008671C0"/>
    <w:rsid w:val="0086745D"/>
    <w:rsid w:val="00870BF0"/>
    <w:rsid w:val="008716D8"/>
    <w:rsid w:val="0087408A"/>
    <w:rsid w:val="00875777"/>
    <w:rsid w:val="00875ABA"/>
    <w:rsid w:val="008771D6"/>
    <w:rsid w:val="00877226"/>
    <w:rsid w:val="008776B0"/>
    <w:rsid w:val="0088012D"/>
    <w:rsid w:val="00881C47"/>
    <w:rsid w:val="008831D9"/>
    <w:rsid w:val="00883C02"/>
    <w:rsid w:val="008840EE"/>
    <w:rsid w:val="00884237"/>
    <w:rsid w:val="008846E8"/>
    <w:rsid w:val="00887583"/>
    <w:rsid w:val="00891445"/>
    <w:rsid w:val="00891C55"/>
    <w:rsid w:val="00892639"/>
    <w:rsid w:val="00892781"/>
    <w:rsid w:val="0089304F"/>
    <w:rsid w:val="008939BF"/>
    <w:rsid w:val="00895A01"/>
    <w:rsid w:val="00895A28"/>
    <w:rsid w:val="00897183"/>
    <w:rsid w:val="008A2992"/>
    <w:rsid w:val="008A3A60"/>
    <w:rsid w:val="008A4593"/>
    <w:rsid w:val="008A46D9"/>
    <w:rsid w:val="008A5AFD"/>
    <w:rsid w:val="008A6CD4"/>
    <w:rsid w:val="008A788A"/>
    <w:rsid w:val="008B3EFA"/>
    <w:rsid w:val="008B47B4"/>
    <w:rsid w:val="008B5396"/>
    <w:rsid w:val="008B581F"/>
    <w:rsid w:val="008B7E0A"/>
    <w:rsid w:val="008C054A"/>
    <w:rsid w:val="008C0FD0"/>
    <w:rsid w:val="008C2CF3"/>
    <w:rsid w:val="008C3418"/>
    <w:rsid w:val="008C3808"/>
    <w:rsid w:val="008C4913"/>
    <w:rsid w:val="008C4989"/>
    <w:rsid w:val="008C4A27"/>
    <w:rsid w:val="008C4AB5"/>
    <w:rsid w:val="008C4B46"/>
    <w:rsid w:val="008C5478"/>
    <w:rsid w:val="008C54F6"/>
    <w:rsid w:val="008C57E5"/>
    <w:rsid w:val="008C5AD6"/>
    <w:rsid w:val="008C5D4E"/>
    <w:rsid w:val="008C607E"/>
    <w:rsid w:val="008C66EE"/>
    <w:rsid w:val="008C6D0D"/>
    <w:rsid w:val="008C6F09"/>
    <w:rsid w:val="008C7A4B"/>
    <w:rsid w:val="008D0C05"/>
    <w:rsid w:val="008D314B"/>
    <w:rsid w:val="008D4B57"/>
    <w:rsid w:val="008D668D"/>
    <w:rsid w:val="008D71CE"/>
    <w:rsid w:val="008D758C"/>
    <w:rsid w:val="008E0651"/>
    <w:rsid w:val="008E0E94"/>
    <w:rsid w:val="008E1234"/>
    <w:rsid w:val="008E197A"/>
    <w:rsid w:val="008E1D8F"/>
    <w:rsid w:val="008E444B"/>
    <w:rsid w:val="008E5787"/>
    <w:rsid w:val="008E5BF1"/>
    <w:rsid w:val="008E6CB4"/>
    <w:rsid w:val="008F039B"/>
    <w:rsid w:val="008F1C67"/>
    <w:rsid w:val="008F238D"/>
    <w:rsid w:val="008F2611"/>
    <w:rsid w:val="008F4312"/>
    <w:rsid w:val="008F6C42"/>
    <w:rsid w:val="008F7429"/>
    <w:rsid w:val="0090328C"/>
    <w:rsid w:val="00903880"/>
    <w:rsid w:val="00904C65"/>
    <w:rsid w:val="009057D2"/>
    <w:rsid w:val="00905A7F"/>
    <w:rsid w:val="00905EB6"/>
    <w:rsid w:val="00906247"/>
    <w:rsid w:val="009064A2"/>
    <w:rsid w:val="0090694C"/>
    <w:rsid w:val="00906DEE"/>
    <w:rsid w:val="00910F8F"/>
    <w:rsid w:val="0091118D"/>
    <w:rsid w:val="0091261A"/>
    <w:rsid w:val="009130B5"/>
    <w:rsid w:val="00914B92"/>
    <w:rsid w:val="0091500C"/>
    <w:rsid w:val="00915758"/>
    <w:rsid w:val="00916887"/>
    <w:rsid w:val="00920771"/>
    <w:rsid w:val="00920BF0"/>
    <w:rsid w:val="00920C8A"/>
    <w:rsid w:val="009225A7"/>
    <w:rsid w:val="009256A7"/>
    <w:rsid w:val="009278D5"/>
    <w:rsid w:val="00927FEB"/>
    <w:rsid w:val="00932F94"/>
    <w:rsid w:val="009342F2"/>
    <w:rsid w:val="00934BB2"/>
    <w:rsid w:val="00936D66"/>
    <w:rsid w:val="00937F6A"/>
    <w:rsid w:val="00940253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601"/>
    <w:rsid w:val="009459D6"/>
    <w:rsid w:val="00945D55"/>
    <w:rsid w:val="009460BB"/>
    <w:rsid w:val="00946444"/>
    <w:rsid w:val="00947FF8"/>
    <w:rsid w:val="0095165A"/>
    <w:rsid w:val="009518CA"/>
    <w:rsid w:val="00951CE8"/>
    <w:rsid w:val="00952D70"/>
    <w:rsid w:val="00953331"/>
    <w:rsid w:val="00953565"/>
    <w:rsid w:val="00953D56"/>
    <w:rsid w:val="00954C90"/>
    <w:rsid w:val="00955A8E"/>
    <w:rsid w:val="0095758E"/>
    <w:rsid w:val="00960FA3"/>
    <w:rsid w:val="00961347"/>
    <w:rsid w:val="00962377"/>
    <w:rsid w:val="00962886"/>
    <w:rsid w:val="00964681"/>
    <w:rsid w:val="00967FC7"/>
    <w:rsid w:val="009720CA"/>
    <w:rsid w:val="009723A1"/>
    <w:rsid w:val="00972E97"/>
    <w:rsid w:val="009731EA"/>
    <w:rsid w:val="00973614"/>
    <w:rsid w:val="00973C9D"/>
    <w:rsid w:val="00973CC2"/>
    <w:rsid w:val="009742AB"/>
    <w:rsid w:val="00974841"/>
    <w:rsid w:val="009749B1"/>
    <w:rsid w:val="0097724C"/>
    <w:rsid w:val="0098048C"/>
    <w:rsid w:val="00980866"/>
    <w:rsid w:val="00980D24"/>
    <w:rsid w:val="00982037"/>
    <w:rsid w:val="00982144"/>
    <w:rsid w:val="009824DF"/>
    <w:rsid w:val="00982BC8"/>
    <w:rsid w:val="0098358E"/>
    <w:rsid w:val="0098405A"/>
    <w:rsid w:val="0098426F"/>
    <w:rsid w:val="00984B57"/>
    <w:rsid w:val="00984CC1"/>
    <w:rsid w:val="00986058"/>
    <w:rsid w:val="00986700"/>
    <w:rsid w:val="009877D2"/>
    <w:rsid w:val="00987845"/>
    <w:rsid w:val="009878F3"/>
    <w:rsid w:val="00991A93"/>
    <w:rsid w:val="00992FBC"/>
    <w:rsid w:val="009948C1"/>
    <w:rsid w:val="00995894"/>
    <w:rsid w:val="00996772"/>
    <w:rsid w:val="00997A7D"/>
    <w:rsid w:val="009A0E5E"/>
    <w:rsid w:val="009A0F09"/>
    <w:rsid w:val="009A12F2"/>
    <w:rsid w:val="009A2493"/>
    <w:rsid w:val="009A261C"/>
    <w:rsid w:val="009A44FA"/>
    <w:rsid w:val="009A4689"/>
    <w:rsid w:val="009A4CBF"/>
    <w:rsid w:val="009A57C2"/>
    <w:rsid w:val="009A69C6"/>
    <w:rsid w:val="009A750D"/>
    <w:rsid w:val="009A7DBA"/>
    <w:rsid w:val="009B0370"/>
    <w:rsid w:val="009B09CD"/>
    <w:rsid w:val="009B2148"/>
    <w:rsid w:val="009B2383"/>
    <w:rsid w:val="009B2615"/>
    <w:rsid w:val="009B4356"/>
    <w:rsid w:val="009C0566"/>
    <w:rsid w:val="009C23A8"/>
    <w:rsid w:val="009C2AC9"/>
    <w:rsid w:val="009C30AA"/>
    <w:rsid w:val="009C31BF"/>
    <w:rsid w:val="009C43D1"/>
    <w:rsid w:val="009C5608"/>
    <w:rsid w:val="009C5718"/>
    <w:rsid w:val="009C59A6"/>
    <w:rsid w:val="009C6A52"/>
    <w:rsid w:val="009D0A30"/>
    <w:rsid w:val="009D0AB2"/>
    <w:rsid w:val="009D0CAF"/>
    <w:rsid w:val="009D3276"/>
    <w:rsid w:val="009D444C"/>
    <w:rsid w:val="009D4525"/>
    <w:rsid w:val="009D473A"/>
    <w:rsid w:val="009D4B14"/>
    <w:rsid w:val="009E1533"/>
    <w:rsid w:val="009E2715"/>
    <w:rsid w:val="009E2785"/>
    <w:rsid w:val="009E5870"/>
    <w:rsid w:val="009E76FF"/>
    <w:rsid w:val="009F08F6"/>
    <w:rsid w:val="009F0CDB"/>
    <w:rsid w:val="009F1CE3"/>
    <w:rsid w:val="009F317B"/>
    <w:rsid w:val="009F373F"/>
    <w:rsid w:val="009F39CB"/>
    <w:rsid w:val="009F3AF0"/>
    <w:rsid w:val="009F3F07"/>
    <w:rsid w:val="009F6951"/>
    <w:rsid w:val="009F7B60"/>
    <w:rsid w:val="00A00EE5"/>
    <w:rsid w:val="00A04850"/>
    <w:rsid w:val="00A04900"/>
    <w:rsid w:val="00A049E2"/>
    <w:rsid w:val="00A06AE1"/>
    <w:rsid w:val="00A070C0"/>
    <w:rsid w:val="00A077D4"/>
    <w:rsid w:val="00A1298A"/>
    <w:rsid w:val="00A1344B"/>
    <w:rsid w:val="00A135FE"/>
    <w:rsid w:val="00A13908"/>
    <w:rsid w:val="00A147C0"/>
    <w:rsid w:val="00A154E5"/>
    <w:rsid w:val="00A17B98"/>
    <w:rsid w:val="00A20076"/>
    <w:rsid w:val="00A20669"/>
    <w:rsid w:val="00A209B0"/>
    <w:rsid w:val="00A20E13"/>
    <w:rsid w:val="00A219E7"/>
    <w:rsid w:val="00A2290B"/>
    <w:rsid w:val="00A229E4"/>
    <w:rsid w:val="00A2417A"/>
    <w:rsid w:val="00A246C2"/>
    <w:rsid w:val="00A26D8D"/>
    <w:rsid w:val="00A27692"/>
    <w:rsid w:val="00A303F2"/>
    <w:rsid w:val="00A32225"/>
    <w:rsid w:val="00A32A9C"/>
    <w:rsid w:val="00A33B0C"/>
    <w:rsid w:val="00A3560F"/>
    <w:rsid w:val="00A358FF"/>
    <w:rsid w:val="00A35D4E"/>
    <w:rsid w:val="00A35DD1"/>
    <w:rsid w:val="00A36DC1"/>
    <w:rsid w:val="00A4016C"/>
    <w:rsid w:val="00A40884"/>
    <w:rsid w:val="00A42C28"/>
    <w:rsid w:val="00A438C0"/>
    <w:rsid w:val="00A43B6B"/>
    <w:rsid w:val="00A44570"/>
    <w:rsid w:val="00A45C7E"/>
    <w:rsid w:val="00A46AF0"/>
    <w:rsid w:val="00A477E6"/>
    <w:rsid w:val="00A4790E"/>
    <w:rsid w:val="00A47B65"/>
    <w:rsid w:val="00A47C1B"/>
    <w:rsid w:val="00A51BD6"/>
    <w:rsid w:val="00A52632"/>
    <w:rsid w:val="00A5337D"/>
    <w:rsid w:val="00A53972"/>
    <w:rsid w:val="00A54A86"/>
    <w:rsid w:val="00A55079"/>
    <w:rsid w:val="00A5564B"/>
    <w:rsid w:val="00A55AB3"/>
    <w:rsid w:val="00A57C2D"/>
    <w:rsid w:val="00A57CE8"/>
    <w:rsid w:val="00A60782"/>
    <w:rsid w:val="00A61F48"/>
    <w:rsid w:val="00A62DE2"/>
    <w:rsid w:val="00A630E9"/>
    <w:rsid w:val="00A6389A"/>
    <w:rsid w:val="00A63DC8"/>
    <w:rsid w:val="00A66CBC"/>
    <w:rsid w:val="00A70990"/>
    <w:rsid w:val="00A70D10"/>
    <w:rsid w:val="00A75B8C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569"/>
    <w:rsid w:val="00A969AC"/>
    <w:rsid w:val="00A96DCC"/>
    <w:rsid w:val="00AA188F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C1B7C"/>
    <w:rsid w:val="00AC31EB"/>
    <w:rsid w:val="00AC4243"/>
    <w:rsid w:val="00AC60C2"/>
    <w:rsid w:val="00AC76C6"/>
    <w:rsid w:val="00AD1959"/>
    <w:rsid w:val="00AD268D"/>
    <w:rsid w:val="00AD3749"/>
    <w:rsid w:val="00AD3F85"/>
    <w:rsid w:val="00AD584D"/>
    <w:rsid w:val="00AD6723"/>
    <w:rsid w:val="00AD6AE6"/>
    <w:rsid w:val="00AD7B8B"/>
    <w:rsid w:val="00AE7BCF"/>
    <w:rsid w:val="00AE7D6D"/>
    <w:rsid w:val="00AF1B15"/>
    <w:rsid w:val="00AF1C91"/>
    <w:rsid w:val="00AF1D18"/>
    <w:rsid w:val="00AF2CE0"/>
    <w:rsid w:val="00AF476B"/>
    <w:rsid w:val="00AF794B"/>
    <w:rsid w:val="00B0051A"/>
    <w:rsid w:val="00B01D3C"/>
    <w:rsid w:val="00B02952"/>
    <w:rsid w:val="00B03DB7"/>
    <w:rsid w:val="00B04957"/>
    <w:rsid w:val="00B04CB8"/>
    <w:rsid w:val="00B05435"/>
    <w:rsid w:val="00B07F24"/>
    <w:rsid w:val="00B10B09"/>
    <w:rsid w:val="00B116A0"/>
    <w:rsid w:val="00B11981"/>
    <w:rsid w:val="00B15372"/>
    <w:rsid w:val="00B16515"/>
    <w:rsid w:val="00B17F46"/>
    <w:rsid w:val="00B20519"/>
    <w:rsid w:val="00B21293"/>
    <w:rsid w:val="00B22C00"/>
    <w:rsid w:val="00B2361F"/>
    <w:rsid w:val="00B2692B"/>
    <w:rsid w:val="00B2718B"/>
    <w:rsid w:val="00B274D6"/>
    <w:rsid w:val="00B302FA"/>
    <w:rsid w:val="00B3040A"/>
    <w:rsid w:val="00B338B2"/>
    <w:rsid w:val="00B348D8"/>
    <w:rsid w:val="00B34DBE"/>
    <w:rsid w:val="00B34DEA"/>
    <w:rsid w:val="00B350FD"/>
    <w:rsid w:val="00B35ECD"/>
    <w:rsid w:val="00B40221"/>
    <w:rsid w:val="00B4061B"/>
    <w:rsid w:val="00B41FC5"/>
    <w:rsid w:val="00B422A1"/>
    <w:rsid w:val="00B42488"/>
    <w:rsid w:val="00B4420C"/>
    <w:rsid w:val="00B447BC"/>
    <w:rsid w:val="00B447D8"/>
    <w:rsid w:val="00B45A5E"/>
    <w:rsid w:val="00B4667A"/>
    <w:rsid w:val="00B50BC7"/>
    <w:rsid w:val="00B51003"/>
    <w:rsid w:val="00B51194"/>
    <w:rsid w:val="00B521D2"/>
    <w:rsid w:val="00B52374"/>
    <w:rsid w:val="00B5292B"/>
    <w:rsid w:val="00B5499F"/>
    <w:rsid w:val="00B54BCB"/>
    <w:rsid w:val="00B56B13"/>
    <w:rsid w:val="00B5776D"/>
    <w:rsid w:val="00B60DD2"/>
    <w:rsid w:val="00B6166F"/>
    <w:rsid w:val="00B626F0"/>
    <w:rsid w:val="00B62710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C63"/>
    <w:rsid w:val="00B747AE"/>
    <w:rsid w:val="00B74E3D"/>
    <w:rsid w:val="00B753D1"/>
    <w:rsid w:val="00B776D2"/>
    <w:rsid w:val="00B778F7"/>
    <w:rsid w:val="00B77BB8"/>
    <w:rsid w:val="00B8242B"/>
    <w:rsid w:val="00B83455"/>
    <w:rsid w:val="00B844E8"/>
    <w:rsid w:val="00B850E9"/>
    <w:rsid w:val="00B92315"/>
    <w:rsid w:val="00B9272C"/>
    <w:rsid w:val="00B936F0"/>
    <w:rsid w:val="00B94B83"/>
    <w:rsid w:val="00B94B98"/>
    <w:rsid w:val="00B94CAC"/>
    <w:rsid w:val="00B96C04"/>
    <w:rsid w:val="00BA06B3"/>
    <w:rsid w:val="00BA0D24"/>
    <w:rsid w:val="00BA0EAB"/>
    <w:rsid w:val="00BA1842"/>
    <w:rsid w:val="00BA32BA"/>
    <w:rsid w:val="00BA32CA"/>
    <w:rsid w:val="00BA407F"/>
    <w:rsid w:val="00BA477A"/>
    <w:rsid w:val="00BA6C7C"/>
    <w:rsid w:val="00BA7016"/>
    <w:rsid w:val="00BA787B"/>
    <w:rsid w:val="00BB0CDB"/>
    <w:rsid w:val="00BB20F2"/>
    <w:rsid w:val="00BB5178"/>
    <w:rsid w:val="00BB67AE"/>
    <w:rsid w:val="00BB6DFA"/>
    <w:rsid w:val="00BB728B"/>
    <w:rsid w:val="00BB7702"/>
    <w:rsid w:val="00BB7718"/>
    <w:rsid w:val="00BC049F"/>
    <w:rsid w:val="00BC3609"/>
    <w:rsid w:val="00BC465F"/>
    <w:rsid w:val="00BC5869"/>
    <w:rsid w:val="00BC5B82"/>
    <w:rsid w:val="00BC62F7"/>
    <w:rsid w:val="00BC6B01"/>
    <w:rsid w:val="00BC757F"/>
    <w:rsid w:val="00BD003A"/>
    <w:rsid w:val="00BD0FAD"/>
    <w:rsid w:val="00BD1D45"/>
    <w:rsid w:val="00BD2083"/>
    <w:rsid w:val="00BD3099"/>
    <w:rsid w:val="00BD3A9F"/>
    <w:rsid w:val="00BD3E62"/>
    <w:rsid w:val="00BD686B"/>
    <w:rsid w:val="00BD69DA"/>
    <w:rsid w:val="00BD715C"/>
    <w:rsid w:val="00BD73E6"/>
    <w:rsid w:val="00BD77EC"/>
    <w:rsid w:val="00BE015C"/>
    <w:rsid w:val="00BE21A9"/>
    <w:rsid w:val="00BE263E"/>
    <w:rsid w:val="00BE3F11"/>
    <w:rsid w:val="00BE438D"/>
    <w:rsid w:val="00BE603A"/>
    <w:rsid w:val="00BE6CB3"/>
    <w:rsid w:val="00BF12AE"/>
    <w:rsid w:val="00BF2436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3B8D"/>
    <w:rsid w:val="00C03FB5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356B"/>
    <w:rsid w:val="00C141E1"/>
    <w:rsid w:val="00C14E79"/>
    <w:rsid w:val="00C14E80"/>
    <w:rsid w:val="00C151D0"/>
    <w:rsid w:val="00C15E0C"/>
    <w:rsid w:val="00C17C1B"/>
    <w:rsid w:val="00C17E3A"/>
    <w:rsid w:val="00C20366"/>
    <w:rsid w:val="00C21411"/>
    <w:rsid w:val="00C237F5"/>
    <w:rsid w:val="00C24241"/>
    <w:rsid w:val="00C247D2"/>
    <w:rsid w:val="00C24968"/>
    <w:rsid w:val="00C24A70"/>
    <w:rsid w:val="00C30E0A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0902"/>
    <w:rsid w:val="00C4213D"/>
    <w:rsid w:val="00C4276C"/>
    <w:rsid w:val="00C4329D"/>
    <w:rsid w:val="00C43374"/>
    <w:rsid w:val="00C4431D"/>
    <w:rsid w:val="00C44E8F"/>
    <w:rsid w:val="00C45A69"/>
    <w:rsid w:val="00C46AA2"/>
    <w:rsid w:val="00C46C48"/>
    <w:rsid w:val="00C47166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2A1D"/>
    <w:rsid w:val="00C630AB"/>
    <w:rsid w:val="00C66242"/>
    <w:rsid w:val="00C66B2F"/>
    <w:rsid w:val="00C671C5"/>
    <w:rsid w:val="00C7233D"/>
    <w:rsid w:val="00C723BC"/>
    <w:rsid w:val="00C73810"/>
    <w:rsid w:val="00C73F85"/>
    <w:rsid w:val="00C74517"/>
    <w:rsid w:val="00C7480A"/>
    <w:rsid w:val="00C76888"/>
    <w:rsid w:val="00C80C9F"/>
    <w:rsid w:val="00C80D03"/>
    <w:rsid w:val="00C80D37"/>
    <w:rsid w:val="00C8151A"/>
    <w:rsid w:val="00C81770"/>
    <w:rsid w:val="00C81C99"/>
    <w:rsid w:val="00C81DA7"/>
    <w:rsid w:val="00C81E87"/>
    <w:rsid w:val="00C82355"/>
    <w:rsid w:val="00C824CE"/>
    <w:rsid w:val="00C82609"/>
    <w:rsid w:val="00C82804"/>
    <w:rsid w:val="00C85C0F"/>
    <w:rsid w:val="00C87821"/>
    <w:rsid w:val="00C8795F"/>
    <w:rsid w:val="00C87BC2"/>
    <w:rsid w:val="00C925C3"/>
    <w:rsid w:val="00C92726"/>
    <w:rsid w:val="00C9365B"/>
    <w:rsid w:val="00C94642"/>
    <w:rsid w:val="00C94AEE"/>
    <w:rsid w:val="00C95FF7"/>
    <w:rsid w:val="00C96AF0"/>
    <w:rsid w:val="00C975ED"/>
    <w:rsid w:val="00CA1130"/>
    <w:rsid w:val="00CA1F8F"/>
    <w:rsid w:val="00CA2591"/>
    <w:rsid w:val="00CA2617"/>
    <w:rsid w:val="00CA37A3"/>
    <w:rsid w:val="00CA408B"/>
    <w:rsid w:val="00CA51BB"/>
    <w:rsid w:val="00CA6689"/>
    <w:rsid w:val="00CA7041"/>
    <w:rsid w:val="00CB00AD"/>
    <w:rsid w:val="00CB147A"/>
    <w:rsid w:val="00CB285C"/>
    <w:rsid w:val="00CB4BD0"/>
    <w:rsid w:val="00CB53B8"/>
    <w:rsid w:val="00CB5A41"/>
    <w:rsid w:val="00CB6234"/>
    <w:rsid w:val="00CB62CB"/>
    <w:rsid w:val="00CB713D"/>
    <w:rsid w:val="00CB7A46"/>
    <w:rsid w:val="00CB7DD6"/>
    <w:rsid w:val="00CC0F15"/>
    <w:rsid w:val="00CC2070"/>
    <w:rsid w:val="00CC3806"/>
    <w:rsid w:val="00CC648A"/>
    <w:rsid w:val="00CC76CE"/>
    <w:rsid w:val="00CD0ABD"/>
    <w:rsid w:val="00CD259C"/>
    <w:rsid w:val="00CD3373"/>
    <w:rsid w:val="00CD6674"/>
    <w:rsid w:val="00CE01E4"/>
    <w:rsid w:val="00CE04AE"/>
    <w:rsid w:val="00CE09AE"/>
    <w:rsid w:val="00CE3B09"/>
    <w:rsid w:val="00CE3BEF"/>
    <w:rsid w:val="00CE3DDC"/>
    <w:rsid w:val="00CE3F65"/>
    <w:rsid w:val="00CE3FFA"/>
    <w:rsid w:val="00CE4BAA"/>
    <w:rsid w:val="00CE5B51"/>
    <w:rsid w:val="00CE63EE"/>
    <w:rsid w:val="00CE7EE1"/>
    <w:rsid w:val="00CF16FB"/>
    <w:rsid w:val="00CF1766"/>
    <w:rsid w:val="00CF2295"/>
    <w:rsid w:val="00CF2AEC"/>
    <w:rsid w:val="00CF38DB"/>
    <w:rsid w:val="00CF3BB2"/>
    <w:rsid w:val="00CF3BDE"/>
    <w:rsid w:val="00CF6654"/>
    <w:rsid w:val="00CF6F66"/>
    <w:rsid w:val="00CF74CA"/>
    <w:rsid w:val="00CF7E12"/>
    <w:rsid w:val="00D013F2"/>
    <w:rsid w:val="00D020F4"/>
    <w:rsid w:val="00D02A3A"/>
    <w:rsid w:val="00D02BE3"/>
    <w:rsid w:val="00D03921"/>
    <w:rsid w:val="00D04391"/>
    <w:rsid w:val="00D05769"/>
    <w:rsid w:val="00D05F32"/>
    <w:rsid w:val="00D07ABE"/>
    <w:rsid w:val="00D10189"/>
    <w:rsid w:val="00D10338"/>
    <w:rsid w:val="00D10F21"/>
    <w:rsid w:val="00D13972"/>
    <w:rsid w:val="00D1487A"/>
    <w:rsid w:val="00D152E1"/>
    <w:rsid w:val="00D15DEC"/>
    <w:rsid w:val="00D169FF"/>
    <w:rsid w:val="00D17833"/>
    <w:rsid w:val="00D202C0"/>
    <w:rsid w:val="00D20A8D"/>
    <w:rsid w:val="00D22352"/>
    <w:rsid w:val="00D2448C"/>
    <w:rsid w:val="00D2694A"/>
    <w:rsid w:val="00D277CF"/>
    <w:rsid w:val="00D30761"/>
    <w:rsid w:val="00D307A6"/>
    <w:rsid w:val="00D312F2"/>
    <w:rsid w:val="00D31922"/>
    <w:rsid w:val="00D33C85"/>
    <w:rsid w:val="00D34043"/>
    <w:rsid w:val="00D36C35"/>
    <w:rsid w:val="00D37C76"/>
    <w:rsid w:val="00D37F72"/>
    <w:rsid w:val="00D41C47"/>
    <w:rsid w:val="00D42073"/>
    <w:rsid w:val="00D423A4"/>
    <w:rsid w:val="00D46843"/>
    <w:rsid w:val="00D472B8"/>
    <w:rsid w:val="00D50050"/>
    <w:rsid w:val="00D52AAA"/>
    <w:rsid w:val="00D53033"/>
    <w:rsid w:val="00D53161"/>
    <w:rsid w:val="00D5432B"/>
    <w:rsid w:val="00D5494D"/>
    <w:rsid w:val="00D56977"/>
    <w:rsid w:val="00D5699E"/>
    <w:rsid w:val="00D574CA"/>
    <w:rsid w:val="00D57819"/>
    <w:rsid w:val="00D6072C"/>
    <w:rsid w:val="00D60767"/>
    <w:rsid w:val="00D618A3"/>
    <w:rsid w:val="00D62195"/>
    <w:rsid w:val="00D62544"/>
    <w:rsid w:val="00D627E3"/>
    <w:rsid w:val="00D65117"/>
    <w:rsid w:val="00D654DB"/>
    <w:rsid w:val="00D65620"/>
    <w:rsid w:val="00D65FF8"/>
    <w:rsid w:val="00D6710D"/>
    <w:rsid w:val="00D72906"/>
    <w:rsid w:val="00D72BC8"/>
    <w:rsid w:val="00D72BCE"/>
    <w:rsid w:val="00D73954"/>
    <w:rsid w:val="00D73E07"/>
    <w:rsid w:val="00D74654"/>
    <w:rsid w:val="00D74A52"/>
    <w:rsid w:val="00D74DE9"/>
    <w:rsid w:val="00D7707D"/>
    <w:rsid w:val="00D77E65"/>
    <w:rsid w:val="00D8039D"/>
    <w:rsid w:val="00D8211B"/>
    <w:rsid w:val="00D826B4"/>
    <w:rsid w:val="00D84566"/>
    <w:rsid w:val="00D8531D"/>
    <w:rsid w:val="00D8601C"/>
    <w:rsid w:val="00D86238"/>
    <w:rsid w:val="00D868A1"/>
    <w:rsid w:val="00D91F95"/>
    <w:rsid w:val="00D92951"/>
    <w:rsid w:val="00D9485C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33F"/>
    <w:rsid w:val="00DB3652"/>
    <w:rsid w:val="00DB4D87"/>
    <w:rsid w:val="00DB4DB4"/>
    <w:rsid w:val="00DB5542"/>
    <w:rsid w:val="00DB5AD9"/>
    <w:rsid w:val="00DB5DF0"/>
    <w:rsid w:val="00DB6AB2"/>
    <w:rsid w:val="00DB6B0C"/>
    <w:rsid w:val="00DB7D1B"/>
    <w:rsid w:val="00DC0CA2"/>
    <w:rsid w:val="00DC0E04"/>
    <w:rsid w:val="00DC176F"/>
    <w:rsid w:val="00DC1C04"/>
    <w:rsid w:val="00DC2149"/>
    <w:rsid w:val="00DC2A82"/>
    <w:rsid w:val="00DC2B1D"/>
    <w:rsid w:val="00DC3B7F"/>
    <w:rsid w:val="00DC40E8"/>
    <w:rsid w:val="00DC6D6F"/>
    <w:rsid w:val="00DC77AA"/>
    <w:rsid w:val="00DD0981"/>
    <w:rsid w:val="00DD2508"/>
    <w:rsid w:val="00DD369B"/>
    <w:rsid w:val="00DD3BD5"/>
    <w:rsid w:val="00DD4535"/>
    <w:rsid w:val="00DD6EB7"/>
    <w:rsid w:val="00DD70FA"/>
    <w:rsid w:val="00DD749F"/>
    <w:rsid w:val="00DE13ED"/>
    <w:rsid w:val="00DE2E19"/>
    <w:rsid w:val="00DE3143"/>
    <w:rsid w:val="00DE35F8"/>
    <w:rsid w:val="00DE36F0"/>
    <w:rsid w:val="00DE385C"/>
    <w:rsid w:val="00DE6B23"/>
    <w:rsid w:val="00DE6B30"/>
    <w:rsid w:val="00DE710B"/>
    <w:rsid w:val="00DE7117"/>
    <w:rsid w:val="00DE780F"/>
    <w:rsid w:val="00DF15D7"/>
    <w:rsid w:val="00DF3527"/>
    <w:rsid w:val="00DF3E12"/>
    <w:rsid w:val="00DF3EE6"/>
    <w:rsid w:val="00DF4AB0"/>
    <w:rsid w:val="00DF564D"/>
    <w:rsid w:val="00DF69A3"/>
    <w:rsid w:val="00DF6CC2"/>
    <w:rsid w:val="00E006E4"/>
    <w:rsid w:val="00E017AE"/>
    <w:rsid w:val="00E01AA0"/>
    <w:rsid w:val="00E02800"/>
    <w:rsid w:val="00E02AAD"/>
    <w:rsid w:val="00E02D4E"/>
    <w:rsid w:val="00E02DC2"/>
    <w:rsid w:val="00E03A21"/>
    <w:rsid w:val="00E03A4B"/>
    <w:rsid w:val="00E03C85"/>
    <w:rsid w:val="00E04621"/>
    <w:rsid w:val="00E051FD"/>
    <w:rsid w:val="00E0769B"/>
    <w:rsid w:val="00E07E4A"/>
    <w:rsid w:val="00E10A9D"/>
    <w:rsid w:val="00E11083"/>
    <w:rsid w:val="00E116FA"/>
    <w:rsid w:val="00E11C34"/>
    <w:rsid w:val="00E12E9D"/>
    <w:rsid w:val="00E14AFB"/>
    <w:rsid w:val="00E163E8"/>
    <w:rsid w:val="00E16539"/>
    <w:rsid w:val="00E16650"/>
    <w:rsid w:val="00E17DA0"/>
    <w:rsid w:val="00E20BEE"/>
    <w:rsid w:val="00E245D5"/>
    <w:rsid w:val="00E2463A"/>
    <w:rsid w:val="00E31C35"/>
    <w:rsid w:val="00E32E38"/>
    <w:rsid w:val="00E332E8"/>
    <w:rsid w:val="00E335C9"/>
    <w:rsid w:val="00E33B8F"/>
    <w:rsid w:val="00E36EE5"/>
    <w:rsid w:val="00E40624"/>
    <w:rsid w:val="00E408BF"/>
    <w:rsid w:val="00E41D30"/>
    <w:rsid w:val="00E4329F"/>
    <w:rsid w:val="00E45568"/>
    <w:rsid w:val="00E46262"/>
    <w:rsid w:val="00E46D15"/>
    <w:rsid w:val="00E50559"/>
    <w:rsid w:val="00E52903"/>
    <w:rsid w:val="00E53C1B"/>
    <w:rsid w:val="00E53EDE"/>
    <w:rsid w:val="00E544C1"/>
    <w:rsid w:val="00E54D26"/>
    <w:rsid w:val="00E55DFC"/>
    <w:rsid w:val="00E56930"/>
    <w:rsid w:val="00E56FAF"/>
    <w:rsid w:val="00E5708C"/>
    <w:rsid w:val="00E57DB2"/>
    <w:rsid w:val="00E57F35"/>
    <w:rsid w:val="00E57FB9"/>
    <w:rsid w:val="00E610D6"/>
    <w:rsid w:val="00E62A4F"/>
    <w:rsid w:val="00E63598"/>
    <w:rsid w:val="00E64344"/>
    <w:rsid w:val="00E65013"/>
    <w:rsid w:val="00E651DE"/>
    <w:rsid w:val="00E65202"/>
    <w:rsid w:val="00E654B6"/>
    <w:rsid w:val="00E663E4"/>
    <w:rsid w:val="00E7081C"/>
    <w:rsid w:val="00E71C91"/>
    <w:rsid w:val="00E72D22"/>
    <w:rsid w:val="00E739C4"/>
    <w:rsid w:val="00E74E87"/>
    <w:rsid w:val="00E75CBD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4720"/>
    <w:rsid w:val="00E94A6B"/>
    <w:rsid w:val="00E952DF"/>
    <w:rsid w:val="00E9535F"/>
    <w:rsid w:val="00E95B0F"/>
    <w:rsid w:val="00E95CC4"/>
    <w:rsid w:val="00E95D4F"/>
    <w:rsid w:val="00E96A66"/>
    <w:rsid w:val="00E96E8E"/>
    <w:rsid w:val="00E9732D"/>
    <w:rsid w:val="00EA0BB5"/>
    <w:rsid w:val="00EA28D0"/>
    <w:rsid w:val="00EA2CE4"/>
    <w:rsid w:val="00EA48D0"/>
    <w:rsid w:val="00EA5F8E"/>
    <w:rsid w:val="00EA60ED"/>
    <w:rsid w:val="00EA6A6E"/>
    <w:rsid w:val="00EA6DCB"/>
    <w:rsid w:val="00EB59CB"/>
    <w:rsid w:val="00EB5AA5"/>
    <w:rsid w:val="00EB5ADB"/>
    <w:rsid w:val="00EB5D4B"/>
    <w:rsid w:val="00EB5E72"/>
    <w:rsid w:val="00EB6218"/>
    <w:rsid w:val="00EB69EF"/>
    <w:rsid w:val="00EB7706"/>
    <w:rsid w:val="00EC00A2"/>
    <w:rsid w:val="00EC159D"/>
    <w:rsid w:val="00EC4F2E"/>
    <w:rsid w:val="00EC4F39"/>
    <w:rsid w:val="00EC6022"/>
    <w:rsid w:val="00EC63F4"/>
    <w:rsid w:val="00EC693C"/>
    <w:rsid w:val="00EC70E0"/>
    <w:rsid w:val="00EC7772"/>
    <w:rsid w:val="00EC79C5"/>
    <w:rsid w:val="00ED3E1B"/>
    <w:rsid w:val="00ED4C68"/>
    <w:rsid w:val="00ED5F52"/>
    <w:rsid w:val="00ED6892"/>
    <w:rsid w:val="00ED6A4B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682B"/>
    <w:rsid w:val="00EE7CAE"/>
    <w:rsid w:val="00EE7DA9"/>
    <w:rsid w:val="00EF214A"/>
    <w:rsid w:val="00EF34D3"/>
    <w:rsid w:val="00EF38CF"/>
    <w:rsid w:val="00EF39E5"/>
    <w:rsid w:val="00EF3C89"/>
    <w:rsid w:val="00EF6B9E"/>
    <w:rsid w:val="00EF7CE6"/>
    <w:rsid w:val="00F01CEC"/>
    <w:rsid w:val="00F023B0"/>
    <w:rsid w:val="00F02F18"/>
    <w:rsid w:val="00F047A1"/>
    <w:rsid w:val="00F04926"/>
    <w:rsid w:val="00F04FF6"/>
    <w:rsid w:val="00F0504C"/>
    <w:rsid w:val="00F100D0"/>
    <w:rsid w:val="00F109FC"/>
    <w:rsid w:val="00F13D95"/>
    <w:rsid w:val="00F16057"/>
    <w:rsid w:val="00F16324"/>
    <w:rsid w:val="00F2022C"/>
    <w:rsid w:val="00F20778"/>
    <w:rsid w:val="00F20FE5"/>
    <w:rsid w:val="00F228D0"/>
    <w:rsid w:val="00F233C0"/>
    <w:rsid w:val="00F2375B"/>
    <w:rsid w:val="00F24F93"/>
    <w:rsid w:val="00F2540A"/>
    <w:rsid w:val="00F2561F"/>
    <w:rsid w:val="00F2637D"/>
    <w:rsid w:val="00F31334"/>
    <w:rsid w:val="00F31346"/>
    <w:rsid w:val="00F338FD"/>
    <w:rsid w:val="00F33998"/>
    <w:rsid w:val="00F342FD"/>
    <w:rsid w:val="00F34E9E"/>
    <w:rsid w:val="00F35D69"/>
    <w:rsid w:val="00F36DC0"/>
    <w:rsid w:val="00F400A1"/>
    <w:rsid w:val="00F41684"/>
    <w:rsid w:val="00F418ED"/>
    <w:rsid w:val="00F42EFD"/>
    <w:rsid w:val="00F44755"/>
    <w:rsid w:val="00F4500B"/>
    <w:rsid w:val="00F451CD"/>
    <w:rsid w:val="00F455E0"/>
    <w:rsid w:val="00F45E7C"/>
    <w:rsid w:val="00F478DB"/>
    <w:rsid w:val="00F525A9"/>
    <w:rsid w:val="00F539A4"/>
    <w:rsid w:val="00F5458D"/>
    <w:rsid w:val="00F54F3A"/>
    <w:rsid w:val="00F55028"/>
    <w:rsid w:val="00F55386"/>
    <w:rsid w:val="00F5670E"/>
    <w:rsid w:val="00F60892"/>
    <w:rsid w:val="00F61E6F"/>
    <w:rsid w:val="00F62F51"/>
    <w:rsid w:val="00F653A1"/>
    <w:rsid w:val="00F659E1"/>
    <w:rsid w:val="00F668FF"/>
    <w:rsid w:val="00F670F7"/>
    <w:rsid w:val="00F70192"/>
    <w:rsid w:val="00F71FAA"/>
    <w:rsid w:val="00F72DA6"/>
    <w:rsid w:val="00F73385"/>
    <w:rsid w:val="00F7677E"/>
    <w:rsid w:val="00F76F3C"/>
    <w:rsid w:val="00F808C5"/>
    <w:rsid w:val="00F81D0E"/>
    <w:rsid w:val="00F832E1"/>
    <w:rsid w:val="00F83F93"/>
    <w:rsid w:val="00F85369"/>
    <w:rsid w:val="00F858DD"/>
    <w:rsid w:val="00F93870"/>
    <w:rsid w:val="00F93DC9"/>
    <w:rsid w:val="00F94872"/>
    <w:rsid w:val="00F9547F"/>
    <w:rsid w:val="00F95BD2"/>
    <w:rsid w:val="00F967E0"/>
    <w:rsid w:val="00F96A6A"/>
    <w:rsid w:val="00F96F78"/>
    <w:rsid w:val="00F97C20"/>
    <w:rsid w:val="00FA08AC"/>
    <w:rsid w:val="00FA12A3"/>
    <w:rsid w:val="00FA156D"/>
    <w:rsid w:val="00FA1865"/>
    <w:rsid w:val="00FA3880"/>
    <w:rsid w:val="00FA43B6"/>
    <w:rsid w:val="00FA4C14"/>
    <w:rsid w:val="00FA5D88"/>
    <w:rsid w:val="00FA6D0A"/>
    <w:rsid w:val="00FA751A"/>
    <w:rsid w:val="00FA7AEE"/>
    <w:rsid w:val="00FB0152"/>
    <w:rsid w:val="00FB12E0"/>
    <w:rsid w:val="00FB1482"/>
    <w:rsid w:val="00FB1A63"/>
    <w:rsid w:val="00FB2188"/>
    <w:rsid w:val="00FB29A4"/>
    <w:rsid w:val="00FB33E4"/>
    <w:rsid w:val="00FB3676"/>
    <w:rsid w:val="00FB377D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3B63"/>
    <w:rsid w:val="00FC3E02"/>
    <w:rsid w:val="00FC58EE"/>
    <w:rsid w:val="00FC5CFA"/>
    <w:rsid w:val="00FC64E4"/>
    <w:rsid w:val="00FC6AAE"/>
    <w:rsid w:val="00FC7DB7"/>
    <w:rsid w:val="00FD147A"/>
    <w:rsid w:val="00FD24F1"/>
    <w:rsid w:val="00FD33DE"/>
    <w:rsid w:val="00FD554D"/>
    <w:rsid w:val="00FD5B24"/>
    <w:rsid w:val="00FE1231"/>
    <w:rsid w:val="00FE1734"/>
    <w:rsid w:val="00FE30C5"/>
    <w:rsid w:val="00FE31E9"/>
    <w:rsid w:val="00FE362B"/>
    <w:rsid w:val="00FE37EF"/>
    <w:rsid w:val="00FE4576"/>
    <w:rsid w:val="00FE5833"/>
    <w:rsid w:val="00FE5C16"/>
    <w:rsid w:val="00FE6B7D"/>
    <w:rsid w:val="00FF0240"/>
    <w:rsid w:val="00FF0D93"/>
    <w:rsid w:val="00FF291B"/>
    <w:rsid w:val="00FF322C"/>
    <w:rsid w:val="00FF32B1"/>
    <w:rsid w:val="00FF373C"/>
    <w:rsid w:val="00FF42CB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styleId="GridTable1Light">
    <w:name w:val="Grid Table 1 Light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531D9-525A-4394-8E8C-B8B0B823B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2744</Words>
  <Characters>15643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802.11-15/xxxxr0</vt:lpstr>
    </vt:vector>
  </TitlesOfParts>
  <Manager/>
  <Company/>
  <LinksUpToDate>false</LinksUpToDate>
  <CharactersWithSpaces>18351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Verma, Lochan</cp:lastModifiedBy>
  <cp:revision>14</cp:revision>
  <cp:lastPrinted>2010-05-04T03:47:00Z</cp:lastPrinted>
  <dcterms:created xsi:type="dcterms:W3CDTF">2016-07-23T08:01:00Z</dcterms:created>
  <dcterms:modified xsi:type="dcterms:W3CDTF">2016-07-26T22:11:00Z</dcterms:modified>
  <cp:category/>
</cp:coreProperties>
</file>