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8"/>
        <w:gridCol w:w="1620"/>
        <w:gridCol w:w="2700"/>
      </w:tblGrid>
      <w:tr w:rsidR="00BF369F" w:rsidRPr="00183F4C" w14:paraId="4979180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3CD9B7" w14:textId="109C3C5F" w:rsidR="00BF369F" w:rsidRPr="00183F4C" w:rsidRDefault="00160F21" w:rsidP="00160F21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Pr="00160F21">
              <w:rPr>
                <w:lang w:eastAsia="ko-KR"/>
              </w:rPr>
              <w:t>-RU-restriction-of-20MHz-operating-devices-in-OFDMA</w:t>
            </w:r>
          </w:p>
        </w:tc>
      </w:tr>
      <w:tr w:rsidR="00BF369F" w:rsidRPr="00183F4C" w14:paraId="772A571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9B7027" w14:textId="70AE2749" w:rsidR="00BF369F" w:rsidRPr="00183F4C" w:rsidRDefault="00BF369F" w:rsidP="00BF1EF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F1EF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1EF2">
              <w:rPr>
                <w:b w:val="0"/>
                <w:sz w:val="20"/>
                <w:lang w:eastAsia="ko-KR"/>
              </w:rPr>
              <w:t>0</w:t>
            </w:r>
            <w:r w:rsidR="005E6329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5CC96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5B0B4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B5CB7F1" w14:textId="77777777" w:rsidTr="00A40338">
        <w:trPr>
          <w:jc w:val="center"/>
        </w:trPr>
        <w:tc>
          <w:tcPr>
            <w:tcW w:w="1548" w:type="dxa"/>
            <w:vAlign w:val="center"/>
          </w:tcPr>
          <w:p w14:paraId="44B2F8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0E24C9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24A1C04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C5977A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00" w:type="dxa"/>
            <w:vAlign w:val="center"/>
          </w:tcPr>
          <w:p w14:paraId="3F50D73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6329" w14:paraId="5362A198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4F09480E" w14:textId="1B21C270" w:rsidR="005E6329" w:rsidRDefault="00160F2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Joonsuk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14:paraId="321E2112" w14:textId="4E314C51" w:rsidR="005E6329" w:rsidRDefault="00160F2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268" w:type="dxa"/>
            <w:vAlign w:val="center"/>
          </w:tcPr>
          <w:p w14:paraId="48E77D2A" w14:textId="25AF2135" w:rsidR="005E6329" w:rsidRDefault="00160F2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Infinite Loop, Cupertino, CA 95014</w:t>
            </w:r>
          </w:p>
        </w:tc>
        <w:tc>
          <w:tcPr>
            <w:tcW w:w="1620" w:type="dxa"/>
          </w:tcPr>
          <w:p w14:paraId="73B994FD" w14:textId="4A99A793" w:rsidR="005E6329" w:rsidRPr="002C60AE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vAlign w:val="center"/>
          </w:tcPr>
          <w:p w14:paraId="31959ADB" w14:textId="3FD4DB2C" w:rsidR="005E6329" w:rsidRDefault="00160F2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joonsuk@apple.com</w:t>
            </w:r>
          </w:p>
        </w:tc>
      </w:tr>
    </w:tbl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7E9B389F" w14:textId="77777777" w:rsidR="002E3ACF" w:rsidRDefault="002E3ACF">
      <w:pPr>
        <w:pStyle w:val="T1"/>
        <w:spacing w:after="120"/>
        <w:rPr>
          <w:sz w:val="22"/>
        </w:rPr>
      </w:pPr>
    </w:p>
    <w:p w14:paraId="3B08ABFF" w14:textId="77777777" w:rsidR="002E3ACF" w:rsidRDefault="002E3ACF" w:rsidP="002E3ACF">
      <w:pPr>
        <w:pStyle w:val="T1"/>
        <w:spacing w:after="120"/>
      </w:pPr>
      <w:r>
        <w:t>Abstract</w:t>
      </w:r>
    </w:p>
    <w:p w14:paraId="12A54FBD" w14:textId="113DBD6B" w:rsidR="00F02AD8" w:rsidRDefault="00F02AD8" w:rsidP="00F02AD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1D5139">
        <w:rPr>
          <w:lang w:eastAsia="ko-KR"/>
        </w:rPr>
        <w:t xml:space="preserve"> for </w:t>
      </w:r>
      <w:r w:rsidR="00F46979">
        <w:rPr>
          <w:lang w:eastAsia="ko-KR"/>
        </w:rPr>
        <w:t>RU restriction rule for 20MHz operating STAs</w:t>
      </w:r>
      <w:r w:rsidR="001D5139">
        <w:rPr>
          <w:lang w:eastAsia="ko-KR"/>
        </w:rPr>
        <w:t xml:space="preserve"> related comment</w:t>
      </w:r>
      <w:r>
        <w:rPr>
          <w:lang w:eastAsia="ko-KR"/>
        </w:rPr>
        <w:t xml:space="preserve"> related to </w:t>
      </w:r>
      <w:proofErr w:type="spellStart"/>
      <w:r>
        <w:rPr>
          <w:lang w:eastAsia="ko-KR"/>
        </w:rPr>
        <w:t>TGa</w:t>
      </w:r>
      <w:r w:rsidR="00160F21">
        <w:rPr>
          <w:lang w:eastAsia="ko-KR"/>
        </w:rPr>
        <w:t>x</w:t>
      </w:r>
      <w:proofErr w:type="spellEnd"/>
      <w:r w:rsidR="00160F21">
        <w:rPr>
          <w:lang w:eastAsia="ko-KR"/>
        </w:rPr>
        <w:t xml:space="preserve"> D0.2</w:t>
      </w:r>
      <w:r w:rsidR="00850D0C">
        <w:rPr>
          <w:lang w:eastAsia="ko-KR"/>
        </w:rPr>
        <w:t xml:space="preserve"> with the following CID</w:t>
      </w:r>
      <w:r>
        <w:rPr>
          <w:lang w:eastAsia="ko-KR"/>
        </w:rPr>
        <w:t>:</w:t>
      </w:r>
    </w:p>
    <w:p w14:paraId="6AF0B550" w14:textId="034502B8" w:rsidR="00F02AD8" w:rsidRPr="00B831D5" w:rsidRDefault="009B6E02" w:rsidP="00F02AD8">
      <w:pPr>
        <w:pStyle w:val="ListParagraph"/>
        <w:numPr>
          <w:ilvl w:val="0"/>
          <w:numId w:val="10"/>
        </w:numPr>
        <w:ind w:leftChars="0"/>
        <w:jc w:val="both"/>
      </w:pPr>
      <w:r>
        <w:t>854</w:t>
      </w:r>
    </w:p>
    <w:p w14:paraId="2F68ABFC" w14:textId="77777777" w:rsidR="00F02AD8" w:rsidRDefault="00F02AD8" w:rsidP="00F02AD8">
      <w:pPr>
        <w:pStyle w:val="ListParagraph"/>
        <w:ind w:leftChars="0" w:left="720"/>
        <w:jc w:val="both"/>
      </w:pPr>
    </w:p>
    <w:p w14:paraId="5D9AA801" w14:textId="77777777" w:rsidR="00F02AD8" w:rsidRDefault="00F02AD8" w:rsidP="00F02AD8">
      <w:pPr>
        <w:jc w:val="both"/>
      </w:pPr>
      <w:r>
        <w:t>Revisions:</w:t>
      </w:r>
    </w:p>
    <w:p w14:paraId="112C16D1" w14:textId="77777777" w:rsidR="00F02AD8" w:rsidRDefault="00F02AD8" w:rsidP="00F02AD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69186204" w14:textId="77777777" w:rsidR="00F02AD8" w:rsidRDefault="00F02AD8" w:rsidP="00EA1855">
      <w:pPr>
        <w:jc w:val="both"/>
        <w:rPr>
          <w:lang w:eastAsia="ko-KR"/>
        </w:rPr>
      </w:pPr>
    </w:p>
    <w:p w14:paraId="67751B4D" w14:textId="77777777" w:rsidR="00F02AD8" w:rsidRDefault="00F02AD8" w:rsidP="00EA1855">
      <w:pPr>
        <w:jc w:val="both"/>
        <w:rPr>
          <w:lang w:eastAsia="ko-KR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AB645FA" w14:textId="77777777" w:rsidR="00AF726F" w:rsidRPr="00AF726F" w:rsidRDefault="00AF726F" w:rsidP="00BC2A52">
      <w:pPr>
        <w:pStyle w:val="BodyText"/>
        <w:rPr>
          <w:sz w:val="20"/>
        </w:rPr>
      </w:pPr>
    </w:p>
    <w:p w14:paraId="0546DF4F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2587"/>
        <w:gridCol w:w="2520"/>
        <w:gridCol w:w="3420"/>
      </w:tblGrid>
      <w:tr w:rsidR="00A067CD" w:rsidRPr="001F620B" w14:paraId="04A9B7C7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F1882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0131AF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DBE78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E4E280B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630D74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E0804B7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C85F08" w:rsidRPr="00AA6F50" w14:paraId="006ACA7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79C3EF05" w14:textId="76D8A535" w:rsidR="00C85F08" w:rsidRPr="007B7DCE" w:rsidRDefault="00FD0416" w:rsidP="00EA2F21">
            <w:pPr>
              <w:jc w:val="both"/>
              <w:rPr>
                <w:bCs/>
                <w:szCs w:val="18"/>
                <w:lang w:val="en-US" w:eastAsia="ko-KR"/>
              </w:rPr>
            </w:pPr>
            <w:r>
              <w:rPr>
                <w:bCs/>
                <w:szCs w:val="18"/>
                <w:lang w:val="en-US" w:eastAsia="ko-KR"/>
              </w:rPr>
              <w:t>854</w:t>
            </w:r>
          </w:p>
        </w:tc>
        <w:tc>
          <w:tcPr>
            <w:tcW w:w="1080" w:type="dxa"/>
            <w:shd w:val="clear" w:color="auto" w:fill="auto"/>
            <w:noWrap/>
          </w:tcPr>
          <w:p w14:paraId="77B9EC75" w14:textId="665E32E8" w:rsidR="007B7DCE" w:rsidRPr="007B7DCE" w:rsidRDefault="00FD0416" w:rsidP="007B7DCE">
            <w:pPr>
              <w:jc w:val="both"/>
              <w:rPr>
                <w:bCs/>
                <w:szCs w:val="18"/>
                <w:lang w:val="en-US" w:eastAsia="ko-KR"/>
              </w:rPr>
            </w:pPr>
            <w:proofErr w:type="spellStart"/>
            <w:r>
              <w:rPr>
                <w:bCs/>
                <w:szCs w:val="18"/>
                <w:lang w:val="en-US" w:eastAsia="ko-KR"/>
              </w:rPr>
              <w:t>Joonsuk</w:t>
            </w:r>
            <w:proofErr w:type="spellEnd"/>
            <w:r>
              <w:rPr>
                <w:bCs/>
                <w:szCs w:val="18"/>
                <w:lang w:val="en-US" w:eastAsia="ko-KR"/>
              </w:rPr>
              <w:t xml:space="preserve"> Kim</w:t>
            </w:r>
          </w:p>
          <w:p w14:paraId="6CB585C1" w14:textId="08590AB2" w:rsidR="00C85F08" w:rsidRPr="007B7DCE" w:rsidRDefault="00C85F08" w:rsidP="00EA2F21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52E0D205" w14:textId="77777777" w:rsidR="00FD0416" w:rsidRPr="007331F2" w:rsidRDefault="00FD0416" w:rsidP="00FD0416">
            <w:pPr>
              <w:jc w:val="both"/>
              <w:rPr>
                <w:rFonts w:eastAsia="Times New Roman"/>
                <w:sz w:val="20"/>
                <w:lang w:val="en-US" w:eastAsia="zh-CN"/>
              </w:rPr>
            </w:pPr>
            <w:r w:rsidRPr="00FD0416">
              <w:rPr>
                <w:rFonts w:eastAsia="Times New Roman"/>
                <w:sz w:val="20"/>
                <w:lang w:val="en-US" w:eastAsia="zh-CN"/>
              </w:rPr>
              <w:t>26.3.7.1</w:t>
            </w:r>
          </w:p>
          <w:p w14:paraId="0AD92F62" w14:textId="77777777" w:rsidR="00C85F08" w:rsidRPr="007331F2" w:rsidRDefault="00C85F08" w:rsidP="001B2636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653435E8" w14:textId="77777777" w:rsidR="007331F2" w:rsidRPr="007331F2" w:rsidRDefault="007331F2" w:rsidP="007331F2">
            <w:pPr>
              <w:jc w:val="both"/>
              <w:rPr>
                <w:rFonts w:eastAsia="Times New Roman"/>
                <w:sz w:val="20"/>
                <w:lang w:val="en-US" w:eastAsia="zh-CN"/>
              </w:rPr>
            </w:pPr>
            <w:r w:rsidRPr="00FD0416">
              <w:rPr>
                <w:rFonts w:eastAsia="Times New Roman"/>
                <w:sz w:val="20"/>
                <w:lang w:val="en-US" w:eastAsia="zh-CN"/>
              </w:rPr>
              <w:t xml:space="preserve">Some of RUs are not </w:t>
            </w:r>
            <w:proofErr w:type="spellStart"/>
            <w:r w:rsidRPr="00FD0416">
              <w:rPr>
                <w:rFonts w:eastAsia="Times New Roman"/>
                <w:sz w:val="20"/>
                <w:lang w:val="en-US" w:eastAsia="zh-CN"/>
              </w:rPr>
              <w:t>usuable</w:t>
            </w:r>
            <w:proofErr w:type="spellEnd"/>
            <w:r w:rsidRPr="00FD0416">
              <w:rPr>
                <w:rFonts w:eastAsia="Times New Roman"/>
                <w:sz w:val="20"/>
                <w:lang w:val="en-US" w:eastAsia="zh-CN"/>
              </w:rPr>
              <w:t xml:space="preserve"> to STAs which operates with smaller bandwidth </w:t>
            </w:r>
            <w:proofErr w:type="gramStart"/>
            <w:r w:rsidRPr="00FD0416">
              <w:rPr>
                <w:rFonts w:eastAsia="Times New Roman"/>
                <w:sz w:val="20"/>
                <w:lang w:val="en-US" w:eastAsia="zh-CN"/>
              </w:rPr>
              <w:t>than  OFDMA</w:t>
            </w:r>
            <w:proofErr w:type="gramEnd"/>
            <w:r w:rsidRPr="00FD0416">
              <w:rPr>
                <w:rFonts w:eastAsia="Times New Roman"/>
                <w:sz w:val="20"/>
                <w:lang w:val="en-US" w:eastAsia="zh-CN"/>
              </w:rPr>
              <w:t xml:space="preserve"> PPDU</w:t>
            </w:r>
          </w:p>
          <w:p w14:paraId="48FB763A" w14:textId="0D2BF8A2" w:rsidR="00C85F08" w:rsidRPr="007331F2" w:rsidRDefault="00C85F08" w:rsidP="005E6329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2B6471C2" w14:textId="77777777" w:rsidR="007331F2" w:rsidRPr="007331F2" w:rsidRDefault="007331F2" w:rsidP="007331F2">
            <w:pPr>
              <w:jc w:val="both"/>
              <w:rPr>
                <w:rFonts w:eastAsia="Times New Roman"/>
                <w:sz w:val="20"/>
                <w:lang w:val="en-US" w:eastAsia="zh-CN"/>
              </w:rPr>
            </w:pPr>
            <w:r w:rsidRPr="00FD0416">
              <w:rPr>
                <w:rFonts w:eastAsia="Times New Roman"/>
                <w:sz w:val="20"/>
                <w:lang w:val="en-US" w:eastAsia="zh-CN"/>
              </w:rPr>
              <w:t>We need to restrict some RU to operate for such STAs; I will submit a proposal with details</w:t>
            </w:r>
          </w:p>
          <w:p w14:paraId="71F36EAD" w14:textId="77777777" w:rsidR="00C85F08" w:rsidRPr="007331F2" w:rsidRDefault="00C85F08" w:rsidP="007331F2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E9DA5C" w14:textId="5F21827C" w:rsidR="00C85F08" w:rsidRPr="007331F2" w:rsidRDefault="00BF19C7" w:rsidP="00BE288A">
            <w:pPr>
              <w:rPr>
                <w:bCs/>
                <w:szCs w:val="18"/>
                <w:lang w:eastAsia="ko-KR"/>
              </w:rPr>
            </w:pPr>
            <w:r>
              <w:rPr>
                <w:bCs/>
                <w:color w:val="000000"/>
                <w:sz w:val="22"/>
                <w:szCs w:val="22"/>
                <w:u w:val="single"/>
                <w:lang w:val="en-US" w:eastAsia="ko-KR"/>
              </w:rPr>
              <w:t xml:space="preserve">Revised </w:t>
            </w:r>
          </w:p>
        </w:tc>
      </w:tr>
    </w:tbl>
    <w:p w14:paraId="205C9634" w14:textId="3679F059" w:rsidR="00101A03" w:rsidRPr="00101A03" w:rsidRDefault="00860C28" w:rsidP="00101A0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</w:pPr>
      <w:r w:rsidRPr="00571DB4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D0416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 xml:space="preserve">Presented in </w:t>
      </w:r>
      <w:bookmarkStart w:id="5" w:name="OLE_LINK3"/>
      <w:bookmarkStart w:id="6" w:name="OLE_LINK4"/>
      <w:r w:rsidR="002E61FD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11-16-0906</w:t>
      </w:r>
      <w:r w:rsidR="00FD0416" w:rsidRPr="00FD0416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-00-00ax-RU-restriction-of-20MHz-operating-devices-in-OFDMA</w:t>
      </w:r>
      <w:bookmarkEnd w:id="5"/>
      <w:bookmarkEnd w:id="6"/>
    </w:p>
    <w:p w14:paraId="34618C70" w14:textId="4C3B94B8" w:rsidR="008C1CE7" w:rsidRPr="00101A03" w:rsidRDefault="008F3ED6" w:rsidP="00101A03">
      <w:pPr>
        <w:pStyle w:val="SP10282754"/>
        <w:spacing w:before="480" w:after="240"/>
        <w:rPr>
          <w:rFonts w:eastAsia="Times New Roman"/>
          <w:b/>
          <w:color w:val="000000"/>
          <w:sz w:val="20"/>
          <w:highlight w:val="yellow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 w:rsidR="00101A03"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="00101A03" w:rsidRPr="00101A03">
        <w:rPr>
          <w:rFonts w:eastAsia="Times New Roman"/>
          <w:b/>
          <w:i/>
          <w:color w:val="000000"/>
          <w:sz w:val="20"/>
          <w:highlight w:val="yellow"/>
        </w:rPr>
        <w:t>A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dd the following </w:t>
      </w:r>
      <w:r w:rsidR="00A321CF">
        <w:rPr>
          <w:rFonts w:eastAsia="Times New Roman"/>
          <w:b/>
          <w:i/>
          <w:color w:val="000000"/>
          <w:sz w:val="20"/>
          <w:highlight w:val="yellow"/>
        </w:rPr>
        <w:t>new sub-clause 26.3.7.4</w:t>
      </w:r>
    </w:p>
    <w:p w14:paraId="3BD49C2D" w14:textId="77777777" w:rsidR="00FD0416" w:rsidRPr="00101A03" w:rsidRDefault="00FD0416" w:rsidP="00FD0416">
      <w:pPr>
        <w:pStyle w:val="Default"/>
      </w:pPr>
      <w:r>
        <w:rPr>
          <w:rFonts w:ascii="Arial" w:hAnsi="Arial" w:cs="Arial"/>
          <w:b/>
          <w:bCs/>
          <w:sz w:val="20"/>
          <w:szCs w:val="20"/>
        </w:rPr>
        <w:t>26.3.7.4</w:t>
      </w:r>
      <w:r w:rsidRPr="00101A0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 restriction rules when operating 20MHz</w:t>
      </w:r>
    </w:p>
    <w:p w14:paraId="043B25EB" w14:textId="7D5A26B3" w:rsidR="000D4027" w:rsidRDefault="007331F2" w:rsidP="001A463A">
      <w:pPr>
        <w:pStyle w:val="Default"/>
        <w:rPr>
          <w:bCs/>
          <w:u w:val="single"/>
          <w:lang w:val="en-GB"/>
        </w:rPr>
      </w:pPr>
      <w:r>
        <w:rPr>
          <w:bCs/>
          <w:u w:val="single"/>
          <w:lang w:val="en-GB"/>
        </w:rPr>
        <w:t>A non-AP STA can operate with 20MHz, because either it is a 20MHz-only HE device (</w:t>
      </w:r>
      <w:r w:rsidR="003D0C97">
        <w:rPr>
          <w:bCs/>
          <w:u w:val="single"/>
          <w:lang w:val="en-GB"/>
        </w:rPr>
        <w:t xml:space="preserve">see </w:t>
      </w:r>
      <w:r w:rsidR="008301EF">
        <w:rPr>
          <w:bCs/>
          <w:u w:val="single"/>
          <w:lang w:val="en-GB"/>
        </w:rPr>
        <w:t>26.3.8</w:t>
      </w:r>
      <w:r>
        <w:rPr>
          <w:bCs/>
          <w:u w:val="single"/>
          <w:lang w:val="en-GB"/>
        </w:rPr>
        <w:t>), or it reduces operati</w:t>
      </w:r>
      <w:r w:rsidR="00DD372C">
        <w:rPr>
          <w:bCs/>
          <w:u w:val="single"/>
          <w:lang w:val="en-GB"/>
        </w:rPr>
        <w:t>ng channel width to 20MHz by ROM</w:t>
      </w:r>
      <w:r>
        <w:rPr>
          <w:bCs/>
          <w:u w:val="single"/>
          <w:lang w:val="en-GB"/>
        </w:rPr>
        <w:t xml:space="preserve"> (</w:t>
      </w:r>
      <w:r w:rsidR="003D0C97">
        <w:rPr>
          <w:bCs/>
          <w:u w:val="single"/>
          <w:lang w:val="en-GB"/>
        </w:rPr>
        <w:t xml:space="preserve">see </w:t>
      </w:r>
      <w:r w:rsidR="005D52B5">
        <w:rPr>
          <w:bCs/>
          <w:u w:val="single"/>
          <w:lang w:val="en-GB"/>
        </w:rPr>
        <w:t>25.8</w:t>
      </w:r>
      <w:r>
        <w:rPr>
          <w:bCs/>
          <w:u w:val="single"/>
          <w:lang w:val="en-GB"/>
        </w:rPr>
        <w:t xml:space="preserve">). </w:t>
      </w:r>
      <w:r w:rsidR="00154452">
        <w:rPr>
          <w:bCs/>
          <w:u w:val="single"/>
          <w:lang w:val="en-GB"/>
        </w:rPr>
        <w:t xml:space="preserve">When </w:t>
      </w:r>
      <w:r w:rsidR="000D4027">
        <w:rPr>
          <w:bCs/>
          <w:u w:val="single"/>
          <w:lang w:val="en-GB"/>
        </w:rPr>
        <w:t xml:space="preserve">a 20MHz operating </w:t>
      </w:r>
      <w:r w:rsidR="00773B15">
        <w:rPr>
          <w:bCs/>
          <w:u w:val="single"/>
          <w:lang w:val="en-GB"/>
        </w:rPr>
        <w:t>non-AP STA</w:t>
      </w:r>
      <w:r w:rsidR="00154452">
        <w:rPr>
          <w:bCs/>
          <w:u w:val="single"/>
          <w:lang w:val="en-GB"/>
        </w:rPr>
        <w:t xml:space="preserve"> is </w:t>
      </w:r>
      <w:r w:rsidR="000D4027">
        <w:rPr>
          <w:bCs/>
          <w:u w:val="single"/>
          <w:lang w:val="en-GB"/>
        </w:rPr>
        <w:t>either a recipient of 40, 80, 80+80 or 160 MHz DL-OFDMA, or one of transmitters of 40, 80, 80+80 or 160 MHz UL-OFDMA</w:t>
      </w:r>
      <w:r w:rsidR="00154452">
        <w:rPr>
          <w:bCs/>
          <w:u w:val="single"/>
          <w:lang w:val="en-GB"/>
        </w:rPr>
        <w:t>, RU tone mapping in</w:t>
      </w:r>
      <w:r w:rsidR="000D4027">
        <w:rPr>
          <w:bCs/>
          <w:u w:val="single"/>
          <w:lang w:val="en-GB"/>
        </w:rPr>
        <w:t xml:space="preserve"> 20MHz is not aligned with 40, 80, 80+80 or 160 MHz RU tone mapping (</w:t>
      </w:r>
      <w:r w:rsidR="003D0C97">
        <w:rPr>
          <w:bCs/>
          <w:u w:val="single"/>
          <w:lang w:val="en-GB"/>
        </w:rPr>
        <w:t xml:space="preserve">see </w:t>
      </w:r>
      <w:r w:rsidR="000D4027">
        <w:rPr>
          <w:bCs/>
          <w:u w:val="single"/>
          <w:lang w:val="en-GB"/>
        </w:rPr>
        <w:t>26.3.7.1). Due to misalignment of these RU location</w:t>
      </w:r>
      <w:r w:rsidR="00623283">
        <w:rPr>
          <w:bCs/>
          <w:u w:val="single"/>
          <w:lang w:val="en-GB"/>
        </w:rPr>
        <w:t>s</w:t>
      </w:r>
      <w:r w:rsidR="000D4027">
        <w:rPr>
          <w:bCs/>
          <w:u w:val="single"/>
          <w:lang w:val="en-GB"/>
        </w:rPr>
        <w:t xml:space="preserve">, some of these RUs may cause significant performance penalty or interference to neighbour </w:t>
      </w:r>
      <w:proofErr w:type="spellStart"/>
      <w:r w:rsidR="000D4027">
        <w:rPr>
          <w:bCs/>
          <w:u w:val="single"/>
          <w:lang w:val="en-GB"/>
        </w:rPr>
        <w:t>RUs.</w:t>
      </w:r>
      <w:proofErr w:type="spellEnd"/>
      <w:r w:rsidR="000D4027">
        <w:rPr>
          <w:bCs/>
          <w:u w:val="single"/>
          <w:lang w:val="en-GB"/>
        </w:rPr>
        <w:t xml:space="preserve"> To improve the throughput</w:t>
      </w:r>
      <w:r w:rsidR="00B93F41">
        <w:rPr>
          <w:bCs/>
          <w:u w:val="single"/>
          <w:lang w:val="en-GB"/>
        </w:rPr>
        <w:t xml:space="preserve"> and interoperability</w:t>
      </w:r>
      <w:r w:rsidR="000D4027">
        <w:rPr>
          <w:bCs/>
          <w:u w:val="single"/>
          <w:lang w:val="en-GB"/>
        </w:rPr>
        <w:t xml:space="preserve">, some RUs in 20MHz operating STAs </w:t>
      </w:r>
      <w:r w:rsidR="009A38F5">
        <w:rPr>
          <w:bCs/>
          <w:u w:val="single"/>
          <w:lang w:val="en-GB"/>
        </w:rPr>
        <w:t>are</w:t>
      </w:r>
      <w:r w:rsidR="000D4027">
        <w:rPr>
          <w:bCs/>
          <w:u w:val="single"/>
          <w:lang w:val="en-GB"/>
        </w:rPr>
        <w:t xml:space="preserve"> restricted to be used in 40, 80, 80+80 or 160 MHz OFDMA operation</w:t>
      </w:r>
    </w:p>
    <w:p w14:paraId="2FB669A5" w14:textId="77777777" w:rsidR="000D4027" w:rsidRDefault="000D4027" w:rsidP="001A463A">
      <w:pPr>
        <w:pStyle w:val="Default"/>
        <w:rPr>
          <w:bCs/>
          <w:u w:val="single"/>
          <w:lang w:val="en-GB"/>
        </w:rPr>
      </w:pPr>
    </w:p>
    <w:p w14:paraId="450F08E0" w14:textId="77777777" w:rsidR="00AD6401" w:rsidRPr="007331F2" w:rsidRDefault="00807C0D" w:rsidP="007331F2">
      <w:pPr>
        <w:pStyle w:val="Default"/>
        <w:rPr>
          <w:bCs/>
          <w:u w:val="single"/>
        </w:rPr>
      </w:pPr>
      <w:r w:rsidRPr="007331F2">
        <w:rPr>
          <w:bCs/>
          <w:u w:val="single"/>
        </w:rPr>
        <w:t>AP shall not assign following RUs to 20 MHz operating STAs</w:t>
      </w:r>
    </w:p>
    <w:p w14:paraId="6CD454B6" w14:textId="3969A565" w:rsidR="00AD6401" w:rsidRPr="007331F2" w:rsidRDefault="007331F2" w:rsidP="007331F2">
      <w:pPr>
        <w:pStyle w:val="Default"/>
        <w:numPr>
          <w:ilvl w:val="0"/>
          <w:numId w:val="25"/>
        </w:numPr>
        <w:rPr>
          <w:bCs/>
          <w:u w:val="single"/>
        </w:rPr>
      </w:pPr>
      <w:r>
        <w:rPr>
          <w:bCs/>
          <w:u w:val="single"/>
        </w:rPr>
        <w:t xml:space="preserve">For 26-tone RUs, </w:t>
      </w:r>
      <w:bookmarkStart w:id="7" w:name="OLE_LINK1"/>
      <w:bookmarkStart w:id="8" w:name="OLE_LINK2"/>
      <w:r>
        <w:rPr>
          <w:bCs/>
          <w:u w:val="single"/>
        </w:rPr>
        <w:t>[Table 26-9 and 26-10</w:t>
      </w:r>
      <w:r w:rsidR="00807C0D" w:rsidRPr="007331F2">
        <w:rPr>
          <w:bCs/>
          <w:u w:val="single"/>
        </w:rPr>
        <w:t>]</w:t>
      </w:r>
      <w:bookmarkEnd w:id="7"/>
      <w:bookmarkEnd w:id="8"/>
    </w:p>
    <w:p w14:paraId="28C2B411" w14:textId="4369E7B4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7801E7">
        <w:rPr>
          <w:bCs/>
          <w:u w:val="single"/>
          <w:vertAlign w:val="subscript"/>
          <w:lang w:val="fi-FI"/>
        </w:rPr>
        <w:t xml:space="preserve"> </w:t>
      </w:r>
      <w:r w:rsidR="0050725A">
        <w:rPr>
          <w:bCs/>
          <w:u w:val="single"/>
          <w:lang w:val="fi-FI"/>
        </w:rPr>
        <w:t>5, 14 in 40 MHz DL/UL OFDMA</w:t>
      </w:r>
    </w:p>
    <w:p w14:paraId="5082C405" w14:textId="20D47901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2 </w:t>
      </w:r>
      <w:r w:rsidR="009845E6">
        <w:rPr>
          <w:bCs/>
          <w:u w:val="single"/>
          <w:lang w:val="fi-FI"/>
        </w:rPr>
        <w:t xml:space="preserve">of 26-tone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  <w:r w:rsidRPr="007331F2">
        <w:rPr>
          <w:bCs/>
          <w:u w:val="single"/>
          <w:lang w:val="fi-FI"/>
        </w:rPr>
        <w:t xml:space="preserve"> </w:t>
      </w:r>
    </w:p>
    <w:p w14:paraId="43A6D779" w14:textId="377C7258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7801E7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  <w:lang w:val="fi-FI"/>
        </w:rPr>
        <w:t>5, 10, 14, 19, 2</w:t>
      </w:r>
      <w:r w:rsidR="0050725A">
        <w:rPr>
          <w:bCs/>
          <w:u w:val="single"/>
          <w:lang w:val="fi-FI"/>
        </w:rPr>
        <w:t>4, 28, 33 in 80 MHz DL/UL OFDMA</w:t>
      </w:r>
    </w:p>
    <w:p w14:paraId="72A506C2" w14:textId="0D44BDEA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7 </w:t>
      </w:r>
      <w:r w:rsidR="009845E6">
        <w:rPr>
          <w:bCs/>
          <w:u w:val="single"/>
          <w:lang w:val="fi-FI"/>
        </w:rPr>
        <w:t xml:space="preserve">of 26-tone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</w:p>
    <w:p w14:paraId="40013D75" w14:textId="507D565F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7801E7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  <w:lang w:val="fi-FI"/>
        </w:rPr>
        <w:t xml:space="preserve">5, 10, 14, 19, 24, 28, 33 in </w:t>
      </w:r>
      <w:proofErr w:type="spellStart"/>
      <w:r w:rsidRPr="007331F2">
        <w:rPr>
          <w:bCs/>
          <w:u w:val="single"/>
          <w:lang w:val="fi-FI"/>
        </w:rPr>
        <w:t>lower</w:t>
      </w:r>
      <w:proofErr w:type="spellEnd"/>
      <w:r w:rsidRPr="007331F2">
        <w:rPr>
          <w:bCs/>
          <w:u w:val="single"/>
          <w:lang w:val="fi-FI"/>
        </w:rPr>
        <w:t xml:space="preserve"> 80 MHz and </w:t>
      </w:r>
      <w:proofErr w:type="spellStart"/>
      <w:r w:rsidRPr="007331F2">
        <w:rPr>
          <w:bCs/>
          <w:u w:val="single"/>
          <w:lang w:val="fi-FI"/>
        </w:rPr>
        <w:t>upper</w:t>
      </w:r>
      <w:proofErr w:type="spellEnd"/>
      <w:r w:rsidRPr="007331F2">
        <w:rPr>
          <w:bCs/>
          <w:u w:val="single"/>
          <w:lang w:val="fi-FI"/>
        </w:rPr>
        <w:t xml:space="preserve"> 80 MHz, in 80+80 </w:t>
      </w:r>
      <w:proofErr w:type="spellStart"/>
      <w:r w:rsidRPr="007331F2">
        <w:rPr>
          <w:bCs/>
          <w:u w:val="single"/>
          <w:lang w:val="fi-FI"/>
        </w:rPr>
        <w:t>or</w:t>
      </w:r>
      <w:proofErr w:type="spellEnd"/>
      <w:r w:rsidRPr="007331F2">
        <w:rPr>
          <w:bCs/>
          <w:u w:val="single"/>
          <w:lang w:val="fi-FI"/>
        </w:rPr>
        <w:t xml:space="preserve"> 160 MHz DL/UL OFDMA </w:t>
      </w:r>
    </w:p>
    <w:p w14:paraId="0A9F8A73" w14:textId="4C44BDCF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14 </w:t>
      </w:r>
      <w:r w:rsidR="009845E6">
        <w:rPr>
          <w:bCs/>
          <w:u w:val="single"/>
          <w:lang w:val="fi-FI"/>
        </w:rPr>
        <w:t xml:space="preserve">of 26-tone </w:t>
      </w:r>
      <w:proofErr w:type="spellStart"/>
      <w:r w:rsidRPr="007331F2">
        <w:rPr>
          <w:bCs/>
          <w:u w:val="single"/>
          <w:lang w:val="fi-FI"/>
        </w:rPr>
        <w:t>R</w:t>
      </w:r>
      <w:r w:rsidR="009845E6">
        <w:rPr>
          <w:bCs/>
          <w:u w:val="single"/>
          <w:lang w:val="fi-FI"/>
        </w:rPr>
        <w:t>U</w:t>
      </w:r>
      <w:r w:rsidRPr="007331F2">
        <w:rPr>
          <w:bCs/>
          <w:u w:val="single"/>
          <w:lang w:val="fi-FI"/>
        </w:rPr>
        <w:t>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</w:p>
    <w:p w14:paraId="258F0232" w14:textId="65757F77" w:rsidR="00AD6401" w:rsidRPr="007331F2" w:rsidRDefault="00807C0D" w:rsidP="007331F2">
      <w:pPr>
        <w:pStyle w:val="Default"/>
        <w:numPr>
          <w:ilvl w:val="0"/>
          <w:numId w:val="25"/>
        </w:numPr>
        <w:rPr>
          <w:bCs/>
          <w:u w:val="single"/>
        </w:rPr>
      </w:pPr>
      <w:r w:rsidRPr="007331F2">
        <w:rPr>
          <w:bCs/>
          <w:u w:val="single"/>
        </w:rPr>
        <w:t xml:space="preserve">For 52-tone RUs, </w:t>
      </w:r>
      <w:r w:rsidR="007331F2">
        <w:rPr>
          <w:bCs/>
          <w:u w:val="single"/>
        </w:rPr>
        <w:t>[Table 26-9 and 26-10</w:t>
      </w:r>
      <w:r w:rsidR="007331F2" w:rsidRPr="007331F2">
        <w:rPr>
          <w:bCs/>
          <w:u w:val="single"/>
        </w:rPr>
        <w:t>]</w:t>
      </w:r>
    </w:p>
    <w:p w14:paraId="7A53F647" w14:textId="3C3B7827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7801E7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  <w:lang w:val="fi-FI"/>
        </w:rPr>
        <w:t xml:space="preserve">5, 12 in 80 MHz DL/UL OFDMA </w:t>
      </w:r>
    </w:p>
    <w:p w14:paraId="021BF1E4" w14:textId="26FC4DD0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2 </w:t>
      </w:r>
      <w:r w:rsidR="009845E6">
        <w:rPr>
          <w:bCs/>
          <w:u w:val="single"/>
          <w:lang w:val="fi-FI"/>
        </w:rPr>
        <w:t xml:space="preserve">of 52-tone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  <w:r w:rsidRPr="007331F2">
        <w:rPr>
          <w:bCs/>
          <w:u w:val="single"/>
          <w:lang w:val="fi-FI"/>
        </w:rPr>
        <w:t xml:space="preserve"> </w:t>
      </w:r>
    </w:p>
    <w:p w14:paraId="051B611E" w14:textId="73674B0F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7801E7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  <w:lang w:val="fi-FI"/>
        </w:rPr>
        <w:t xml:space="preserve">5, 12 in </w:t>
      </w:r>
      <w:proofErr w:type="spellStart"/>
      <w:r w:rsidRPr="007331F2">
        <w:rPr>
          <w:bCs/>
          <w:u w:val="single"/>
          <w:lang w:val="fi-FI"/>
        </w:rPr>
        <w:t>lower</w:t>
      </w:r>
      <w:proofErr w:type="spellEnd"/>
      <w:r w:rsidRPr="007331F2">
        <w:rPr>
          <w:bCs/>
          <w:u w:val="single"/>
          <w:lang w:val="fi-FI"/>
        </w:rPr>
        <w:t xml:space="preserve"> 80 MHz and </w:t>
      </w:r>
      <w:proofErr w:type="spellStart"/>
      <w:r w:rsidRPr="007331F2">
        <w:rPr>
          <w:bCs/>
          <w:u w:val="single"/>
          <w:lang w:val="fi-FI"/>
        </w:rPr>
        <w:t>upper</w:t>
      </w:r>
      <w:proofErr w:type="spellEnd"/>
      <w:r w:rsidRPr="007331F2">
        <w:rPr>
          <w:bCs/>
          <w:u w:val="single"/>
          <w:lang w:val="fi-FI"/>
        </w:rPr>
        <w:t xml:space="preserve"> 80 MHz, in 80+80 </w:t>
      </w:r>
      <w:proofErr w:type="spellStart"/>
      <w:r w:rsidRPr="007331F2">
        <w:rPr>
          <w:bCs/>
          <w:u w:val="single"/>
          <w:lang w:val="fi-FI"/>
        </w:rPr>
        <w:t>or</w:t>
      </w:r>
      <w:proofErr w:type="spellEnd"/>
      <w:r w:rsidRPr="007331F2">
        <w:rPr>
          <w:bCs/>
          <w:u w:val="single"/>
          <w:lang w:val="fi-FI"/>
        </w:rPr>
        <w:t xml:space="preserve"> 160 MHz DL/UL OFDMA </w:t>
      </w:r>
    </w:p>
    <w:p w14:paraId="0669729A" w14:textId="49F27514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4 </w:t>
      </w:r>
      <w:r w:rsidR="009845E6">
        <w:rPr>
          <w:bCs/>
          <w:u w:val="single"/>
          <w:lang w:val="fi-FI"/>
        </w:rPr>
        <w:t xml:space="preserve">of 52-tone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  <w:r w:rsidRPr="007331F2">
        <w:rPr>
          <w:bCs/>
          <w:u w:val="single"/>
          <w:lang w:val="fi-FI"/>
        </w:rPr>
        <w:t xml:space="preserve"> </w:t>
      </w:r>
    </w:p>
    <w:p w14:paraId="165E38FB" w14:textId="2CDEEA71" w:rsidR="00AD6401" w:rsidRPr="007331F2" w:rsidRDefault="00807C0D" w:rsidP="007331F2">
      <w:pPr>
        <w:pStyle w:val="Default"/>
        <w:numPr>
          <w:ilvl w:val="0"/>
          <w:numId w:val="25"/>
        </w:numPr>
        <w:rPr>
          <w:bCs/>
          <w:u w:val="single"/>
        </w:rPr>
      </w:pPr>
      <w:r w:rsidRPr="007331F2">
        <w:rPr>
          <w:bCs/>
          <w:u w:val="single"/>
        </w:rPr>
        <w:t xml:space="preserve">For 106-tone RUs, </w:t>
      </w:r>
      <w:r w:rsidR="007331F2">
        <w:rPr>
          <w:bCs/>
          <w:u w:val="single"/>
        </w:rPr>
        <w:t>[Table 26-9 and 26-10</w:t>
      </w:r>
      <w:r w:rsidR="007331F2" w:rsidRPr="007331F2">
        <w:rPr>
          <w:bCs/>
          <w:u w:val="single"/>
        </w:rPr>
        <w:t>]</w:t>
      </w:r>
    </w:p>
    <w:p w14:paraId="37BCC4DC" w14:textId="765517F4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>RU</w:t>
      </w:r>
      <w:r w:rsidR="009845E6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</w:rPr>
        <w:t xml:space="preserve">3, 6 in 80MHz </w:t>
      </w:r>
      <w:r w:rsidR="0050725A">
        <w:rPr>
          <w:bCs/>
          <w:u w:val="single"/>
          <w:lang w:val="fi-FI"/>
        </w:rPr>
        <w:t>DL/UL OFDMA</w:t>
      </w:r>
    </w:p>
    <w:p w14:paraId="5FD91066" w14:textId="110ABFAE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2 </w:t>
      </w:r>
      <w:r w:rsidR="009845E6">
        <w:rPr>
          <w:bCs/>
          <w:u w:val="single"/>
          <w:lang w:val="fi-FI"/>
        </w:rPr>
        <w:t xml:space="preserve">of 106-tone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  <w:r w:rsidRPr="007331F2">
        <w:rPr>
          <w:bCs/>
          <w:u w:val="single"/>
          <w:lang w:val="fi-FI"/>
        </w:rPr>
        <w:t xml:space="preserve"> </w:t>
      </w:r>
    </w:p>
    <w:p w14:paraId="25570926" w14:textId="3984E434" w:rsidR="00AD6401" w:rsidRPr="007331F2" w:rsidRDefault="00807C0D" w:rsidP="007331F2">
      <w:pPr>
        <w:pStyle w:val="Default"/>
        <w:numPr>
          <w:ilvl w:val="1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lastRenderedPageBreak/>
        <w:t>RU</w:t>
      </w:r>
      <w:r w:rsidR="009845E6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</w:rPr>
        <w:t xml:space="preserve">3, 6 in </w:t>
      </w:r>
      <w:proofErr w:type="spellStart"/>
      <w:r w:rsidRPr="007331F2">
        <w:rPr>
          <w:bCs/>
          <w:u w:val="single"/>
          <w:lang w:val="fi-FI"/>
        </w:rPr>
        <w:t>lower</w:t>
      </w:r>
      <w:proofErr w:type="spellEnd"/>
      <w:r w:rsidRPr="007331F2">
        <w:rPr>
          <w:bCs/>
          <w:u w:val="single"/>
          <w:lang w:val="fi-FI"/>
        </w:rPr>
        <w:t xml:space="preserve"> 80 MHz and </w:t>
      </w:r>
      <w:proofErr w:type="spellStart"/>
      <w:r w:rsidRPr="007331F2">
        <w:rPr>
          <w:bCs/>
          <w:u w:val="single"/>
          <w:lang w:val="fi-FI"/>
        </w:rPr>
        <w:t>upper</w:t>
      </w:r>
      <w:proofErr w:type="spellEnd"/>
      <w:r w:rsidRPr="007331F2">
        <w:rPr>
          <w:bCs/>
          <w:u w:val="single"/>
          <w:lang w:val="fi-FI"/>
        </w:rPr>
        <w:t xml:space="preserve"> 80 MHz, in 80+80 </w:t>
      </w:r>
      <w:proofErr w:type="spellStart"/>
      <w:r w:rsidRPr="007331F2">
        <w:rPr>
          <w:bCs/>
          <w:u w:val="single"/>
          <w:lang w:val="fi-FI"/>
        </w:rPr>
        <w:t>or</w:t>
      </w:r>
      <w:proofErr w:type="spellEnd"/>
      <w:r w:rsidRPr="007331F2">
        <w:rPr>
          <w:bCs/>
          <w:u w:val="single"/>
          <w:lang w:val="fi-FI"/>
        </w:rPr>
        <w:t xml:space="preserve"> 160 MHz DL/UL OFDMA </w:t>
      </w:r>
      <w:bookmarkStart w:id="9" w:name="_GoBack"/>
      <w:bookmarkEnd w:id="9"/>
    </w:p>
    <w:p w14:paraId="1706C675" w14:textId="75C37F0F" w:rsidR="00AD6401" w:rsidRPr="007331F2" w:rsidRDefault="00807C0D" w:rsidP="007331F2">
      <w:pPr>
        <w:pStyle w:val="Default"/>
        <w:numPr>
          <w:ilvl w:val="2"/>
          <w:numId w:val="25"/>
        </w:numPr>
        <w:rPr>
          <w:bCs/>
          <w:u w:val="single"/>
        </w:rPr>
      </w:pPr>
      <w:r w:rsidRPr="007331F2">
        <w:rPr>
          <w:bCs/>
          <w:u w:val="single"/>
          <w:lang w:val="fi-FI"/>
        </w:rPr>
        <w:t xml:space="preserve">4 </w:t>
      </w:r>
      <w:r w:rsidR="009845E6">
        <w:rPr>
          <w:bCs/>
          <w:u w:val="single"/>
          <w:lang w:val="fi-FI"/>
        </w:rPr>
        <w:t xml:space="preserve">of 106-tone </w:t>
      </w:r>
      <w:proofErr w:type="spellStart"/>
      <w:r w:rsidRPr="007331F2">
        <w:rPr>
          <w:bCs/>
          <w:u w:val="single"/>
          <w:lang w:val="fi-FI"/>
        </w:rPr>
        <w:t>RUs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restricted</w:t>
      </w:r>
      <w:proofErr w:type="spellEnd"/>
      <w:r w:rsidRPr="007331F2">
        <w:rPr>
          <w:bCs/>
          <w:u w:val="single"/>
          <w:lang w:val="fi-FI"/>
        </w:rPr>
        <w:t xml:space="preserve"> </w:t>
      </w:r>
    </w:p>
    <w:p w14:paraId="69F45BED" w14:textId="77777777" w:rsidR="007331F2" w:rsidRPr="007331F2" w:rsidRDefault="007331F2" w:rsidP="009845E6">
      <w:pPr>
        <w:pStyle w:val="Default"/>
        <w:ind w:left="1800"/>
        <w:rPr>
          <w:bCs/>
          <w:u w:val="single"/>
        </w:rPr>
      </w:pPr>
    </w:p>
    <w:p w14:paraId="17996A77" w14:textId="370C7E38" w:rsidR="007331F2" w:rsidRDefault="00807C0D" w:rsidP="007331F2">
      <w:pPr>
        <w:pStyle w:val="Default"/>
        <w:rPr>
          <w:bCs/>
          <w:u w:val="single"/>
          <w:lang w:val="fi-FI"/>
        </w:rPr>
      </w:pPr>
      <w:r w:rsidRPr="007331F2">
        <w:rPr>
          <w:bCs/>
          <w:u w:val="single"/>
          <w:lang w:val="fi-FI"/>
        </w:rPr>
        <w:t xml:space="preserve">Center </w:t>
      </w:r>
      <w:r w:rsidR="009845E6">
        <w:rPr>
          <w:bCs/>
          <w:u w:val="single"/>
          <w:lang w:val="fi-FI"/>
        </w:rPr>
        <w:t xml:space="preserve">26-tone </w:t>
      </w:r>
      <w:r w:rsidRPr="007331F2">
        <w:rPr>
          <w:bCs/>
          <w:u w:val="single"/>
          <w:lang w:val="fi-FI"/>
        </w:rPr>
        <w:t>RU</w:t>
      </w:r>
      <w:r w:rsidR="00333EDF">
        <w:rPr>
          <w:bCs/>
          <w:u w:val="single"/>
          <w:lang w:val="fi-FI"/>
        </w:rPr>
        <w:t xml:space="preserve"> </w:t>
      </w:r>
      <w:r w:rsidRPr="007331F2">
        <w:rPr>
          <w:bCs/>
          <w:u w:val="single"/>
          <w:lang w:val="fi-FI"/>
        </w:rPr>
        <w:t xml:space="preserve">in </w:t>
      </w:r>
      <w:proofErr w:type="spellStart"/>
      <w:r w:rsidRPr="007331F2">
        <w:rPr>
          <w:bCs/>
          <w:u w:val="single"/>
          <w:lang w:val="fi-FI"/>
        </w:rPr>
        <w:t>primary</w:t>
      </w:r>
      <w:proofErr w:type="spellEnd"/>
      <w:r w:rsidRPr="007331F2">
        <w:rPr>
          <w:bCs/>
          <w:u w:val="single"/>
          <w:lang w:val="fi-FI"/>
        </w:rPr>
        <w:t xml:space="preserve"> 20 </w:t>
      </w:r>
      <w:proofErr w:type="spellStart"/>
      <w:r w:rsidRPr="007331F2">
        <w:rPr>
          <w:bCs/>
          <w:u w:val="single"/>
          <w:lang w:val="fi-FI"/>
        </w:rPr>
        <w:t>channel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shall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not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be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assigned</w:t>
      </w:r>
      <w:proofErr w:type="spellEnd"/>
      <w:r w:rsidRPr="007331F2">
        <w:rPr>
          <w:bCs/>
          <w:u w:val="single"/>
          <w:lang w:val="fi-FI"/>
        </w:rPr>
        <w:t xml:space="preserve"> to </w:t>
      </w:r>
      <w:proofErr w:type="spellStart"/>
      <w:r w:rsidRPr="007331F2">
        <w:rPr>
          <w:bCs/>
          <w:u w:val="single"/>
          <w:lang w:val="fi-FI"/>
        </w:rPr>
        <w:t>any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STAs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where</w:t>
      </w:r>
      <w:proofErr w:type="spellEnd"/>
      <w:r w:rsidRPr="007331F2">
        <w:rPr>
          <w:bCs/>
          <w:u w:val="single"/>
          <w:lang w:val="fi-FI"/>
        </w:rPr>
        <w:t xml:space="preserve"> 20MHz operating </w:t>
      </w:r>
      <w:proofErr w:type="spellStart"/>
      <w:r w:rsidRPr="007331F2">
        <w:rPr>
          <w:bCs/>
          <w:u w:val="single"/>
          <w:lang w:val="fi-FI"/>
        </w:rPr>
        <w:t>STAs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are</w:t>
      </w:r>
      <w:proofErr w:type="spellEnd"/>
      <w:r w:rsidRPr="007331F2">
        <w:rPr>
          <w:bCs/>
          <w:u w:val="single"/>
          <w:lang w:val="fi-FI"/>
        </w:rPr>
        <w:t xml:space="preserve"> </w:t>
      </w:r>
      <w:proofErr w:type="spellStart"/>
      <w:r w:rsidRPr="007331F2">
        <w:rPr>
          <w:bCs/>
          <w:u w:val="single"/>
          <w:lang w:val="fi-FI"/>
        </w:rPr>
        <w:t>recipients</w:t>
      </w:r>
      <w:proofErr w:type="spellEnd"/>
      <w:r w:rsidRPr="007331F2">
        <w:rPr>
          <w:bCs/>
          <w:u w:val="single"/>
          <w:lang w:val="fi-FI"/>
        </w:rPr>
        <w:t xml:space="preserve"> of 40/80/160/80+80 OFDMA</w:t>
      </w:r>
      <w:r w:rsidR="007331F2">
        <w:rPr>
          <w:bCs/>
          <w:u w:val="single"/>
          <w:lang w:val="fi-FI"/>
        </w:rPr>
        <w:t xml:space="preserve">. </w:t>
      </w:r>
    </w:p>
    <w:p w14:paraId="61057251" w14:textId="77777777" w:rsidR="007331F2" w:rsidRDefault="007331F2" w:rsidP="007331F2">
      <w:pPr>
        <w:pStyle w:val="Default"/>
        <w:rPr>
          <w:bCs/>
          <w:u w:val="single"/>
          <w:lang w:val="fi-FI"/>
        </w:rPr>
      </w:pPr>
    </w:p>
    <w:p w14:paraId="4653D60F" w14:textId="409F3ABD" w:rsidR="00AD6401" w:rsidRPr="007331F2" w:rsidRDefault="00807C0D" w:rsidP="007331F2">
      <w:pPr>
        <w:pStyle w:val="Default"/>
        <w:rPr>
          <w:bCs/>
          <w:u w:val="single"/>
          <w:lang w:val="fi-FI"/>
        </w:rPr>
      </w:pPr>
      <w:r w:rsidRPr="007331F2">
        <w:rPr>
          <w:bCs/>
          <w:u w:val="single"/>
        </w:rPr>
        <w:t xml:space="preserve">It is optional whether all </w:t>
      </w:r>
      <w:r w:rsidR="009845E6">
        <w:rPr>
          <w:bCs/>
          <w:u w:val="single"/>
        </w:rPr>
        <w:t xml:space="preserve">242-tone </w:t>
      </w:r>
      <w:r w:rsidRPr="007331F2">
        <w:rPr>
          <w:bCs/>
          <w:u w:val="single"/>
          <w:lang w:val="fi-FI"/>
        </w:rPr>
        <w:t>RU</w:t>
      </w:r>
      <w:r w:rsidRPr="007331F2">
        <w:rPr>
          <w:bCs/>
          <w:u w:val="single"/>
        </w:rPr>
        <w:t xml:space="preserve">s of 20 MHz operating STAs to be supported </w:t>
      </w:r>
      <w:r w:rsidR="007331F2">
        <w:rPr>
          <w:bCs/>
          <w:u w:val="single"/>
        </w:rPr>
        <w:t xml:space="preserve">in 40/80/160/80+80 MHz DL-OFDMA. </w:t>
      </w:r>
      <w:r w:rsidRPr="007331F2">
        <w:rPr>
          <w:bCs/>
          <w:u w:val="single"/>
        </w:rPr>
        <w:t xml:space="preserve">If supported, there is no restriction on </w:t>
      </w:r>
      <w:r w:rsidR="009845E6">
        <w:rPr>
          <w:bCs/>
          <w:u w:val="single"/>
        </w:rPr>
        <w:t xml:space="preserve">242-tone </w:t>
      </w:r>
      <w:r w:rsidRPr="007331F2">
        <w:rPr>
          <w:bCs/>
          <w:u w:val="single"/>
          <w:lang w:val="fi-FI"/>
        </w:rPr>
        <w:t>RU</w:t>
      </w:r>
      <w:r w:rsidR="007331F2">
        <w:rPr>
          <w:bCs/>
          <w:u w:val="single"/>
        </w:rPr>
        <w:t xml:space="preserve">s. </w:t>
      </w:r>
      <w:r w:rsidR="009845E6">
        <w:rPr>
          <w:bCs/>
          <w:u w:val="single"/>
        </w:rPr>
        <w:t xml:space="preserve">242-tone </w:t>
      </w:r>
      <w:r w:rsidRPr="007331F2">
        <w:rPr>
          <w:bCs/>
          <w:u w:val="single"/>
          <w:lang w:val="fi-FI"/>
        </w:rPr>
        <w:t>RU</w:t>
      </w:r>
      <w:r w:rsidRPr="007331F2">
        <w:rPr>
          <w:bCs/>
          <w:u w:val="single"/>
          <w:vertAlign w:val="subscript"/>
          <w:lang w:val="fi-FI"/>
        </w:rPr>
        <w:t xml:space="preserve"> </w:t>
      </w:r>
      <w:r w:rsidRPr="007331F2">
        <w:rPr>
          <w:bCs/>
          <w:u w:val="single"/>
        </w:rPr>
        <w:t>shall not be allocated to 20MHz operating STAs in 40/80/160/80+80 for UL-OFDMA</w:t>
      </w:r>
    </w:p>
    <w:p w14:paraId="73D1B6F8" w14:textId="77777777" w:rsidR="007331F2" w:rsidRPr="007331F2" w:rsidRDefault="007331F2" w:rsidP="007331F2">
      <w:pPr>
        <w:pStyle w:val="Default"/>
        <w:rPr>
          <w:bCs/>
          <w:u w:val="single"/>
        </w:rPr>
      </w:pPr>
    </w:p>
    <w:p w14:paraId="42538A93" w14:textId="682EE42C" w:rsidR="001A463A" w:rsidRPr="001A463A" w:rsidRDefault="001A463A" w:rsidP="001A463A">
      <w:pPr>
        <w:pStyle w:val="Default"/>
      </w:pPr>
    </w:p>
    <w:p w14:paraId="75CFA800" w14:textId="66783E1E" w:rsidR="001A463A" w:rsidRPr="001A463A" w:rsidRDefault="001A463A" w:rsidP="001A463A">
      <w:pPr>
        <w:pStyle w:val="Default"/>
        <w:rPr>
          <w:bCs/>
          <w:u w:val="single"/>
          <w:lang w:val="en-GB"/>
        </w:rPr>
      </w:pPr>
      <w:r w:rsidRPr="001A463A">
        <w:rPr>
          <w:bCs/>
          <w:u w:val="single"/>
          <w:lang w:val="en-GB"/>
        </w:rPr>
        <w:t xml:space="preserve"> </w:t>
      </w:r>
    </w:p>
    <w:sectPr w:rsidR="001A463A" w:rsidRPr="001A463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1F6D4" w14:textId="77777777" w:rsidR="008F3902" w:rsidRDefault="008F3902">
      <w:r>
        <w:separator/>
      </w:r>
    </w:p>
  </w:endnote>
  <w:endnote w:type="continuationSeparator" w:id="0">
    <w:p w14:paraId="7CB6F55D" w14:textId="77777777" w:rsidR="008F3902" w:rsidRDefault="008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1658A6C" w:rsidR="002E3A13" w:rsidRDefault="000269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3A13">
        <w:t>Submission</w:t>
      </w:r>
    </w:fldSimple>
    <w:r w:rsidR="002E3A13">
      <w:tab/>
      <w:t xml:space="preserve">page </w:t>
    </w:r>
    <w:r w:rsidR="002E3A13">
      <w:fldChar w:fldCharType="begin"/>
    </w:r>
    <w:r w:rsidR="002E3A13">
      <w:instrText xml:space="preserve">page </w:instrText>
    </w:r>
    <w:r w:rsidR="002E3A13">
      <w:fldChar w:fldCharType="separate"/>
    </w:r>
    <w:r w:rsidR="0050725A">
      <w:rPr>
        <w:noProof/>
      </w:rPr>
      <w:t>2</w:t>
    </w:r>
    <w:r w:rsidR="002E3A13">
      <w:rPr>
        <w:noProof/>
      </w:rPr>
      <w:fldChar w:fldCharType="end"/>
    </w:r>
    <w:r w:rsidR="002E3A13">
      <w:tab/>
    </w:r>
    <w:proofErr w:type="spellStart"/>
    <w:r w:rsidR="00FD0416">
      <w:rPr>
        <w:lang w:eastAsia="ko-KR"/>
      </w:rPr>
      <w:t>Joonsuk</w:t>
    </w:r>
    <w:proofErr w:type="spellEnd"/>
    <w:r w:rsidR="00FD0416">
      <w:rPr>
        <w:lang w:eastAsia="ko-KR"/>
      </w:rPr>
      <w:t xml:space="preserve"> Kim</w:t>
    </w:r>
    <w:r w:rsidR="002E3A13">
      <w:t xml:space="preserve">, </w:t>
    </w:r>
    <w:r w:rsidR="00FD0416">
      <w:t>Apple</w:t>
    </w:r>
  </w:p>
  <w:p w14:paraId="78B10FFF" w14:textId="77777777" w:rsidR="002E3A13" w:rsidRDefault="002E3A1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B789" w14:textId="77777777" w:rsidR="008F3902" w:rsidRDefault="008F3902">
      <w:r>
        <w:separator/>
      </w:r>
    </w:p>
  </w:footnote>
  <w:footnote w:type="continuationSeparator" w:id="0">
    <w:p w14:paraId="16B6AC5F" w14:textId="77777777" w:rsidR="008F3902" w:rsidRDefault="008F3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4544F12" w:rsidR="002E3A13" w:rsidRDefault="002E3A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 w:rsidR="00607F27">
        <w:rPr>
          <w:lang w:eastAsia="ko-KR"/>
        </w:rPr>
        <w:t>0908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1D4D2C"/>
    <w:multiLevelType w:val="hybridMultilevel"/>
    <w:tmpl w:val="B52617B0"/>
    <w:lvl w:ilvl="0" w:tplc="034497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4F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490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E91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2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8D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E34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0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2F5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56E02042"/>
    <w:multiLevelType w:val="hybridMultilevel"/>
    <w:tmpl w:val="83221E68"/>
    <w:lvl w:ilvl="0" w:tplc="F1A25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44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5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AED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846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01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0B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06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6A9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9">
    <w:nsid w:val="7CEB13EE"/>
    <w:multiLevelType w:val="hybridMultilevel"/>
    <w:tmpl w:val="9FDEA434"/>
    <w:lvl w:ilvl="0" w:tplc="06BA68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5C8A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A14564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A89D3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2A48D6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7808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32A49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825B7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9A3B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5"/>
  </w:num>
  <w:num w:numId="22">
    <w:abstractNumId w:val="14"/>
  </w:num>
  <w:num w:numId="23">
    <w:abstractNumId w:val="6"/>
  </w:num>
  <w:num w:numId="24">
    <w:abstractNumId w:val="16"/>
  </w:num>
  <w:num w:numId="25">
    <w:abstractNumId w:val="19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6907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1F0D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657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116D"/>
    <w:rsid w:val="000C27D0"/>
    <w:rsid w:val="000C44F3"/>
    <w:rsid w:val="000C4C29"/>
    <w:rsid w:val="000C513F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027"/>
    <w:rsid w:val="000D4A8F"/>
    <w:rsid w:val="000D5B24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03F"/>
    <w:rsid w:val="000E5560"/>
    <w:rsid w:val="000E6539"/>
    <w:rsid w:val="000E658A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1A03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55D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6C6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452"/>
    <w:rsid w:val="00154791"/>
    <w:rsid w:val="00154B26"/>
    <w:rsid w:val="00154C23"/>
    <w:rsid w:val="001557CB"/>
    <w:rsid w:val="001559BB"/>
    <w:rsid w:val="001563CA"/>
    <w:rsid w:val="00157E18"/>
    <w:rsid w:val="00160F21"/>
    <w:rsid w:val="00162436"/>
    <w:rsid w:val="00162D8C"/>
    <w:rsid w:val="0016428D"/>
    <w:rsid w:val="00165BE6"/>
    <w:rsid w:val="00166C4D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690E"/>
    <w:rsid w:val="00177439"/>
    <w:rsid w:val="00177539"/>
    <w:rsid w:val="00177BCE"/>
    <w:rsid w:val="001800A8"/>
    <w:rsid w:val="001812B0"/>
    <w:rsid w:val="00181423"/>
    <w:rsid w:val="00183698"/>
    <w:rsid w:val="00183C06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2F8A"/>
    <w:rsid w:val="00193C39"/>
    <w:rsid w:val="00193DC3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63A"/>
    <w:rsid w:val="001A498E"/>
    <w:rsid w:val="001A53E7"/>
    <w:rsid w:val="001A77FD"/>
    <w:rsid w:val="001B0001"/>
    <w:rsid w:val="001B0F79"/>
    <w:rsid w:val="001B252D"/>
    <w:rsid w:val="001B2636"/>
    <w:rsid w:val="001B2904"/>
    <w:rsid w:val="001B2E3B"/>
    <w:rsid w:val="001B4959"/>
    <w:rsid w:val="001B5935"/>
    <w:rsid w:val="001B5C8B"/>
    <w:rsid w:val="001B63BC"/>
    <w:rsid w:val="001B69F6"/>
    <w:rsid w:val="001B6F60"/>
    <w:rsid w:val="001B7D8A"/>
    <w:rsid w:val="001C270A"/>
    <w:rsid w:val="001C2FA4"/>
    <w:rsid w:val="001C307F"/>
    <w:rsid w:val="001C4259"/>
    <w:rsid w:val="001C4CFD"/>
    <w:rsid w:val="001C501D"/>
    <w:rsid w:val="001C565E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139"/>
    <w:rsid w:val="001D534C"/>
    <w:rsid w:val="001D581A"/>
    <w:rsid w:val="001D5890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E7FF2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ADC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085D"/>
    <w:rsid w:val="0026163C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6F59"/>
    <w:rsid w:val="002674D1"/>
    <w:rsid w:val="00267738"/>
    <w:rsid w:val="0026775A"/>
    <w:rsid w:val="00267B28"/>
    <w:rsid w:val="00270171"/>
    <w:rsid w:val="00270903"/>
    <w:rsid w:val="00270F98"/>
    <w:rsid w:val="002723C5"/>
    <w:rsid w:val="002727B8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A13"/>
    <w:rsid w:val="002E3ACF"/>
    <w:rsid w:val="002E61FD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2D24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89A"/>
    <w:rsid w:val="00331B52"/>
    <w:rsid w:val="00332A81"/>
    <w:rsid w:val="00332F54"/>
    <w:rsid w:val="00333EDF"/>
    <w:rsid w:val="0033468A"/>
    <w:rsid w:val="003347A4"/>
    <w:rsid w:val="00334920"/>
    <w:rsid w:val="00334DEA"/>
    <w:rsid w:val="003362EF"/>
    <w:rsid w:val="00336737"/>
    <w:rsid w:val="00336F5F"/>
    <w:rsid w:val="00337417"/>
    <w:rsid w:val="00340662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44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FDE"/>
    <w:rsid w:val="003653CC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5E"/>
    <w:rsid w:val="0037549B"/>
    <w:rsid w:val="00375F14"/>
    <w:rsid w:val="003766B9"/>
    <w:rsid w:val="00377E42"/>
    <w:rsid w:val="003800E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39A1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C97"/>
    <w:rsid w:val="003D1AFC"/>
    <w:rsid w:val="003D1D90"/>
    <w:rsid w:val="003D1E1B"/>
    <w:rsid w:val="003D23CE"/>
    <w:rsid w:val="003D24E1"/>
    <w:rsid w:val="003D26A5"/>
    <w:rsid w:val="003D298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34D"/>
    <w:rsid w:val="00461402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310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805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AE8"/>
    <w:rsid w:val="004E4B5B"/>
    <w:rsid w:val="004E533B"/>
    <w:rsid w:val="004E569B"/>
    <w:rsid w:val="004E66C3"/>
    <w:rsid w:val="004E7109"/>
    <w:rsid w:val="004E7E34"/>
    <w:rsid w:val="004F0CB7"/>
    <w:rsid w:val="004F36AA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5A"/>
    <w:rsid w:val="005072B6"/>
    <w:rsid w:val="00507500"/>
    <w:rsid w:val="0050752C"/>
    <w:rsid w:val="00507B1D"/>
    <w:rsid w:val="00507B1F"/>
    <w:rsid w:val="0051035D"/>
    <w:rsid w:val="005109A8"/>
    <w:rsid w:val="00513145"/>
    <w:rsid w:val="00513528"/>
    <w:rsid w:val="005151F3"/>
    <w:rsid w:val="0051588E"/>
    <w:rsid w:val="00517ED6"/>
    <w:rsid w:val="00520B8C"/>
    <w:rsid w:val="00521179"/>
    <w:rsid w:val="0052151C"/>
    <w:rsid w:val="00522391"/>
    <w:rsid w:val="00522A49"/>
    <w:rsid w:val="005235B6"/>
    <w:rsid w:val="005243B4"/>
    <w:rsid w:val="00526DD5"/>
    <w:rsid w:val="0052740F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24B"/>
    <w:rsid w:val="0054235E"/>
    <w:rsid w:val="0054425D"/>
    <w:rsid w:val="005442D3"/>
    <w:rsid w:val="00544B61"/>
    <w:rsid w:val="00545582"/>
    <w:rsid w:val="0054661C"/>
    <w:rsid w:val="00546C0D"/>
    <w:rsid w:val="00547951"/>
    <w:rsid w:val="00551F02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3212"/>
    <w:rsid w:val="00583366"/>
    <w:rsid w:val="00584118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6F7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2B5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329"/>
    <w:rsid w:val="005E6878"/>
    <w:rsid w:val="005E70FA"/>
    <w:rsid w:val="005E7461"/>
    <w:rsid w:val="005E768D"/>
    <w:rsid w:val="005E7B13"/>
    <w:rsid w:val="005F00B1"/>
    <w:rsid w:val="005F00E7"/>
    <w:rsid w:val="005F1688"/>
    <w:rsid w:val="005F19DD"/>
    <w:rsid w:val="005F1B89"/>
    <w:rsid w:val="005F23B2"/>
    <w:rsid w:val="005F25DF"/>
    <w:rsid w:val="005F2699"/>
    <w:rsid w:val="005F312B"/>
    <w:rsid w:val="005F3D04"/>
    <w:rsid w:val="005F3F63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0743C"/>
    <w:rsid w:val="00607F27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EC2"/>
    <w:rsid w:val="0061786B"/>
    <w:rsid w:val="00617896"/>
    <w:rsid w:val="00620F63"/>
    <w:rsid w:val="00621286"/>
    <w:rsid w:val="00621393"/>
    <w:rsid w:val="0062254C"/>
    <w:rsid w:val="0062298E"/>
    <w:rsid w:val="00623283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052E"/>
    <w:rsid w:val="00631EB7"/>
    <w:rsid w:val="00632E94"/>
    <w:rsid w:val="00633A8F"/>
    <w:rsid w:val="006346CB"/>
    <w:rsid w:val="00635200"/>
    <w:rsid w:val="00635B0C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737F"/>
    <w:rsid w:val="00680308"/>
    <w:rsid w:val="00680316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2FA9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214F"/>
    <w:rsid w:val="006D313E"/>
    <w:rsid w:val="006D3377"/>
    <w:rsid w:val="006D3971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25AD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1F2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A50"/>
    <w:rsid w:val="00766B1A"/>
    <w:rsid w:val="00766DFE"/>
    <w:rsid w:val="00772027"/>
    <w:rsid w:val="00773B15"/>
    <w:rsid w:val="0077406C"/>
    <w:rsid w:val="0077584D"/>
    <w:rsid w:val="0077797F"/>
    <w:rsid w:val="007801E7"/>
    <w:rsid w:val="00782735"/>
    <w:rsid w:val="00783B46"/>
    <w:rsid w:val="00784762"/>
    <w:rsid w:val="00784800"/>
    <w:rsid w:val="007850FC"/>
    <w:rsid w:val="00786810"/>
    <w:rsid w:val="00786A15"/>
    <w:rsid w:val="00786D1F"/>
    <w:rsid w:val="00790AE6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DCE"/>
    <w:rsid w:val="007C0795"/>
    <w:rsid w:val="007C13AC"/>
    <w:rsid w:val="007C14AD"/>
    <w:rsid w:val="007C3117"/>
    <w:rsid w:val="007C529E"/>
    <w:rsid w:val="007C5507"/>
    <w:rsid w:val="007C6B22"/>
    <w:rsid w:val="007C6C61"/>
    <w:rsid w:val="007C6D1C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07C0D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1EF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909"/>
    <w:rsid w:val="00842C5E"/>
    <w:rsid w:val="00843023"/>
    <w:rsid w:val="00844F79"/>
    <w:rsid w:val="00845397"/>
    <w:rsid w:val="008473FD"/>
    <w:rsid w:val="00847F00"/>
    <w:rsid w:val="0085030E"/>
    <w:rsid w:val="00850365"/>
    <w:rsid w:val="00850566"/>
    <w:rsid w:val="00850A27"/>
    <w:rsid w:val="00850D0C"/>
    <w:rsid w:val="00851411"/>
    <w:rsid w:val="00852B3C"/>
    <w:rsid w:val="008532E6"/>
    <w:rsid w:val="00853F62"/>
    <w:rsid w:val="00853FF2"/>
    <w:rsid w:val="00855910"/>
    <w:rsid w:val="00856535"/>
    <w:rsid w:val="0085795D"/>
    <w:rsid w:val="00860A27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8785A"/>
    <w:rsid w:val="008908FC"/>
    <w:rsid w:val="00891445"/>
    <w:rsid w:val="00892781"/>
    <w:rsid w:val="008939BF"/>
    <w:rsid w:val="00893A90"/>
    <w:rsid w:val="00894273"/>
    <w:rsid w:val="008946A7"/>
    <w:rsid w:val="00895186"/>
    <w:rsid w:val="00895A28"/>
    <w:rsid w:val="00895EFB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621"/>
    <w:rsid w:val="008A5A86"/>
    <w:rsid w:val="008A5AFD"/>
    <w:rsid w:val="008A5F8E"/>
    <w:rsid w:val="008A6CD4"/>
    <w:rsid w:val="008A7406"/>
    <w:rsid w:val="008A758E"/>
    <w:rsid w:val="008A788A"/>
    <w:rsid w:val="008A7DD6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CE7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902"/>
    <w:rsid w:val="008F3ED6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1312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421"/>
    <w:rsid w:val="009459D6"/>
    <w:rsid w:val="00945D55"/>
    <w:rsid w:val="009460BB"/>
    <w:rsid w:val="00946444"/>
    <w:rsid w:val="00946FD0"/>
    <w:rsid w:val="00947FF8"/>
    <w:rsid w:val="0095165A"/>
    <w:rsid w:val="00951CE8"/>
    <w:rsid w:val="00952AF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886"/>
    <w:rsid w:val="00962914"/>
    <w:rsid w:val="00964681"/>
    <w:rsid w:val="00964A7B"/>
    <w:rsid w:val="00966C9B"/>
    <w:rsid w:val="00967B5F"/>
    <w:rsid w:val="00967FC7"/>
    <w:rsid w:val="009704BC"/>
    <w:rsid w:val="00971382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45E6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38F5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6E02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9F76D9"/>
    <w:rsid w:val="00A00EE5"/>
    <w:rsid w:val="00A02C59"/>
    <w:rsid w:val="00A02E99"/>
    <w:rsid w:val="00A03C74"/>
    <w:rsid w:val="00A0491D"/>
    <w:rsid w:val="00A049E2"/>
    <w:rsid w:val="00A04A91"/>
    <w:rsid w:val="00A05AAD"/>
    <w:rsid w:val="00A05C2C"/>
    <w:rsid w:val="00A060E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F74"/>
    <w:rsid w:val="00A26BC9"/>
    <w:rsid w:val="00A26D8D"/>
    <w:rsid w:val="00A26F9B"/>
    <w:rsid w:val="00A27651"/>
    <w:rsid w:val="00A27692"/>
    <w:rsid w:val="00A30FE0"/>
    <w:rsid w:val="00A31997"/>
    <w:rsid w:val="00A321CF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338"/>
    <w:rsid w:val="00A40884"/>
    <w:rsid w:val="00A41FAA"/>
    <w:rsid w:val="00A422E8"/>
    <w:rsid w:val="00A42C28"/>
    <w:rsid w:val="00A43B6B"/>
    <w:rsid w:val="00A44183"/>
    <w:rsid w:val="00A441F9"/>
    <w:rsid w:val="00A45C7E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F48"/>
    <w:rsid w:val="00A62DE2"/>
    <w:rsid w:val="00A63809"/>
    <w:rsid w:val="00A6389A"/>
    <w:rsid w:val="00A63C51"/>
    <w:rsid w:val="00A63DC8"/>
    <w:rsid w:val="00A66CBC"/>
    <w:rsid w:val="00A66FDE"/>
    <w:rsid w:val="00A70990"/>
    <w:rsid w:val="00A71D19"/>
    <w:rsid w:val="00A7209A"/>
    <w:rsid w:val="00A759EB"/>
    <w:rsid w:val="00A75E56"/>
    <w:rsid w:val="00A76214"/>
    <w:rsid w:val="00A77F51"/>
    <w:rsid w:val="00A800B7"/>
    <w:rsid w:val="00A8056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F8F"/>
    <w:rsid w:val="00A93459"/>
    <w:rsid w:val="00A94330"/>
    <w:rsid w:val="00A95E21"/>
    <w:rsid w:val="00A96017"/>
    <w:rsid w:val="00A963A4"/>
    <w:rsid w:val="00A96DCC"/>
    <w:rsid w:val="00AA02C4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40EC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401"/>
    <w:rsid w:val="00AD6670"/>
    <w:rsid w:val="00AD6723"/>
    <w:rsid w:val="00AD6790"/>
    <w:rsid w:val="00AD699B"/>
    <w:rsid w:val="00AD6AE6"/>
    <w:rsid w:val="00AE0EC3"/>
    <w:rsid w:val="00AE2542"/>
    <w:rsid w:val="00AE3478"/>
    <w:rsid w:val="00AE4B3D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200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4F6"/>
    <w:rsid w:val="00B30882"/>
    <w:rsid w:val="00B33919"/>
    <w:rsid w:val="00B3400B"/>
    <w:rsid w:val="00B348D8"/>
    <w:rsid w:val="00B350FD"/>
    <w:rsid w:val="00B35ECD"/>
    <w:rsid w:val="00B36102"/>
    <w:rsid w:val="00B37899"/>
    <w:rsid w:val="00B40221"/>
    <w:rsid w:val="00B4077B"/>
    <w:rsid w:val="00B412F7"/>
    <w:rsid w:val="00B41470"/>
    <w:rsid w:val="00B41FC5"/>
    <w:rsid w:val="00B422A1"/>
    <w:rsid w:val="00B42485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CB4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14BA"/>
    <w:rsid w:val="00B71596"/>
    <w:rsid w:val="00B7213B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1D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3F41"/>
    <w:rsid w:val="00B94940"/>
    <w:rsid w:val="00B94B98"/>
    <w:rsid w:val="00B94CAC"/>
    <w:rsid w:val="00B94CF6"/>
    <w:rsid w:val="00B96C04"/>
    <w:rsid w:val="00B96FEE"/>
    <w:rsid w:val="00BA06B3"/>
    <w:rsid w:val="00BA2CF0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5FA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288A"/>
    <w:rsid w:val="00BE3F11"/>
    <w:rsid w:val="00BE438D"/>
    <w:rsid w:val="00BE4FA7"/>
    <w:rsid w:val="00BE603A"/>
    <w:rsid w:val="00BE6842"/>
    <w:rsid w:val="00BE6CB3"/>
    <w:rsid w:val="00BE75F3"/>
    <w:rsid w:val="00BE7BC0"/>
    <w:rsid w:val="00BF19C7"/>
    <w:rsid w:val="00BF1EF2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3A7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031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3D49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4C6D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5F08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028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1796B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5F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FC0"/>
    <w:rsid w:val="00D8227C"/>
    <w:rsid w:val="00D826B4"/>
    <w:rsid w:val="00D82825"/>
    <w:rsid w:val="00D83041"/>
    <w:rsid w:val="00D84566"/>
    <w:rsid w:val="00D859B2"/>
    <w:rsid w:val="00D85DBB"/>
    <w:rsid w:val="00D8756C"/>
    <w:rsid w:val="00D91260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1ED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72C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6F7C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7A7"/>
    <w:rsid w:val="00E06A17"/>
    <w:rsid w:val="00E07329"/>
    <w:rsid w:val="00E0769B"/>
    <w:rsid w:val="00E07E4A"/>
    <w:rsid w:val="00E11083"/>
    <w:rsid w:val="00E11932"/>
    <w:rsid w:val="00E11C34"/>
    <w:rsid w:val="00E131E0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1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3A"/>
    <w:rsid w:val="00EA00AA"/>
    <w:rsid w:val="00EA0338"/>
    <w:rsid w:val="00EA0BB5"/>
    <w:rsid w:val="00EA185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8A1"/>
    <w:rsid w:val="00EC6AA7"/>
    <w:rsid w:val="00EC6BF3"/>
    <w:rsid w:val="00EC6F49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55"/>
    <w:rsid w:val="00ED6FC5"/>
    <w:rsid w:val="00EE01F2"/>
    <w:rsid w:val="00EE11A6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3F8B"/>
    <w:rsid w:val="00EF4FC8"/>
    <w:rsid w:val="00EF5531"/>
    <w:rsid w:val="00EF59BF"/>
    <w:rsid w:val="00EF5CA0"/>
    <w:rsid w:val="00EF5DC1"/>
    <w:rsid w:val="00EF6B9E"/>
    <w:rsid w:val="00EF6EDC"/>
    <w:rsid w:val="00EF7E4E"/>
    <w:rsid w:val="00F00920"/>
    <w:rsid w:val="00F029B6"/>
    <w:rsid w:val="00F02AD8"/>
    <w:rsid w:val="00F02F18"/>
    <w:rsid w:val="00F03426"/>
    <w:rsid w:val="00F047A1"/>
    <w:rsid w:val="00F04926"/>
    <w:rsid w:val="00F04FF6"/>
    <w:rsid w:val="00F0504C"/>
    <w:rsid w:val="00F06195"/>
    <w:rsid w:val="00F06473"/>
    <w:rsid w:val="00F07218"/>
    <w:rsid w:val="00F100D0"/>
    <w:rsid w:val="00F1029A"/>
    <w:rsid w:val="00F109FC"/>
    <w:rsid w:val="00F10C44"/>
    <w:rsid w:val="00F1196B"/>
    <w:rsid w:val="00F11B6B"/>
    <w:rsid w:val="00F11F1F"/>
    <w:rsid w:val="00F13263"/>
    <w:rsid w:val="00F13D95"/>
    <w:rsid w:val="00F144D7"/>
    <w:rsid w:val="00F16057"/>
    <w:rsid w:val="00F16324"/>
    <w:rsid w:val="00F233C0"/>
    <w:rsid w:val="00F234C3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69E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123"/>
    <w:rsid w:val="00F44755"/>
    <w:rsid w:val="00F44AAD"/>
    <w:rsid w:val="00F451CD"/>
    <w:rsid w:val="00F455E0"/>
    <w:rsid w:val="00F45A46"/>
    <w:rsid w:val="00F45E7C"/>
    <w:rsid w:val="00F46979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EA4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2903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1B25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416"/>
    <w:rsid w:val="00FD084D"/>
    <w:rsid w:val="00FD094C"/>
    <w:rsid w:val="00FD1100"/>
    <w:rsid w:val="00FD1EB1"/>
    <w:rsid w:val="00FD27F4"/>
    <w:rsid w:val="00FD2C66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2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2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42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04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99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5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57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30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651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375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20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67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3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9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8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86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47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5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08F-2EA4-C54E-BABD-2C7D385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Corporation</Company>
  <LinksUpToDate>false</LinksUpToDate>
  <CharactersWithSpaces>3543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Microsoft Office User</cp:lastModifiedBy>
  <cp:revision>5</cp:revision>
  <cp:lastPrinted>2010-05-04T03:47:00Z</cp:lastPrinted>
  <dcterms:created xsi:type="dcterms:W3CDTF">2016-07-27T04:12:00Z</dcterms:created>
  <dcterms:modified xsi:type="dcterms:W3CDTF">2016-07-27T04:16:00Z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