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520A55">
            <w:pPr>
              <w:pStyle w:val="T2"/>
            </w:pPr>
            <w:r>
              <w:rPr>
                <w:lang w:eastAsia="ko-KR"/>
              </w:rPr>
              <w:t>Spec Text for</w:t>
            </w:r>
            <w:r w:rsidR="00746613">
              <w:rPr>
                <w:lang w:eastAsia="ko-KR"/>
              </w:rPr>
              <w:t xml:space="preserve"> </w:t>
            </w:r>
            <w:r w:rsidR="00E11E47" w:rsidRPr="00E11E47">
              <w:rPr>
                <w:lang w:eastAsia="ko-KR"/>
              </w:rPr>
              <w:t xml:space="preserve">HE Operation element </w:t>
            </w:r>
            <w:r w:rsidR="00E11E47">
              <w:rPr>
                <w:lang w:eastAsia="ko-KR"/>
              </w:rPr>
              <w:t xml:space="preserve">and </w:t>
            </w:r>
            <w:r w:rsidR="004F346F">
              <w:rPr>
                <w:lang w:eastAsia="ko-KR"/>
              </w:rPr>
              <w:t xml:space="preserve">AID Assign Rule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0E0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D80E0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03A4">
              <w:rPr>
                <w:b w:val="0"/>
                <w:sz w:val="20"/>
                <w:lang w:eastAsia="ko-KR"/>
              </w:rPr>
              <w:t>1</w:t>
            </w:r>
            <w:r w:rsidR="00D80E0E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9E0B3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C723BC" w:rsidRPr="00183F4C" w:rsidRDefault="00DF70E9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C723BC" w:rsidRPr="00183F4C" w:rsidRDefault="00DF70E9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Ave, San Jose, CA95134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83F4C" w:rsidRDefault="000C4709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32C48" w:rsidRPr="00FF49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Jianhan.liu@mediatek</w:t>
              </w:r>
            </w:hyperlink>
            <w:r w:rsidR="00DF70E9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308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Daewon Lee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32C48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0C4709">
      <w:r w:rsidRPr="000C4709">
        <w:rPr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 xml:space="preserve">contains spec text to be incorporated in P802.11ax D0.3 related to the following motion: </w:t>
                  </w:r>
                </w:p>
                <w:p w:rsidR="002A1FEA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val="en-CA" w:eastAsia="ko-KR"/>
                    </w:rPr>
                  </w:pP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The AP may send a TBD IE that includes a field 'N‘. If the value indicated by the field N is greater than 0, then the AP shall allocate AIDs according to the formula</w:t>
                  </w:r>
                </w:p>
                <w:p w:rsidR="002A1FEA" w:rsidRPr="0044454F" w:rsidRDefault="002A1FEA" w:rsidP="002A1FEA">
                  <w:pPr>
                    <w:ind w:left="720"/>
                    <w:rPr>
                      <w:color w:val="0070C0"/>
                    </w:rPr>
                  </w:pPr>
                  <w:r w:rsidRPr="0044454F">
                    <w:rPr>
                      <w:noProof/>
                      <w:color w:val="0070C0"/>
                      <w:lang w:val="en-US" w:eastAsia="zh-CN"/>
                    </w:rPr>
                    <w:drawing>
                      <wp:inline distT="0" distB="0" distL="0" distR="0">
                        <wp:extent cx="4352544" cy="527792"/>
                        <wp:effectExtent l="0" t="0" r="0" b="5715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203" cy="53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The TBD IE contains the number of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 used and the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</w:t>
                  </w:r>
                </w:p>
                <w:p w:rsidR="002A1FEA" w:rsidRPr="0044454F" w:rsidRDefault="002A1FEA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[MAC Motion 83, March 2016, </w:t>
                  </w:r>
                  <w:proofErr w:type="gramStart"/>
                  <w:r w:rsidRPr="0044454F">
                    <w:rPr>
                      <w:color w:val="0070C0"/>
                    </w:rPr>
                    <w:t>see</w:t>
                  </w:r>
                  <w:proofErr w:type="gramEnd"/>
                  <w:r w:rsidRPr="0044454F">
                    <w:rPr>
                      <w:color w:val="0070C0"/>
                    </w:rPr>
                    <w:t xml:space="preserve"> 16/364r3]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:rsidR="002A1FEA" w:rsidRDefault="002A1FEA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:rsidR="007924B0" w:rsidRDefault="007924B0" w:rsidP="002A1FEA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Instruction: 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change the </w:t>
      </w:r>
      <w:r w:rsidR="00B37A29">
        <w:rPr>
          <w:rFonts w:eastAsia="Times New Roman"/>
          <w:b/>
          <w:i/>
          <w:color w:val="000000"/>
          <w:sz w:val="20"/>
          <w:lang w:val="en-US"/>
        </w:rPr>
        <w:t xml:space="preserve">paragraph in </w:t>
      </w:r>
      <w:r w:rsidR="00B37A29" w:rsidRPr="00FA1795">
        <w:rPr>
          <w:rStyle w:val="SC10319501"/>
          <w:b w:val="0"/>
        </w:rPr>
        <w:t>9.4.2.214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FA1795" w:rsidRDefault="00FA1795" w:rsidP="00FA1795">
      <w:pPr>
        <w:pStyle w:val="Heading4"/>
        <w:rPr>
          <w:rStyle w:val="SC10319501"/>
          <w:b/>
        </w:rPr>
      </w:pPr>
      <w:r w:rsidRPr="00FA1795">
        <w:rPr>
          <w:rStyle w:val="SC10319501"/>
          <w:b/>
        </w:rPr>
        <w:t>9.4.2.214 HE Operation element</w:t>
      </w:r>
    </w:p>
    <w:p w:rsidR="00FA1795" w:rsidRDefault="00FA1795" w:rsidP="00FA1795"/>
    <w:p w:rsidR="00565BA7" w:rsidRDefault="002E739A" w:rsidP="00FA1795">
      <w:pPr>
        <w:rPr>
          <w:b/>
          <w:bCs/>
          <w:i/>
          <w:iCs/>
          <w:color w:val="000000"/>
          <w:sz w:val="15"/>
          <w:szCs w:val="15"/>
          <w:shd w:val="clear" w:color="auto" w:fill="FFFF00"/>
        </w:rPr>
      </w:pP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>Change from the 3</w:t>
      </w:r>
      <w:r>
        <w:rPr>
          <w:b/>
          <w:bCs/>
          <w:i/>
          <w:iCs/>
          <w:color w:val="000000"/>
          <w:sz w:val="9"/>
          <w:szCs w:val="9"/>
          <w:shd w:val="clear" w:color="auto" w:fill="FFFF00"/>
          <w:vertAlign w:val="superscript"/>
        </w:rPr>
        <w:t>rd</w:t>
      </w: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 xml:space="preserve"> paragraph as follows (from line 54 of D.0.2):</w:t>
      </w:r>
    </w:p>
    <w:p w:rsidR="002E739A" w:rsidRDefault="002E739A" w:rsidP="00FA1795"/>
    <w:p w:rsidR="00FA1795" w:rsidRDefault="00B37A29" w:rsidP="00B37A29">
      <w:pPr>
        <w:rPr>
          <w:color w:val="000000"/>
          <w:sz w:val="20"/>
          <w:lang w:val="en-US" w:eastAsia="ko-KR"/>
        </w:rPr>
      </w:pPr>
      <w:r w:rsidRPr="00B37A29">
        <w:rPr>
          <w:color w:val="000000"/>
          <w:sz w:val="20"/>
          <w:lang w:val="en-US" w:eastAsia="ko-KR"/>
        </w:rPr>
        <w:t>The format of the HE Operation Parameters field is defined in Figure 9-ax6 (HE Operation Parame</w:t>
      </w:r>
      <w:r w:rsidRPr="00B37A29">
        <w:rPr>
          <w:color w:val="000000"/>
          <w:sz w:val="20"/>
          <w:lang w:val="en-US" w:eastAsia="ko-KR"/>
        </w:rPr>
        <w:softHyphen/>
        <w:t>ters</w:t>
      </w:r>
      <w:r w:rsidR="00565BA7">
        <w:rPr>
          <w:color w:val="000000"/>
          <w:sz w:val="20"/>
          <w:lang w:val="en-US" w:eastAsia="ko-KR"/>
        </w:rPr>
        <w:t xml:space="preserve"> </w:t>
      </w:r>
      <w:r w:rsidRPr="00B37A29">
        <w:rPr>
          <w:color w:val="000000"/>
          <w:sz w:val="20"/>
          <w:lang w:val="en-US" w:eastAsia="ko-KR"/>
        </w:rPr>
        <w:t>(#1350) field format).</w:t>
      </w:r>
    </w:p>
    <w:p w:rsidR="00B37A29" w:rsidRDefault="00B37A29" w:rsidP="00B37A29">
      <w:pPr>
        <w:rPr>
          <w:color w:val="000000"/>
          <w:sz w:val="20"/>
          <w:lang w:val="en-US" w:eastAsia="ko-KR"/>
        </w:rPr>
      </w:pPr>
    </w:p>
    <w:p w:rsidR="00DE4E62" w:rsidRPr="00565BA7" w:rsidRDefault="002D18F4" w:rsidP="001444E2">
      <w:pPr>
        <w:pStyle w:val="SP10282901"/>
        <w:spacing w:before="240" w:after="240"/>
        <w:jc w:val="center"/>
        <w:rPr>
          <w:color w:val="000000"/>
        </w:rPr>
      </w:pPr>
      <w:r w:rsidRPr="00565BA7">
        <w:object w:dxaOrig="8444" w:dyaOrig="1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65pt;height:67.65pt" o:ole="">
            <v:imagedata r:id="rId10" o:title=""/>
          </v:shape>
          <o:OLEObject Type="Embed" ProgID="Visio.Drawing.11" ShapeID="_x0000_i1025" DrawAspect="Content" ObjectID="_1531040355" r:id="rId11"/>
        </w:object>
      </w:r>
    </w:p>
    <w:p w:rsidR="00DE4E62" w:rsidRPr="00565BA7" w:rsidRDefault="00DE4E62" w:rsidP="00DE4E62">
      <w:pPr>
        <w:jc w:val="center"/>
      </w:pPr>
      <w:r w:rsidRPr="00565BA7">
        <w:rPr>
          <w:rStyle w:val="SC10319501"/>
        </w:rPr>
        <w:t xml:space="preserve">Figure 9-ax6—HE Operation </w:t>
      </w:r>
      <w:r w:rsidR="005408CD" w:rsidRPr="00565BA7">
        <w:rPr>
          <w:rStyle w:val="SC10319501"/>
        </w:rPr>
        <w:t>Parameters (</w:t>
      </w:r>
      <w:r w:rsidRPr="00565BA7">
        <w:rPr>
          <w:rStyle w:val="SC10319501"/>
        </w:rPr>
        <w:t>#1350) field format</w:t>
      </w:r>
    </w:p>
    <w:p w:rsidR="00565BA7" w:rsidRDefault="00565BA7" w:rsidP="00E25D2A">
      <w:pPr>
        <w:pStyle w:val="BodyText"/>
      </w:pPr>
    </w:p>
    <w:p w:rsidR="00ED0202" w:rsidRDefault="00ED0202" w:rsidP="00ED0202">
      <w:pPr>
        <w:pStyle w:val="BodyText"/>
      </w:pPr>
      <w:r w:rsidRPr="00565BA7">
        <w:t xml:space="preserve">The BSS </w:t>
      </w:r>
      <w:proofErr w:type="spellStart"/>
      <w:r w:rsidRPr="00565BA7">
        <w:t>Color</w:t>
      </w:r>
      <w:proofErr w:type="spellEnd"/>
      <w:r w:rsidRPr="00565BA7">
        <w:t xml:space="preserve"> field is an unsigned integer whose value is the BSS </w:t>
      </w:r>
      <w:proofErr w:type="spellStart"/>
      <w:r w:rsidRPr="00565BA7">
        <w:t>color</w:t>
      </w:r>
      <w:proofErr w:type="spellEnd"/>
      <w:r>
        <w:t xml:space="preserve"> </w:t>
      </w:r>
      <w:r w:rsidRPr="00565BA7">
        <w:t xml:space="preserve">(#1165) of the BSS corresponding to the AP which transmitted this element, except that a value of 0 in this field indicates that there is no BSS </w:t>
      </w:r>
      <w:proofErr w:type="spellStart"/>
      <w:proofErr w:type="gramStart"/>
      <w:r w:rsidRPr="00565BA7">
        <w:t>color</w:t>
      </w:r>
      <w:proofErr w:type="spellEnd"/>
      <w:r w:rsidRPr="00565BA7">
        <w:t>(</w:t>
      </w:r>
      <w:proofErr w:type="gramEnd"/>
      <w:r w:rsidRPr="00565BA7">
        <w:t>#1165) for this BSS.</w:t>
      </w:r>
    </w:p>
    <w:p w:rsidR="00ED0202" w:rsidRPr="00565BA7" w:rsidRDefault="00ED0202" w:rsidP="00ED0202">
      <w:pPr>
        <w:pStyle w:val="BodyText"/>
      </w:pPr>
      <w:r w:rsidRPr="002D18F4">
        <w:t xml:space="preserve">The Partial BSS </w:t>
      </w:r>
      <w:proofErr w:type="spellStart"/>
      <w:r w:rsidRPr="002D18F4">
        <w:t>Color</w:t>
      </w:r>
      <w:proofErr w:type="spellEnd"/>
      <w:r w:rsidRPr="002D18F4">
        <w:t xml:space="preserve"> Length</w:t>
      </w:r>
      <w:r w:rsidRPr="0090351A">
        <w:rPr>
          <w:u w:val="single"/>
        </w:rPr>
        <w:t xml:space="preserve"> </w:t>
      </w:r>
      <w:r w:rsidRPr="00565BA7">
        <w:t xml:space="preserve">field is an unsigned integer whose value is the number of </w:t>
      </w:r>
      <w:r>
        <w:t xml:space="preserve">partial </w:t>
      </w:r>
      <w:r w:rsidRPr="00565BA7">
        <w:t xml:space="preserve">bits </w:t>
      </w:r>
      <w:r>
        <w:t xml:space="preserve">of </w:t>
      </w:r>
      <w:r w:rsidRPr="00565BA7">
        <w:t xml:space="preserve">BSS </w:t>
      </w:r>
      <w:proofErr w:type="spellStart"/>
      <w:r w:rsidRPr="00565BA7">
        <w:t>Color</w:t>
      </w:r>
      <w:proofErr w:type="spellEnd"/>
      <w:r w:rsidRPr="00565BA7">
        <w:t xml:space="preserve"> </w:t>
      </w:r>
      <w:r>
        <w:t xml:space="preserve">of </w:t>
      </w:r>
      <w:r w:rsidRPr="00565BA7">
        <w:t xml:space="preserve">the BSS corresponding to the AP which transmitted this element. </w:t>
      </w:r>
      <w:r w:rsidRPr="002D18F4">
        <w:t xml:space="preserve">The Partial BSS </w:t>
      </w:r>
      <w:proofErr w:type="spellStart"/>
      <w:r w:rsidRPr="002D18F4">
        <w:t>Color</w:t>
      </w:r>
      <w:proofErr w:type="spellEnd"/>
      <w:r w:rsidRPr="002D18F4">
        <w:t xml:space="preserve"> Length</w:t>
      </w:r>
      <w:r w:rsidRPr="0090351A">
        <w:rPr>
          <w:u w:val="single"/>
        </w:rPr>
        <w:t xml:space="preserve"> </w:t>
      </w:r>
      <w:r w:rsidRPr="00565BA7">
        <w:t xml:space="preserve">field </w:t>
      </w:r>
      <w:r>
        <w:t xml:space="preserve">indicates the </w:t>
      </w:r>
      <w:proofErr w:type="spellStart"/>
      <w:r>
        <w:t>partiall</w:t>
      </w:r>
      <w:proofErr w:type="spellEnd"/>
      <w:r>
        <w:t xml:space="preserve"> BSS </w:t>
      </w:r>
      <w:proofErr w:type="spellStart"/>
      <w:r>
        <w:t>color</w:t>
      </w:r>
      <w:proofErr w:type="spellEnd"/>
      <w:r>
        <w:t xml:space="preserve"> bits that is used in AID assignment. </w:t>
      </w:r>
      <w:r w:rsidRPr="00565BA7">
        <w:t xml:space="preserve">A value of </w:t>
      </w:r>
      <w:r>
        <w:rPr>
          <w:i/>
        </w:rPr>
        <w:t>N</w:t>
      </w:r>
      <w:r w:rsidRPr="00565BA7">
        <w:rPr>
          <w:i/>
        </w:rPr>
        <w:t xml:space="preserve"> </w:t>
      </w:r>
      <w:r w:rsidRPr="00565BA7">
        <w:t xml:space="preserve">indicates that </w:t>
      </w:r>
      <w:r w:rsidRPr="00565BA7">
        <w:rPr>
          <w:i/>
        </w:rPr>
        <w:t>N</w:t>
      </w:r>
      <w:r>
        <w:t xml:space="preserve"> least significant</w:t>
      </w:r>
      <w:r w:rsidRPr="00565BA7">
        <w:t xml:space="preserve"> bits of BSS </w:t>
      </w:r>
      <w:proofErr w:type="spellStart"/>
      <w:r w:rsidRPr="00565BA7">
        <w:t>color</w:t>
      </w:r>
      <w:proofErr w:type="spellEnd"/>
      <w:r>
        <w:t xml:space="preserve"> (i.e., </w:t>
      </w:r>
      <w:r w:rsidRPr="002D18F4">
        <w:rPr>
          <w:i/>
        </w:rPr>
        <w:t>0</w:t>
      </w:r>
      <w:r>
        <w:t xml:space="preserve"> to </w:t>
      </w:r>
      <w:r w:rsidRPr="002D18F4">
        <w:rPr>
          <w:i/>
        </w:rPr>
        <w:t>N-1</w:t>
      </w:r>
      <w:r>
        <w:t xml:space="preserve"> bits), </w:t>
      </w:r>
      <w:r w:rsidRPr="00565BA7">
        <w:t>are</w:t>
      </w:r>
      <w:r>
        <w:t xml:space="preserve"> used for AID assignment</w:t>
      </w:r>
      <w:r w:rsidRPr="00565BA7">
        <w:t xml:space="preserve">.  </w:t>
      </w:r>
    </w:p>
    <w:p w:rsidR="005408CD" w:rsidRPr="00565BA7" w:rsidRDefault="005408CD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Instruction: add the following to section 11.x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3824DC" w:rsidRPr="00FA1795" w:rsidRDefault="003824DC" w:rsidP="003824DC">
      <w:pPr>
        <w:pStyle w:val="Heading4"/>
        <w:rPr>
          <w:color w:val="auto"/>
          <w:sz w:val="20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</w:t>
      </w:r>
      <w:proofErr w:type="gramEnd"/>
      <w:r w:rsidRPr="00FA1795">
        <w:rPr>
          <w:color w:val="auto"/>
          <w:sz w:val="20"/>
        </w:rPr>
        <w:t xml:space="preserve"> HE BSS Operation</w:t>
      </w:r>
    </w:p>
    <w:p w:rsidR="003824DC" w:rsidRPr="00FA1795" w:rsidRDefault="003824DC" w:rsidP="003824DC">
      <w:pPr>
        <w:pStyle w:val="Heading4"/>
        <w:rPr>
          <w:color w:val="auto"/>
          <w:sz w:val="20"/>
          <w:lang w:eastAsia="ko-KR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.x.y</w:t>
      </w:r>
      <w:proofErr w:type="gramEnd"/>
      <w:r w:rsidRPr="00FA1795">
        <w:rPr>
          <w:color w:val="auto"/>
          <w:sz w:val="20"/>
        </w:rPr>
        <w:t xml:space="preserve">  </w:t>
      </w:r>
      <w:r w:rsidRPr="00FA1795">
        <w:rPr>
          <w:color w:val="auto"/>
          <w:sz w:val="20"/>
          <w:lang w:eastAsia="ko-KR"/>
        </w:rPr>
        <w:t>A</w:t>
      </w:r>
      <w:r>
        <w:rPr>
          <w:color w:val="auto"/>
          <w:sz w:val="20"/>
          <w:lang w:eastAsia="ko-KR"/>
        </w:rPr>
        <w:t>ID Assign Rule</w:t>
      </w:r>
    </w:p>
    <w:p w:rsidR="003824DC" w:rsidRPr="00FA1795" w:rsidRDefault="003824DC" w:rsidP="003824DC">
      <w:pPr>
        <w:rPr>
          <w:sz w:val="20"/>
          <w:lang w:eastAsia="ko-KR"/>
        </w:rPr>
      </w:pPr>
      <w:r w:rsidRPr="00FA1795">
        <w:rPr>
          <w:sz w:val="20"/>
          <w:lang w:eastAsia="ko-KR"/>
        </w:rPr>
        <w:tab/>
      </w:r>
    </w:p>
    <w:p w:rsidR="003824DC" w:rsidRDefault="003824DC" w:rsidP="003824DC">
      <w:r>
        <w:t xml:space="preserve"> </w:t>
      </w:r>
    </w:p>
    <w:p w:rsidR="003824DC" w:rsidRDefault="003824DC" w:rsidP="003824DC">
      <w:r w:rsidRPr="002516E3">
        <w:rPr>
          <w:sz w:val="20"/>
          <w:lang w:eastAsia="ko-KR"/>
        </w:rPr>
        <w:t xml:space="preserve">An AP may set the Partial BSS </w:t>
      </w:r>
      <w:proofErr w:type="spellStart"/>
      <w:r w:rsidRPr="002516E3">
        <w:rPr>
          <w:sz w:val="20"/>
          <w:lang w:eastAsia="ko-KR"/>
        </w:rPr>
        <w:t>Color</w:t>
      </w:r>
      <w:proofErr w:type="spellEnd"/>
      <w:r w:rsidRPr="002516E3">
        <w:rPr>
          <w:sz w:val="20"/>
          <w:lang w:eastAsia="ko-KR"/>
        </w:rPr>
        <w:t xml:space="preserve"> Length field to a nonzero value in HE Operation elements it transmits</w:t>
      </w:r>
      <w:r>
        <w:rPr>
          <w:sz w:val="20"/>
          <w:lang w:eastAsia="ko-KR"/>
        </w:rPr>
        <w:t xml:space="preserve">. </w:t>
      </w:r>
      <w:r w:rsidRPr="002516E3">
        <w:t xml:space="preserve">If the value of Partial BSS </w:t>
      </w:r>
      <w:proofErr w:type="spellStart"/>
      <w:r w:rsidRPr="002516E3">
        <w:t>Color</w:t>
      </w:r>
      <w:proofErr w:type="spellEnd"/>
      <w:r w:rsidRPr="002516E3">
        <w:t xml:space="preserve"> Length field N in the HE Operation Element is greater than zero, then the HE AP shall allocate AIDs according to the formula for </w:t>
      </w:r>
      <w:proofErr w:type="gramStart"/>
      <w:r w:rsidRPr="002516E3">
        <w:t>AID[</w:t>
      </w:r>
      <w:proofErr w:type="gramEnd"/>
      <w:r w:rsidRPr="002516E3">
        <w:t>8-N+1: 8]</w:t>
      </w:r>
    </w:p>
    <w:p w:rsidR="003824DC" w:rsidRPr="00FA1795" w:rsidRDefault="003824DC" w:rsidP="003824DC">
      <w:pPr>
        <w:jc w:val="center"/>
        <w:rPr>
          <w:sz w:val="20"/>
          <w:lang w:eastAsia="ko-KR"/>
        </w:rPr>
      </w:pPr>
      <w:r>
        <w:rPr>
          <w:bCs/>
          <w:sz w:val="20"/>
          <w:lang w:eastAsia="ko-KR"/>
        </w:rPr>
        <w:t xml:space="preserve"> </w:t>
      </w:r>
    </w:p>
    <w:p w:rsidR="003824DC" w:rsidRDefault="003824DC" w:rsidP="003824DC">
      <w:pPr>
        <w:spacing w:line="360" w:lineRule="auto"/>
      </w:pPr>
      <m:oMathPara>
        <m:oMath>
          <m:r>
            <w:rPr>
              <w:rFonts w:ascii="Cambria Math" w:hAnsi="Cambria Math"/>
            </w:rPr>
            <m:t>AID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8-N+1:8</m:t>
              </m:r>
            </m:e>
          </m:d>
          <m:r>
            <w:rPr>
              <w:rFonts w:ascii="Cambria Math" w:hAnsi="Cambria Math"/>
            </w:rPr>
            <m:t>=bin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0:N-1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BSSID(47-N+1:47)⊕BSSID(43-N+1:43)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mod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, N</m:t>
              </m:r>
            </m:e>
          </m:d>
        </m:oMath>
      </m:oMathPara>
    </w:p>
    <w:p w:rsidR="003824DC" w:rsidRPr="003605E0" w:rsidRDefault="003824DC" w:rsidP="003824DC">
      <w:pPr>
        <w:spacing w:line="360" w:lineRule="auto"/>
      </w:pPr>
      <w:proofErr w:type="gramStart"/>
      <w:r>
        <w:lastRenderedPageBreak/>
        <w:t>where</w:t>
      </w:r>
      <w:proofErr w:type="gramEnd"/>
      <w:r>
        <w:t xml:space="preserve"> </w:t>
      </w:r>
      <m:oMath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CB</m:t>
        </m:r>
        <m:r>
          <w:rPr>
            <w:rFonts w:ascii="Cambria Math" w:hAnsi="Cambria Math"/>
            <w:szCs w:val="22"/>
          </w:rPr>
          <m:t>(0:N-1)</m:t>
        </m:r>
      </m:oMath>
      <w:r>
        <w:rPr>
          <w:szCs w:val="22"/>
        </w:rPr>
        <w:t xml:space="preserve"> stands for the least </w:t>
      </w:r>
      <w:proofErr w:type="spellStart"/>
      <w:r>
        <w:rPr>
          <w:szCs w:val="22"/>
        </w:rPr>
        <w:t>significan</w:t>
      </w:r>
      <w:proofErr w:type="spellEnd"/>
      <w:r>
        <w:rPr>
          <w:szCs w:val="22"/>
        </w:rPr>
        <w:t xml:space="preserve"> </w:t>
      </w:r>
      <w:r w:rsidRPr="003605E0">
        <w:rPr>
          <w:i/>
          <w:szCs w:val="22"/>
        </w:rPr>
        <w:t>N</w:t>
      </w:r>
      <w:r>
        <w:rPr>
          <w:szCs w:val="22"/>
        </w:rPr>
        <w:t xml:space="preserve"> bits of the BSS </w:t>
      </w:r>
      <w:proofErr w:type="spellStart"/>
      <w:r>
        <w:rPr>
          <w:szCs w:val="22"/>
        </w:rPr>
        <w:t>color</w:t>
      </w:r>
      <w:proofErr w:type="spellEnd"/>
      <w:r>
        <w:rPr>
          <w:szCs w:val="22"/>
        </w:rPr>
        <w:t xml:space="preserve"> bits and </w:t>
      </w:r>
      <m:oMath>
        <m:r>
          <w:rPr>
            <w:rFonts w:ascii="Cambria Math" w:hAnsi="Cambria Math"/>
            <w:szCs w:val="22"/>
          </w:rPr>
          <m:t>bin[x, N]</m:t>
        </m:r>
      </m:oMath>
      <w:r>
        <w:rPr>
          <w:rFonts w:ascii="Garamond" w:hAnsi="Garamond"/>
          <w:szCs w:val="22"/>
        </w:rPr>
        <w:t xml:space="preserve"> </w:t>
      </w:r>
      <w:r w:rsidRPr="003605E0">
        <w:rPr>
          <w:szCs w:val="22"/>
        </w:rPr>
        <w:t>is the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operatoe</w:t>
      </w:r>
      <w:proofErr w:type="spellEnd"/>
      <w:r>
        <w:rPr>
          <w:szCs w:val="22"/>
        </w:rPr>
        <w:t xml:space="preserve"> that</w:t>
      </w:r>
      <w:r w:rsidRPr="003605E0">
        <w:rPr>
          <w:szCs w:val="22"/>
        </w:rPr>
        <w:t xml:space="preserve"> cast</w:t>
      </w:r>
      <w:r>
        <w:rPr>
          <w:szCs w:val="22"/>
        </w:rPr>
        <w:t>s</w:t>
      </w:r>
      <w:r w:rsidRPr="003605E0">
        <w:rPr>
          <w:szCs w:val="22"/>
        </w:rPr>
        <w:t xml:space="preserve"> </w:t>
      </w:r>
      <w:r>
        <w:rPr>
          <w:szCs w:val="22"/>
        </w:rPr>
        <w:t xml:space="preserve">decimal value </w:t>
      </w:r>
      <w:r w:rsidRPr="003605E0">
        <w:rPr>
          <w:i/>
          <w:szCs w:val="22"/>
        </w:rPr>
        <w:t>x</w:t>
      </w:r>
      <w:r>
        <w:rPr>
          <w:szCs w:val="22"/>
        </w:rPr>
        <w:t xml:space="preserve"> in</w:t>
      </w:r>
      <w:r w:rsidRPr="003605E0">
        <w:rPr>
          <w:szCs w:val="22"/>
        </w:rPr>
        <w:t xml:space="preserve">to </w:t>
      </w:r>
      <w:r w:rsidRPr="003605E0">
        <w:rPr>
          <w:i/>
          <w:szCs w:val="22"/>
        </w:rPr>
        <w:t>N</w:t>
      </w:r>
      <w:r>
        <w:rPr>
          <w:szCs w:val="22"/>
        </w:rPr>
        <w:t xml:space="preserve"> </w:t>
      </w:r>
      <w:r w:rsidRPr="003605E0">
        <w:rPr>
          <w:szCs w:val="22"/>
        </w:rPr>
        <w:t>bit</w:t>
      </w:r>
      <w:r>
        <w:rPr>
          <w:szCs w:val="22"/>
        </w:rPr>
        <w:t>s binary vector</w:t>
      </w:r>
      <w:r w:rsidRPr="003605E0">
        <w:rPr>
          <w:szCs w:val="22"/>
        </w:rPr>
        <w:t>.</w:t>
      </w:r>
    </w:p>
    <w:p w:rsidR="0090351A" w:rsidRPr="0090351A" w:rsidRDefault="0090351A" w:rsidP="00717E5E">
      <w:pPr>
        <w:spacing w:line="360" w:lineRule="auto"/>
        <w:rPr>
          <w:u w:val="single"/>
        </w:rPr>
      </w:pPr>
      <w:r w:rsidRPr="0090351A">
        <w:rPr>
          <w:u w:val="single"/>
        </w:rPr>
        <w:t xml:space="preserve"> </w:t>
      </w:r>
    </w:p>
    <w:sectPr w:rsidR="0090351A" w:rsidRPr="0090351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86" w:rsidRDefault="009A6D86">
      <w:r>
        <w:separator/>
      </w:r>
    </w:p>
  </w:endnote>
  <w:endnote w:type="continuationSeparator" w:id="0">
    <w:p w:rsidR="009A6D86" w:rsidRDefault="009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DA3D06" w:rsidRDefault="000C47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163192">
      <w:rPr>
        <w:noProof/>
      </w:rPr>
      <w:t>1</w:t>
    </w:r>
    <w:r>
      <w:rPr>
        <w:noProof/>
      </w:rPr>
      <w:fldChar w:fldCharType="end"/>
    </w:r>
    <w:r w:rsidR="00DA3D06">
      <w:tab/>
    </w:r>
    <w:r w:rsidR="007C63B1">
      <w:rPr>
        <w:lang w:eastAsia="ko-KR"/>
      </w:rPr>
      <w:t>Jianhan Liu</w:t>
    </w:r>
    <w:r w:rsidR="00DA3D06">
      <w:t xml:space="preserve">, </w:t>
    </w:r>
    <w:r w:rsidR="00A6682F">
      <w:t>Mediatek Inc.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86" w:rsidRDefault="009A6D86">
      <w:r>
        <w:separator/>
      </w:r>
    </w:p>
  </w:footnote>
  <w:footnote w:type="continuationSeparator" w:id="0">
    <w:p w:rsidR="009A6D86" w:rsidRDefault="009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802.11-16/0884r</w:t>
    </w:r>
    <w:r w:rsidR="00480FEC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1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3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7EEC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C4709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3192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0443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0FEC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C0178"/>
    <w:rsid w:val="006C063A"/>
    <w:rsid w:val="006C1207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1C2C"/>
    <w:rsid w:val="00944591"/>
    <w:rsid w:val="00944CAA"/>
    <w:rsid w:val="00947131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.liu@mediat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8E7758E3-D41B-437A-A150-55065FB5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2523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mtk30143</cp:lastModifiedBy>
  <cp:revision>3</cp:revision>
  <cp:lastPrinted>2010-05-04T03:47:00Z</cp:lastPrinted>
  <dcterms:created xsi:type="dcterms:W3CDTF">2016-07-26T19:10:00Z</dcterms:created>
  <dcterms:modified xsi:type="dcterms:W3CDTF">2016-07-26T19:12:00Z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