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677062" w:rsidP="00677062">
            <w:pPr>
              <w:pStyle w:val="T2"/>
            </w:pPr>
            <w:r>
              <w:rPr>
                <w:rFonts w:hint="eastAsia"/>
                <w:lang w:eastAsia="ko-KR"/>
              </w:rPr>
              <w:t>Comment resolution on CID 783</w:t>
            </w:r>
            <w:r w:rsidR="00A532AC">
              <w:rPr>
                <w:rFonts w:hint="eastAsia"/>
                <w:lang w:eastAsia="ko-KR"/>
              </w:rPr>
              <w:t xml:space="preserve"> (</w:t>
            </w:r>
            <w:r>
              <w:rPr>
                <w:lang w:eastAsia="ko-KR"/>
              </w:rPr>
              <w:t>TXOP Duration field</w:t>
            </w:r>
            <w:r w:rsidR="00A532AC">
              <w:rPr>
                <w:rFonts w:hint="eastAsia"/>
                <w:lang w:eastAsia="ko-KR"/>
              </w:rPr>
              <w:t>)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7706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67706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D239B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677062">
              <w:rPr>
                <w:b w:val="0"/>
                <w:sz w:val="20"/>
                <w:lang w:eastAsia="ko-KR"/>
              </w:rPr>
              <w:t>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4062B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4062B" w:rsidRDefault="003858E7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j</w:t>
              </w:r>
              <w:r w:rsidR="00CE6250" w:rsidRPr="008B0FE1">
                <w:rPr>
                  <w:rStyle w:val="a6"/>
                  <w:b w:val="0"/>
                  <w:sz w:val="18"/>
                  <w:szCs w:val="18"/>
                  <w:lang w:eastAsia="ko-KR"/>
                </w:rPr>
                <w:t>eongki</w:t>
              </w:r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.kim@lge.com</w:t>
              </w:r>
            </w:hyperlink>
          </w:p>
          <w:p w:rsidR="00CE6250" w:rsidRPr="001D7948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1742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F1742" w:rsidRDefault="00DF1742" w:rsidP="00DF1742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for</w:t>
      </w:r>
      <w:r w:rsidR="00873BD8">
        <w:rPr>
          <w:rFonts w:hint="eastAsia"/>
          <w:lang w:eastAsia="ko-KR"/>
        </w:rPr>
        <w:t xml:space="preserve"> a</w:t>
      </w:r>
      <w:r>
        <w:rPr>
          <w:lang w:eastAsia="ko-KR"/>
        </w:rPr>
        <w:t xml:space="preserve"> comment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CID:</w:t>
      </w:r>
    </w:p>
    <w:p w:rsidR="00E920E1" w:rsidRDefault="00677062" w:rsidP="008719E5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>
        <w:rPr>
          <w:rFonts w:hint="eastAsia"/>
          <w:lang w:eastAsia="ko-KR"/>
        </w:rPr>
        <w:t>783</w:t>
      </w:r>
    </w:p>
    <w:p w:rsidR="00C3596F" w:rsidRDefault="00C3596F" w:rsidP="003E4403">
      <w:pPr>
        <w:jc w:val="both"/>
      </w:pP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Pr="006738D0" w:rsidRDefault="00C82A9D" w:rsidP="00C82A9D">
      <w:pPr>
        <w:rPr>
          <w:sz w:val="14"/>
        </w:rPr>
      </w:pPr>
    </w:p>
    <w:tbl>
      <w:tblPr>
        <w:tblW w:w="102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40"/>
        <w:gridCol w:w="1255"/>
        <w:gridCol w:w="1560"/>
        <w:gridCol w:w="6365"/>
      </w:tblGrid>
      <w:tr w:rsidR="00A532AC" w:rsidRPr="006738D0" w:rsidTr="00EB3AEE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6365" w:type="dxa"/>
            <w:shd w:val="clear" w:color="auto" w:fill="auto"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532AC" w:rsidRPr="001F620B" w:rsidTr="00EB3AEE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A532AC" w:rsidRPr="006738D0" w:rsidRDefault="00A532AC" w:rsidP="00F65652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78</w:t>
            </w:r>
            <w:r w:rsidR="00F65652">
              <w:rPr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A532AC" w:rsidRPr="006738D0" w:rsidRDefault="00F65652" w:rsidP="00F6565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eastAsia="ko-KR"/>
              </w:rPr>
              <w:t>105</w:t>
            </w:r>
            <w:r>
              <w:rPr>
                <w:rFonts w:hint="eastAsia"/>
                <w:sz w:val="16"/>
                <w:szCs w:val="16"/>
                <w:lang w:eastAsia="ko-KR"/>
              </w:rPr>
              <w:t>.30</w:t>
            </w:r>
          </w:p>
        </w:tc>
        <w:tc>
          <w:tcPr>
            <w:tcW w:w="1255" w:type="dxa"/>
            <w:shd w:val="clear" w:color="auto" w:fill="auto"/>
            <w:noWrap/>
          </w:tcPr>
          <w:p w:rsidR="00A532AC" w:rsidRPr="006738D0" w:rsidRDefault="00F65652" w:rsidP="0069296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size and detail of TXOP Duration field is still TBD. Clarify the size and details of TXOP Duration field</w:t>
            </w:r>
          </w:p>
        </w:tc>
        <w:tc>
          <w:tcPr>
            <w:tcW w:w="1560" w:type="dxa"/>
            <w:shd w:val="clear" w:color="auto" w:fill="auto"/>
            <w:noWrap/>
          </w:tcPr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Change the Number of bits of TXOP field from TBD to 7 bits.</w:t>
            </w:r>
          </w:p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Delete the "Details TBD" and add the following text in Description.</w:t>
            </w:r>
          </w:p>
          <w:p w:rsidR="00A532AC" w:rsidRPr="006738D0" w:rsidRDefault="00F65652" w:rsidP="00F6565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TXOP field shall cover up to 8ms.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A532AC" w:rsidRDefault="00A532AC" w:rsidP="00ED75CA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REVISED.</w:t>
            </w:r>
          </w:p>
          <w:p w:rsidR="00F65652" w:rsidRDefault="00F65652" w:rsidP="00ED75CA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Agree in principle with the comment. We need to decide the details of TXOP Duration field (e.g., size, number and value of granularity, maximum value, range of TXOP values, etc.)</w:t>
            </w:r>
          </w:p>
          <w:p w:rsidR="00A532AC" w:rsidRDefault="00F65652" w:rsidP="00ED75CA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The size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of the field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was decided 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as 7 bits 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at the last </w:t>
            </w:r>
            <w:r w:rsidR="00EB3AE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May f2f 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meeting</w:t>
            </w:r>
            <w:r w:rsidR="00EB3AE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. </w:t>
            </w:r>
          </w:p>
          <w:p w:rsidR="00677062" w:rsidRDefault="00EB3AEE" w:rsidP="007B11E7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Based on the 7 bits size, </w:t>
            </w:r>
            <w:r w:rsidR="001349B4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it can be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design</w:t>
            </w:r>
            <w:r w:rsidR="001349B4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ed as follows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677062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EB3AEE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wo granularities can be used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</w:p>
          <w:p w:rsidR="00677062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B0 indicates whether the unit is 8us or 128us</w:t>
            </w:r>
          </w:p>
          <w:p w:rsidR="00677062" w:rsidRDefault="00EB3AEE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One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(B0=0)</w:t>
            </w:r>
            <w:r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is 8us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0~504us range, value= 8 us * (the value of B1~B6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)</w:t>
            </w:r>
          </w:p>
          <w:p w:rsidR="00EB3AEE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he other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(B0=1)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is 128 us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="00E2719F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512~8448us range, value =512us +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(</w:t>
            </w:r>
            <w:r w:rsidR="00E2719F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128 * 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the value of B1~b6)</w:t>
            </w:r>
            <w:r w:rsidR="00E209EB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except for the following case.</w:t>
            </w:r>
          </w:p>
          <w:p w:rsidR="001349B4" w:rsidRPr="00677062" w:rsidRDefault="001349B4" w:rsidP="00E209EB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B0~B6= all 1s indicates no TXOP Duration information</w:t>
            </w:r>
          </w:p>
        </w:tc>
      </w:tr>
    </w:tbl>
    <w:p w:rsidR="001349B4" w:rsidRDefault="001349B4" w:rsidP="00AA354B">
      <w:pPr>
        <w:pStyle w:val="3"/>
        <w:numPr>
          <w:ilvl w:val="2"/>
          <w:numId w:val="0"/>
        </w:numPr>
        <w:tabs>
          <w:tab w:val="num" w:pos="720"/>
        </w:tabs>
        <w:ind w:left="360" w:hanging="360"/>
        <w:rPr>
          <w:lang w:eastAsia="ko-KR"/>
        </w:rPr>
      </w:pPr>
      <w:bookmarkStart w:id="0" w:name="_Ref444171481"/>
      <w:r>
        <w:rPr>
          <w:rFonts w:hint="eastAsia"/>
          <w:lang w:eastAsia="ko-KR"/>
        </w:rPr>
        <w:t>Discussion: None</w:t>
      </w:r>
    </w:p>
    <w:p w:rsidR="00DF1742" w:rsidRDefault="00DF1742" w:rsidP="00DF1742">
      <w:pPr>
        <w:rPr>
          <w:color w:val="000000"/>
        </w:rPr>
      </w:pPr>
    </w:p>
    <w:p w:rsidR="0003308C" w:rsidRDefault="0003308C" w:rsidP="00DF1742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Pr="00056F74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nsert the TXOP_DURATION </w:t>
      </w:r>
      <w:r w:rsidR="00B77E7A">
        <w:rPr>
          <w:rFonts w:eastAsia="Times New Roman"/>
          <w:b/>
          <w:color w:val="000000"/>
          <w:sz w:val="20"/>
          <w:highlight w:val="yellow"/>
          <w:lang w:val="en-US"/>
        </w:rPr>
        <w:t xml:space="preserve">parameter and the related texts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into the Table 26-1</w:t>
      </w:r>
    </w:p>
    <w:p w:rsidR="003A012F" w:rsidRDefault="003A012F" w:rsidP="003A01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highlight w:val="yellow"/>
          <w:lang w:val="en-US"/>
        </w:rPr>
      </w:pPr>
      <w:r w:rsidRPr="003A012F">
        <w:rPr>
          <w:rFonts w:ascii="Arial" w:hAnsi="Arial" w:cs="Arial"/>
          <w:b/>
          <w:bCs/>
          <w:color w:val="000000"/>
          <w:sz w:val="20"/>
          <w:lang w:val="en-US" w:eastAsia="ko-KR"/>
        </w:rPr>
        <w:t>Table 26-1—TXVECTOR and RXVECTOR parameters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575"/>
        <w:gridCol w:w="1513"/>
        <w:gridCol w:w="1510"/>
      </w:tblGrid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184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Condition</w:t>
            </w:r>
          </w:p>
        </w:tc>
        <w:tc>
          <w:tcPr>
            <w:tcW w:w="3575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Value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TXVECTOR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RXVECTOR</w:t>
            </w:r>
          </w:p>
        </w:tc>
      </w:tr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843" w:type="dxa"/>
          </w:tcPr>
          <w:p w:rsidR="0003308C" w:rsidRPr="0003308C" w:rsidRDefault="0003308C" w:rsidP="0003308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8"/>
                <w:lang w:val="en-US" w:eastAsia="ko-KR"/>
              </w:rPr>
            </w:pPr>
            <w:r>
              <w:rPr>
                <w:color w:val="000000"/>
                <w:szCs w:val="18"/>
                <w:lang w:val="en-US" w:eastAsia="ko-KR"/>
              </w:rPr>
              <w:t>…</w:t>
            </w:r>
          </w:p>
        </w:tc>
        <w:tc>
          <w:tcPr>
            <w:tcW w:w="3575" w:type="dxa"/>
          </w:tcPr>
          <w:p w:rsidR="0003308C" w:rsidRPr="00BE3E4D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…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</w:tr>
      <w:tr w:rsidR="0003308C" w:rsidTr="0034741F">
        <w:tc>
          <w:tcPr>
            <w:tcW w:w="1413" w:type="dxa"/>
            <w:vMerge w:val="restart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TXOP_DURATION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8"/>
            </w:tblGrid>
            <w:tr w:rsidR="009F6C41" w:rsidRPr="0003308C" w:rsidTr="00275280">
              <w:trPr>
                <w:trHeight w:val="840"/>
              </w:trPr>
              <w:tc>
                <w:tcPr>
                  <w:tcW w:w="1758" w:type="dxa"/>
                </w:tcPr>
                <w:p w:rsidR="0003308C" w:rsidRPr="0003308C" w:rsidRDefault="0003308C" w:rsidP="0003308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70C0"/>
                      <w:szCs w:val="18"/>
                      <w:u w:val="single"/>
                      <w:lang w:val="en-US" w:eastAsia="ko-KR"/>
                    </w:rPr>
                  </w:pPr>
                  <w:r w:rsidRPr="009F6C41">
                    <w:rPr>
                      <w:color w:val="0070C0"/>
                      <w:szCs w:val="18"/>
                      <w:u w:val="single"/>
                      <w:lang w:val="en-US" w:eastAsia="ko-KR"/>
                    </w:rPr>
                    <w:t>FORMAT is HE_SU or HE_MU or HE_EXT_SU or HE_TRIG</w:t>
                  </w:r>
                </w:p>
              </w:tc>
            </w:tr>
          </w:tbl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  <w:lang w:val="en-GB"/>
              </w:rPr>
            </w:pPr>
          </w:p>
        </w:tc>
        <w:tc>
          <w:tcPr>
            <w:tcW w:w="3575" w:type="dxa"/>
          </w:tcPr>
          <w:p w:rsidR="00EF06D8" w:rsidRPr="003F523B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</w:pPr>
            <w:r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Indicates a duration of time that is used to update the NAV for this TXOP (see 25.2.1 (Updating two NAVs)), except for a value of 127 (i.e., all 1s) which indicates an invalid value of TXOP duration in SIG-A (see 25.11a (TXVECTOR parameters TXOP_DURATION for an HE PPDU)).</w:t>
            </w:r>
          </w:p>
          <w:p w:rsidR="0034741F" w:rsidRDefault="0034741F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B0 indicates whether the granularity is 8 us or 128us.</w:t>
            </w:r>
          </w:p>
          <w:p w:rsidR="009F6C41" w:rsidRPr="009F6C41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If B0 is set to 0,</w:t>
            </w:r>
            <w:r w:rsidR="00EF06D8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the duration information indicated by TXOP_DURATION is equal to 8 times the value of TXOP_DURATION from B1 to B6 in units of microseconds.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In this </w:t>
            </w:r>
            <w:proofErr w:type="spellStart"/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caes</w:t>
            </w:r>
            <w:proofErr w:type="spellEnd"/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, the range of the TXOP duration information is [0~504]</w:t>
            </w:r>
            <w:r w:rsidR="003858E7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us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.</w:t>
            </w:r>
          </w:p>
          <w:p w:rsidR="009F6C41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>
              <w:rPr>
                <w:rFonts w:ascii="TimesNewRomanPSMT" w:hAnsi="TimesNewRomanPSMT"/>
                <w:color w:val="0070C0"/>
                <w:sz w:val="20"/>
                <w:u w:val="single"/>
              </w:rPr>
              <w:t>If B0 is set to 1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, the 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duration information indicated by TXOP_DURATION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except for a value of all 1s</w:t>
            </w:r>
            <w:r w:rsidR="0003308C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</w:t>
            </w:r>
            <w:r w:rsidR="0003308C" w:rsidRPr="003B42C4">
              <w:rPr>
                <w:rFonts w:ascii="TimesNewRomanPSMT" w:hAnsi="TimesNewRomanPSMT"/>
                <w:color w:val="0070C0"/>
                <w:sz w:val="20"/>
                <w:u w:val="single"/>
              </w:rPr>
              <w:t>is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equal to 128 times 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lastRenderedPageBreak/>
              <w:t xml:space="preserve">the value of TXOP_DURATION from B1 to B6 plus 512 in units of </w:t>
            </w:r>
            <w:proofErr w:type="spellStart"/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mircoseconds</w:t>
            </w:r>
            <w:proofErr w:type="spellEnd"/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.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In this case, the range of the TXOP duration information is [512~8448]</w:t>
            </w:r>
            <w:r w:rsidR="003858E7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us</w:t>
            </w:r>
            <w:bookmarkStart w:id="1" w:name="_GoBack"/>
            <w:bookmarkEnd w:id="1"/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.</w:t>
            </w:r>
          </w:p>
          <w:p w:rsidR="00677860" w:rsidRPr="003B42C4" w:rsidRDefault="00677860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677860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See 25.11a (TXVECTOR parameters TXOP_DURATION for an HE PPDU) for more details.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lastRenderedPageBreak/>
              <w:t>Y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Y</w:t>
            </w:r>
          </w:p>
        </w:tc>
      </w:tr>
      <w:tr w:rsidR="0003308C" w:rsidTr="0034741F">
        <w:tc>
          <w:tcPr>
            <w:tcW w:w="1413" w:type="dxa"/>
            <w:vMerge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O</w:t>
            </w:r>
            <w:r w:rsidRPr="009F6C41">
              <w:rPr>
                <w:rFonts w:hint="eastAsia"/>
                <w:color w:val="0070C0"/>
                <w:u w:val="single"/>
              </w:rPr>
              <w:t>therwise</w:t>
            </w:r>
            <w:r w:rsidRPr="009F6C41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Not present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</w:tr>
      <w:tr w:rsidR="0003308C" w:rsidTr="0034741F">
        <w:tc>
          <w:tcPr>
            <w:tcW w:w="14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</w:tr>
    </w:tbl>
    <w:p w:rsidR="00E209EB" w:rsidRPr="0003308C" w:rsidRDefault="00E209EB" w:rsidP="00E209EB">
      <w:pPr>
        <w:pStyle w:val="Default"/>
      </w:pPr>
    </w:p>
    <w:p w:rsidR="0065210B" w:rsidRDefault="0065210B" w:rsidP="0065210B">
      <w:pPr>
        <w:pStyle w:val="SP1386023"/>
        <w:rPr>
          <w:color w:val="000000"/>
        </w:rPr>
      </w:pPr>
    </w:p>
    <w:p w:rsidR="0065210B" w:rsidRDefault="0065210B" w:rsidP="0065210B">
      <w:pPr>
        <w:pStyle w:val="SP1386038"/>
        <w:rPr>
          <w:color w:val="000000"/>
        </w:rPr>
      </w:pPr>
    </w:p>
    <w:p w:rsidR="0065210B" w:rsidRPr="00056F74" w:rsidRDefault="0065210B" w:rsidP="006521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Modify texts </w:t>
      </w:r>
      <w:r w:rsidR="00E209EB">
        <w:rPr>
          <w:rFonts w:eastAsia="Times New Roman"/>
          <w:b/>
          <w:color w:val="000000"/>
          <w:sz w:val="20"/>
          <w:highlight w:val="yellow"/>
          <w:lang w:val="en-US"/>
        </w:rPr>
        <w:t>related to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the TXOP Duration field in Table 26-15</w:t>
      </w:r>
      <w:r w:rsidR="00CC04E1">
        <w:rPr>
          <w:rFonts w:eastAsia="Times New Roman"/>
          <w:b/>
          <w:color w:val="000000"/>
          <w:sz w:val="20"/>
          <w:highlight w:val="yellow"/>
          <w:lang w:val="en-US"/>
        </w:rPr>
        <w:t>, Table 26-16 and Table 26-17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follows:</w:t>
      </w:r>
    </w:p>
    <w:p w:rsidR="0065210B" w:rsidRPr="0065210B" w:rsidRDefault="0065210B" w:rsidP="0065210B">
      <w:pPr>
        <w:pStyle w:val="SP1386038"/>
        <w:rPr>
          <w:color w:val="000000"/>
        </w:rPr>
      </w:pPr>
    </w:p>
    <w:p w:rsidR="0065210B" w:rsidRDefault="0065210B" w:rsidP="00E209EB">
      <w:pPr>
        <w:jc w:val="center"/>
        <w:rPr>
          <w:lang w:eastAsia="ko-KR"/>
        </w:rPr>
      </w:pPr>
      <w:r>
        <w:rPr>
          <w:rStyle w:val="SC13303120"/>
        </w:rPr>
        <w:t>Table 26-15—Fields in the HE-SIG-A for an HE SU PPDU and HE extended range SU PPDU</w:t>
      </w:r>
    </w:p>
    <w:p w:rsidR="0065210B" w:rsidRDefault="0065210B" w:rsidP="0065210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B0745B" w:rsidTr="00E209EB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B0745B" w:rsidRPr="0065210B">
              <w:trPr>
                <w:trHeight w:val="640"/>
              </w:trPr>
              <w:tc>
                <w:tcPr>
                  <w:tcW w:w="124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B0745B" w:rsidRPr="0065210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B0745B" w:rsidRPr="0065210B">
              <w:trPr>
                <w:trHeight w:val="640"/>
              </w:trPr>
              <w:tc>
                <w:tcPr>
                  <w:tcW w:w="122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B0745B" w:rsidRPr="0065210B" w:rsidRDefault="00B0745B" w:rsidP="00652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B0745B" w:rsidRPr="00275280" w:rsidRDefault="00B0745B" w:rsidP="00B0745B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C12A4F" w:rsidRPr="00C12A4F" w:rsidRDefault="00C12A4F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B0745B" w:rsidTr="00E209EB">
        <w:tc>
          <w:tcPr>
            <w:tcW w:w="1526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65210B" w:rsidRDefault="0065210B" w:rsidP="0065210B">
      <w:pPr>
        <w:rPr>
          <w:lang w:eastAsia="ko-KR"/>
        </w:rPr>
      </w:pPr>
    </w:p>
    <w:p w:rsidR="00E209EB" w:rsidRDefault="00E209EB" w:rsidP="0065210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26-16—Fields in the HE-SIG-A for an HE MU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26-17—Fields in the HE-SIG-A for an HE trigger-based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lastRenderedPageBreak/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bookmarkEnd w:id="0"/>
    <w:p w:rsidR="00AA354B" w:rsidRPr="00B3037E" w:rsidRDefault="00B3037E" w:rsidP="00B3037E">
      <w:pPr>
        <w:tabs>
          <w:tab w:val="left" w:pos="6701"/>
        </w:tabs>
        <w:rPr>
          <w:lang w:val="en-US" w:eastAsia="ko-KR"/>
        </w:rPr>
      </w:pPr>
      <w:r>
        <w:rPr>
          <w:lang w:val="en-US" w:eastAsia="ko-KR"/>
        </w:rPr>
        <w:tab/>
      </w:r>
    </w:p>
    <w:sectPr w:rsidR="00AA354B" w:rsidRPr="00B3037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1A" w:rsidRDefault="00EC141A">
      <w:r>
        <w:separator/>
      </w:r>
    </w:p>
  </w:endnote>
  <w:endnote w:type="continuationSeparator" w:id="0">
    <w:p w:rsidR="00EC141A" w:rsidRDefault="00EC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EC141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D084D">
        <w:t>Submission</w:t>
      </w:r>
    </w:fldSimple>
    <w:r w:rsidR="00FD084D">
      <w:tab/>
      <w:t xml:space="preserve">page </w:t>
    </w:r>
    <w:r w:rsidR="00904F93">
      <w:fldChar w:fldCharType="begin"/>
    </w:r>
    <w:r w:rsidR="00FD084D">
      <w:instrText xml:space="preserve">page </w:instrText>
    </w:r>
    <w:r w:rsidR="00904F93">
      <w:fldChar w:fldCharType="separate"/>
    </w:r>
    <w:r w:rsidR="003858E7">
      <w:rPr>
        <w:noProof/>
      </w:rPr>
      <w:t>4</w:t>
    </w:r>
    <w:r w:rsidR="00904F93">
      <w:rPr>
        <w:noProof/>
      </w:rPr>
      <w:fldChar w:fldCharType="end"/>
    </w:r>
    <w:r w:rsidR="00FD084D">
      <w:tab/>
    </w:r>
    <w:proofErr w:type="spellStart"/>
    <w:r w:rsidR="00B3037E">
      <w:rPr>
        <w:lang w:eastAsia="ko-KR"/>
      </w:rPr>
      <w:t>Jeongki</w:t>
    </w:r>
    <w:proofErr w:type="spellEnd"/>
    <w:r w:rsidR="00B3037E">
      <w:rPr>
        <w:lang w:eastAsia="ko-KR"/>
      </w:rPr>
      <w:t xml:space="preserve"> Kim</w:t>
    </w:r>
    <w:r w:rsidR="00FD084D">
      <w:t xml:space="preserve">, </w:t>
    </w:r>
    <w:r w:rsidR="00B3037E">
      <w:t>LG Electronics</w:t>
    </w:r>
    <w:r w:rsidR="00FD084D">
      <w:t>.</w:t>
    </w:r>
  </w:p>
  <w:p w:rsidR="00FD084D" w:rsidRDefault="00FD0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1A" w:rsidRDefault="00EC141A">
      <w:r>
        <w:separator/>
      </w:r>
    </w:p>
  </w:footnote>
  <w:footnote w:type="continuationSeparator" w:id="0">
    <w:p w:rsidR="00EC141A" w:rsidRDefault="00EC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B0120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D084D">
      <w:rPr>
        <w:lang w:eastAsia="ko-KR"/>
      </w:rPr>
      <w:t xml:space="preserve"> 2016</w:t>
    </w:r>
    <w:r w:rsidR="00FD084D">
      <w:tab/>
    </w:r>
    <w:r w:rsidR="00FD084D">
      <w:tab/>
    </w:r>
    <w:r w:rsidR="00904F93">
      <w:fldChar w:fldCharType="begin"/>
    </w:r>
    <w:r w:rsidR="00FD084D">
      <w:instrText xml:space="preserve"> TITLE  \* MERGEFORMAT </w:instrText>
    </w:r>
    <w:r w:rsidR="00904F93">
      <w:fldChar w:fldCharType="end"/>
    </w:r>
    <w:fldSimple w:instr=" TITLE  \* MERGEFORMAT ">
      <w:r w:rsidR="00FD084D">
        <w:t>doc.: IEEE 802.11-16/</w:t>
      </w:r>
      <w:r w:rsidR="002E0140">
        <w:rPr>
          <w:lang w:eastAsia="ko-KR"/>
        </w:rPr>
        <w:t>0877</w:t>
      </w:r>
      <w:r w:rsidR="00FD084D">
        <w:rPr>
          <w:lang w:eastAsia="ko-KR"/>
        </w:rPr>
        <w:t>r</w:t>
      </w:r>
    </w:fldSimple>
    <w:r w:rsidR="003858E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7D79"/>
    <w:multiLevelType w:val="hybridMultilevel"/>
    <w:tmpl w:val="9EA6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08C"/>
    <w:rsid w:val="00033B0A"/>
    <w:rsid w:val="00034E6F"/>
    <w:rsid w:val="000358B3"/>
    <w:rsid w:val="000405C4"/>
    <w:rsid w:val="00044DC0"/>
    <w:rsid w:val="00046BCA"/>
    <w:rsid w:val="000478EE"/>
    <w:rsid w:val="00052123"/>
    <w:rsid w:val="00053519"/>
    <w:rsid w:val="000567DA"/>
    <w:rsid w:val="000636C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5286"/>
    <w:rsid w:val="000A671D"/>
    <w:rsid w:val="000A7680"/>
    <w:rsid w:val="000B041A"/>
    <w:rsid w:val="000B083E"/>
    <w:rsid w:val="000B0DAF"/>
    <w:rsid w:val="000B59FE"/>
    <w:rsid w:val="000C27D0"/>
    <w:rsid w:val="000C43E1"/>
    <w:rsid w:val="000C54F3"/>
    <w:rsid w:val="000C6A2F"/>
    <w:rsid w:val="000D174A"/>
    <w:rsid w:val="000D1AD4"/>
    <w:rsid w:val="000D26D3"/>
    <w:rsid w:val="000D276A"/>
    <w:rsid w:val="000D2F1B"/>
    <w:rsid w:val="000D4A8F"/>
    <w:rsid w:val="000D5EBD"/>
    <w:rsid w:val="000D674F"/>
    <w:rsid w:val="000E0494"/>
    <w:rsid w:val="000E082C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49B4"/>
    <w:rsid w:val="00135032"/>
    <w:rsid w:val="00135B4B"/>
    <w:rsid w:val="0013699E"/>
    <w:rsid w:val="00136DAB"/>
    <w:rsid w:val="001420A4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77D99"/>
    <w:rsid w:val="001812B0"/>
    <w:rsid w:val="00181423"/>
    <w:rsid w:val="001815F9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3A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33"/>
    <w:rsid w:val="00225508"/>
    <w:rsid w:val="00225570"/>
    <w:rsid w:val="00226E3D"/>
    <w:rsid w:val="00230F8F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840"/>
    <w:rsid w:val="00252C29"/>
    <w:rsid w:val="00252D47"/>
    <w:rsid w:val="002539AB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5280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535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140"/>
    <w:rsid w:val="002E1B18"/>
    <w:rsid w:val="002E2017"/>
    <w:rsid w:val="002E340A"/>
    <w:rsid w:val="002E6FF6"/>
    <w:rsid w:val="002F0915"/>
    <w:rsid w:val="002F1269"/>
    <w:rsid w:val="002F243B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D79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27044"/>
    <w:rsid w:val="0033057A"/>
    <w:rsid w:val="003308A8"/>
    <w:rsid w:val="00331749"/>
    <w:rsid w:val="00331AD9"/>
    <w:rsid w:val="00332A81"/>
    <w:rsid w:val="00334DEA"/>
    <w:rsid w:val="00336F5F"/>
    <w:rsid w:val="00343554"/>
    <w:rsid w:val="003449F9"/>
    <w:rsid w:val="00344DA5"/>
    <w:rsid w:val="0034581F"/>
    <w:rsid w:val="0034592B"/>
    <w:rsid w:val="0034741F"/>
    <w:rsid w:val="003479E4"/>
    <w:rsid w:val="00347C43"/>
    <w:rsid w:val="00350290"/>
    <w:rsid w:val="00350CA7"/>
    <w:rsid w:val="0035213C"/>
    <w:rsid w:val="00352DC1"/>
    <w:rsid w:val="00355254"/>
    <w:rsid w:val="0035591D"/>
    <w:rsid w:val="00356265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390"/>
    <w:rsid w:val="00385654"/>
    <w:rsid w:val="003858E7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012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2C4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523B"/>
    <w:rsid w:val="003F6B76"/>
    <w:rsid w:val="004010D0"/>
    <w:rsid w:val="004014AE"/>
    <w:rsid w:val="00403271"/>
    <w:rsid w:val="00403645"/>
    <w:rsid w:val="00403B13"/>
    <w:rsid w:val="0040491F"/>
    <w:rsid w:val="004051EE"/>
    <w:rsid w:val="00405544"/>
    <w:rsid w:val="00407C5B"/>
    <w:rsid w:val="00410467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EEB"/>
    <w:rsid w:val="004700EA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4B71"/>
    <w:rsid w:val="004E66C3"/>
    <w:rsid w:val="004E7E34"/>
    <w:rsid w:val="004F0CB7"/>
    <w:rsid w:val="004F2F02"/>
    <w:rsid w:val="004F4564"/>
    <w:rsid w:val="004F4BBB"/>
    <w:rsid w:val="004F5A90"/>
    <w:rsid w:val="004F74F8"/>
    <w:rsid w:val="004F7C14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2EEF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EA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210B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8D0"/>
    <w:rsid w:val="00673E73"/>
    <w:rsid w:val="00677062"/>
    <w:rsid w:val="0067737F"/>
    <w:rsid w:val="00677860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EF9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8D3"/>
    <w:rsid w:val="006C2C97"/>
    <w:rsid w:val="006C3C41"/>
    <w:rsid w:val="006C5695"/>
    <w:rsid w:val="006D1C3D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19D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11E7"/>
    <w:rsid w:val="007B2BDF"/>
    <w:rsid w:val="007B5DB4"/>
    <w:rsid w:val="007C0795"/>
    <w:rsid w:val="007C0B76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183"/>
    <w:rsid w:val="007F2366"/>
    <w:rsid w:val="007F2E9D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30ACB"/>
    <w:rsid w:val="0083127F"/>
    <w:rsid w:val="008312B9"/>
    <w:rsid w:val="00831EDC"/>
    <w:rsid w:val="00832700"/>
    <w:rsid w:val="00832898"/>
    <w:rsid w:val="00832DBA"/>
    <w:rsid w:val="00834AD2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3BD8"/>
    <w:rsid w:val="0087408A"/>
    <w:rsid w:val="00875ABA"/>
    <w:rsid w:val="008771D6"/>
    <w:rsid w:val="008776B0"/>
    <w:rsid w:val="00880024"/>
    <w:rsid w:val="0088012D"/>
    <w:rsid w:val="00881C47"/>
    <w:rsid w:val="008831D9"/>
    <w:rsid w:val="00884237"/>
    <w:rsid w:val="00887583"/>
    <w:rsid w:val="00891445"/>
    <w:rsid w:val="00892781"/>
    <w:rsid w:val="00893873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F93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77BD7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B51AE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2D2B"/>
    <w:rsid w:val="009E5870"/>
    <w:rsid w:val="009F08F6"/>
    <w:rsid w:val="009F0CDB"/>
    <w:rsid w:val="009F39CB"/>
    <w:rsid w:val="009F3F07"/>
    <w:rsid w:val="009F66BB"/>
    <w:rsid w:val="009F6C41"/>
    <w:rsid w:val="009F7286"/>
    <w:rsid w:val="00A00AC4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7B98"/>
    <w:rsid w:val="00A20076"/>
    <w:rsid w:val="00A21500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990"/>
    <w:rsid w:val="00A758C8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004F"/>
    <w:rsid w:val="00AA188F"/>
    <w:rsid w:val="00AA2B9C"/>
    <w:rsid w:val="00AA354B"/>
    <w:rsid w:val="00AA3C3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3191"/>
    <w:rsid w:val="00AF476B"/>
    <w:rsid w:val="00AF794B"/>
    <w:rsid w:val="00B0051A"/>
    <w:rsid w:val="00B01207"/>
    <w:rsid w:val="00B02952"/>
    <w:rsid w:val="00B03DB7"/>
    <w:rsid w:val="00B03F86"/>
    <w:rsid w:val="00B04957"/>
    <w:rsid w:val="00B04CB8"/>
    <w:rsid w:val="00B05435"/>
    <w:rsid w:val="00B0745B"/>
    <w:rsid w:val="00B07F24"/>
    <w:rsid w:val="00B116A0"/>
    <w:rsid w:val="00B11981"/>
    <w:rsid w:val="00B15372"/>
    <w:rsid w:val="00B16515"/>
    <w:rsid w:val="00B17D28"/>
    <w:rsid w:val="00B17F46"/>
    <w:rsid w:val="00B20519"/>
    <w:rsid w:val="00B205C7"/>
    <w:rsid w:val="00B22C00"/>
    <w:rsid w:val="00B2361F"/>
    <w:rsid w:val="00B24286"/>
    <w:rsid w:val="00B2692B"/>
    <w:rsid w:val="00B2718B"/>
    <w:rsid w:val="00B3037E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57ED1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77E7A"/>
    <w:rsid w:val="00B8242B"/>
    <w:rsid w:val="00B83455"/>
    <w:rsid w:val="00B844E8"/>
    <w:rsid w:val="00B92315"/>
    <w:rsid w:val="00B9272C"/>
    <w:rsid w:val="00B936F0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4F"/>
    <w:rsid w:val="00C12AEB"/>
    <w:rsid w:val="00C1356B"/>
    <w:rsid w:val="00C151D0"/>
    <w:rsid w:val="00C1562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5C0F"/>
    <w:rsid w:val="00C86D46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04E1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2D70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36E3A"/>
    <w:rsid w:val="00D41C47"/>
    <w:rsid w:val="00D42073"/>
    <w:rsid w:val="00D472B8"/>
    <w:rsid w:val="00D528F4"/>
    <w:rsid w:val="00D52AAA"/>
    <w:rsid w:val="00D52F5F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3082"/>
    <w:rsid w:val="00D9485C"/>
    <w:rsid w:val="00D94B05"/>
    <w:rsid w:val="00D95494"/>
    <w:rsid w:val="00D9667F"/>
    <w:rsid w:val="00D97DF1"/>
    <w:rsid w:val="00DA122F"/>
    <w:rsid w:val="00DA343B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239B"/>
    <w:rsid w:val="00DD369B"/>
    <w:rsid w:val="00DD3BD5"/>
    <w:rsid w:val="00DD4535"/>
    <w:rsid w:val="00DD64AA"/>
    <w:rsid w:val="00DD6EB7"/>
    <w:rsid w:val="00DD70FA"/>
    <w:rsid w:val="00DE11C8"/>
    <w:rsid w:val="00DE2E19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1742"/>
    <w:rsid w:val="00DF2DD4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9EB"/>
    <w:rsid w:val="00E245D5"/>
    <w:rsid w:val="00E2719F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3AEE"/>
    <w:rsid w:val="00EB5ADB"/>
    <w:rsid w:val="00EB6218"/>
    <w:rsid w:val="00EB69EF"/>
    <w:rsid w:val="00EB7706"/>
    <w:rsid w:val="00EC141A"/>
    <w:rsid w:val="00EC4F39"/>
    <w:rsid w:val="00EC6022"/>
    <w:rsid w:val="00EC70E0"/>
    <w:rsid w:val="00EC7772"/>
    <w:rsid w:val="00EC79C5"/>
    <w:rsid w:val="00ED21D2"/>
    <w:rsid w:val="00ED3E1B"/>
    <w:rsid w:val="00ED5F52"/>
    <w:rsid w:val="00ED6892"/>
    <w:rsid w:val="00ED6FC5"/>
    <w:rsid w:val="00ED75CA"/>
    <w:rsid w:val="00EE13AE"/>
    <w:rsid w:val="00EE25EA"/>
    <w:rsid w:val="00EE276D"/>
    <w:rsid w:val="00EE2AF3"/>
    <w:rsid w:val="00EE34B6"/>
    <w:rsid w:val="00EE3918"/>
    <w:rsid w:val="00EE394D"/>
    <w:rsid w:val="00EE55B2"/>
    <w:rsid w:val="00EE7DA9"/>
    <w:rsid w:val="00EF06D8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2F92"/>
    <w:rsid w:val="00F13D95"/>
    <w:rsid w:val="00F16057"/>
    <w:rsid w:val="00F16324"/>
    <w:rsid w:val="00F233C0"/>
    <w:rsid w:val="00F2375B"/>
    <w:rsid w:val="00F24F93"/>
    <w:rsid w:val="00F2561F"/>
    <w:rsid w:val="00F25EEE"/>
    <w:rsid w:val="00F261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75FD"/>
    <w:rsid w:val="00F60892"/>
    <w:rsid w:val="00F61E6F"/>
    <w:rsid w:val="00F653A1"/>
    <w:rsid w:val="00F65652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46E0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554D"/>
    <w:rsid w:val="00FD5B24"/>
    <w:rsid w:val="00FD6CC9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3C984B8-CB86-4B39-B33E-07B44422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customStyle="1" w:styleId="SP1386063">
    <w:name w:val="SP.13.8606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65210B"/>
    <w:rPr>
      <w:b/>
      <w:bCs/>
      <w:color w:val="000000"/>
      <w:sz w:val="20"/>
      <w:szCs w:val="20"/>
    </w:rPr>
  </w:style>
  <w:style w:type="paragraph" w:customStyle="1" w:styleId="SP1386025">
    <w:name w:val="SP.13.86025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29">
    <w:name w:val="SP.13.86029"/>
    <w:basedOn w:val="Default"/>
    <w:next w:val="Default"/>
    <w:uiPriority w:val="99"/>
    <w:rsid w:val="0065210B"/>
    <w:pPr>
      <w:widowControl w:val="0"/>
    </w:pPr>
    <w:rPr>
      <w:color w:val="auto"/>
    </w:rPr>
  </w:style>
  <w:style w:type="character" w:customStyle="1" w:styleId="SC13303112">
    <w:name w:val="SC.13.303112"/>
    <w:uiPriority w:val="99"/>
    <w:rsid w:val="0065210B"/>
    <w:rPr>
      <w:b/>
      <w:bCs/>
      <w:color w:val="000000"/>
      <w:sz w:val="18"/>
      <w:szCs w:val="18"/>
    </w:rPr>
  </w:style>
  <w:style w:type="paragraph" w:customStyle="1" w:styleId="SP1386028">
    <w:name w:val="SP.13.86028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64">
    <w:name w:val="SP.13.86064"/>
    <w:basedOn w:val="Default"/>
    <w:next w:val="Default"/>
    <w:uiPriority w:val="99"/>
    <w:rsid w:val="0003308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65E8-9696-417D-80B2-0E916A32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4207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/>
  <LinksUpToDate>false</LinksUpToDate>
  <CharactersWithSpaces>5064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김정기/책임연구원/차세대표준(연)IoT팀(jeongki.kim@lge.com)</cp:lastModifiedBy>
  <cp:revision>3</cp:revision>
  <cp:lastPrinted>2010-05-04T03:47:00Z</cp:lastPrinted>
  <dcterms:created xsi:type="dcterms:W3CDTF">2016-07-25T21:21:00Z</dcterms:created>
  <dcterms:modified xsi:type="dcterms:W3CDTF">2016-07-25T21:24:00Z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