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1CE47CD9" w:rsidR="006179ED" w:rsidRDefault="005E7FCE" w:rsidP="00127344">
            <w:pPr>
              <w:jc w:val="center"/>
              <w:rPr>
                <w:b/>
                <w:bCs/>
                <w:color w:val="000000"/>
                <w:sz w:val="28"/>
                <w:szCs w:val="28"/>
                <w:lang w:val="en-US"/>
              </w:rPr>
            </w:pPr>
            <w:r>
              <w:rPr>
                <w:b/>
                <w:bCs/>
                <w:color w:val="000000"/>
                <w:sz w:val="28"/>
                <w:szCs w:val="28"/>
                <w:lang w:val="en-US"/>
              </w:rPr>
              <w:t xml:space="preserve">CIDs for: </w:t>
            </w:r>
          </w:p>
          <w:p w14:paraId="3A8EE7E2" w14:textId="3FF512DA" w:rsidR="00BD6FB0" w:rsidRPr="00BD6FB0" w:rsidRDefault="00AB6625" w:rsidP="00127344">
            <w:pPr>
              <w:jc w:val="center"/>
              <w:rPr>
                <w:b/>
                <w:bCs/>
                <w:color w:val="000000"/>
                <w:sz w:val="28"/>
                <w:szCs w:val="28"/>
                <w:lang w:val="en-US"/>
              </w:rPr>
            </w:pPr>
            <w:r>
              <w:rPr>
                <w:b/>
                <w:bCs/>
                <w:color w:val="000000"/>
                <w:sz w:val="28"/>
                <w:szCs w:val="28"/>
                <w:lang w:val="en-US"/>
              </w:rPr>
              <w:t>Trigger Frame Format</w:t>
            </w:r>
            <w:r w:rsidR="001568DB">
              <w:rPr>
                <w:b/>
                <w:bCs/>
                <w:color w:val="000000"/>
                <w:sz w:val="28"/>
                <w:szCs w:val="28"/>
                <w:lang w:val="en-US"/>
              </w:rPr>
              <w:t xml:space="preserve"> Comment Resolution – Type Dependent Per user information</w:t>
            </w:r>
            <w:r w:rsidR="004B2FF8">
              <w:rPr>
                <w:b/>
                <w:bCs/>
                <w:color w:val="000000"/>
                <w:sz w:val="28"/>
                <w:szCs w:val="28"/>
                <w:lang w:val="en-US"/>
              </w:rPr>
              <w:t xml:space="preserve"> section 9.3.1.23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1CD5736"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4F4543">
              <w:t>5</w:t>
            </w:r>
            <w:r w:rsidR="00361A7D">
              <w:t>-</w:t>
            </w:r>
            <w:r w:rsidR="00AC32D5">
              <w:t>1</w:t>
            </w:r>
            <w:r w:rsidR="004F4543">
              <w:t>8</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2043"/>
        <w:gridCol w:w="1657"/>
        <w:gridCol w:w="1176"/>
        <w:gridCol w:w="2742"/>
      </w:tblGrid>
      <w:tr w:rsidR="0068272D" w:rsidRPr="0019516D" w14:paraId="65D6378A" w14:textId="77777777" w:rsidTr="00C1327F">
        <w:trPr>
          <w:trHeight w:val="144"/>
        </w:trPr>
        <w:tc>
          <w:tcPr>
            <w:tcW w:w="1732" w:type="dxa"/>
            <w:shd w:val="clear" w:color="auto" w:fill="FFFFFF"/>
            <w:tcMar>
              <w:top w:w="15" w:type="dxa"/>
              <w:left w:w="108" w:type="dxa"/>
              <w:bottom w:w="0" w:type="dxa"/>
              <w:right w:w="108" w:type="dxa"/>
            </w:tcMar>
            <w:vAlign w:val="center"/>
          </w:tcPr>
          <w:p w14:paraId="5BE16EBB" w14:textId="70D62A6A" w:rsidR="0068272D" w:rsidRPr="0019516D" w:rsidRDefault="00C1327F" w:rsidP="003D66D1">
            <w:r>
              <w:t>Raja Banerjea</w:t>
            </w:r>
          </w:p>
        </w:tc>
        <w:tc>
          <w:tcPr>
            <w:tcW w:w="2043" w:type="dxa"/>
            <w:shd w:val="clear" w:color="auto" w:fill="FFFFFF"/>
            <w:vAlign w:val="center"/>
          </w:tcPr>
          <w:p w14:paraId="7261EF65" w14:textId="52462FDA" w:rsidR="0068272D" w:rsidRPr="0019516D" w:rsidRDefault="00C1327F" w:rsidP="003D66D1">
            <w:pPr>
              <w:jc w:val="center"/>
            </w:pPr>
            <w:r>
              <w:t>Qualcomm</w:t>
            </w:r>
          </w:p>
        </w:tc>
        <w:tc>
          <w:tcPr>
            <w:tcW w:w="1657" w:type="dxa"/>
            <w:shd w:val="clear" w:color="auto" w:fill="FFFFFF"/>
            <w:tcMar>
              <w:top w:w="15" w:type="dxa"/>
              <w:left w:w="108" w:type="dxa"/>
              <w:bottom w:w="0" w:type="dxa"/>
              <w:right w:w="108" w:type="dxa"/>
            </w:tcMar>
            <w:vAlign w:val="center"/>
          </w:tcPr>
          <w:p w14:paraId="3229F260" w14:textId="62116B07" w:rsidR="00AB6625" w:rsidRPr="0019516D" w:rsidRDefault="00C1327F" w:rsidP="003D66D1">
            <w:r>
              <w:t>1700 Technology Drive, San Jose, CA</w:t>
            </w:r>
          </w:p>
        </w:tc>
        <w:tc>
          <w:tcPr>
            <w:tcW w:w="1176" w:type="dxa"/>
            <w:shd w:val="clear" w:color="auto" w:fill="FFFFFF"/>
            <w:tcMar>
              <w:top w:w="15" w:type="dxa"/>
              <w:left w:w="108" w:type="dxa"/>
              <w:bottom w:w="0" w:type="dxa"/>
              <w:right w:w="108" w:type="dxa"/>
            </w:tcMar>
            <w:vAlign w:val="center"/>
          </w:tcPr>
          <w:p w14:paraId="0E4409F2" w14:textId="5143C5AE" w:rsidR="0068272D" w:rsidRPr="00855146" w:rsidRDefault="00C1327F" w:rsidP="003D66D1">
            <w:pPr>
              <w:rPr>
                <w:sz w:val="16"/>
                <w:szCs w:val="16"/>
              </w:rPr>
            </w:pPr>
            <w:r>
              <w:rPr>
                <w:sz w:val="16"/>
                <w:szCs w:val="16"/>
              </w:rPr>
              <w:t>+1.408.4897129</w:t>
            </w:r>
          </w:p>
        </w:tc>
        <w:tc>
          <w:tcPr>
            <w:tcW w:w="2742" w:type="dxa"/>
            <w:shd w:val="clear" w:color="auto" w:fill="FFFFFF"/>
            <w:tcMar>
              <w:top w:w="15" w:type="dxa"/>
              <w:left w:w="108" w:type="dxa"/>
              <w:bottom w:w="0" w:type="dxa"/>
              <w:right w:w="108" w:type="dxa"/>
            </w:tcMar>
            <w:vAlign w:val="center"/>
          </w:tcPr>
          <w:p w14:paraId="633E3DD0" w14:textId="2E24811A" w:rsidR="0068272D" w:rsidRPr="0019516D" w:rsidRDefault="00F66254" w:rsidP="003D66D1">
            <w:pPr>
              <w:rPr>
                <w:sz w:val="18"/>
              </w:rPr>
            </w:pPr>
            <w:hyperlink r:id="rId13" w:history="1">
              <w:r w:rsidR="00C1327F" w:rsidRPr="00FB33AB">
                <w:rPr>
                  <w:rStyle w:val="Hyperlink"/>
                  <w:sz w:val="18"/>
                </w:rPr>
                <w:t>rajab@qca.qualcomm.com</w:t>
              </w:r>
            </w:hyperlink>
          </w:p>
        </w:tc>
      </w:tr>
      <w:tr w:rsidR="00C1327F" w:rsidRPr="0019516D" w14:paraId="61532734" w14:textId="77777777" w:rsidTr="00C1327F">
        <w:trPr>
          <w:trHeight w:val="144"/>
        </w:trPr>
        <w:tc>
          <w:tcPr>
            <w:tcW w:w="1732" w:type="dxa"/>
            <w:shd w:val="clear" w:color="auto" w:fill="FFFFFF"/>
            <w:tcMar>
              <w:top w:w="15" w:type="dxa"/>
              <w:left w:w="108" w:type="dxa"/>
              <w:bottom w:w="0" w:type="dxa"/>
              <w:right w:w="108" w:type="dxa"/>
            </w:tcMar>
            <w:vAlign w:val="center"/>
          </w:tcPr>
          <w:p w14:paraId="17835642" w14:textId="20737700" w:rsidR="00C1327F" w:rsidRDefault="00C1327F" w:rsidP="003D66D1">
            <w:r>
              <w:t>Merlin Simone</w:t>
            </w:r>
          </w:p>
        </w:tc>
        <w:tc>
          <w:tcPr>
            <w:tcW w:w="2043" w:type="dxa"/>
            <w:shd w:val="clear" w:color="auto" w:fill="FFFFFF"/>
            <w:vAlign w:val="center"/>
          </w:tcPr>
          <w:p w14:paraId="2490EC28"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66C08DA0" w14:textId="77777777" w:rsidR="00C1327F" w:rsidRDefault="00C1327F" w:rsidP="003D66D1"/>
        </w:tc>
        <w:tc>
          <w:tcPr>
            <w:tcW w:w="1176" w:type="dxa"/>
            <w:shd w:val="clear" w:color="auto" w:fill="FFFFFF"/>
            <w:tcMar>
              <w:top w:w="15" w:type="dxa"/>
              <w:left w:w="108" w:type="dxa"/>
              <w:bottom w:w="0" w:type="dxa"/>
              <w:right w:w="108" w:type="dxa"/>
            </w:tcMar>
            <w:vAlign w:val="center"/>
          </w:tcPr>
          <w:p w14:paraId="04061DD4"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79B2F44D" w14:textId="77777777" w:rsidR="00C1327F" w:rsidRDefault="00C1327F" w:rsidP="003D66D1">
            <w:pPr>
              <w:rPr>
                <w:sz w:val="18"/>
              </w:rPr>
            </w:pPr>
          </w:p>
        </w:tc>
      </w:tr>
      <w:tr w:rsidR="00C1327F" w:rsidRPr="0019516D" w14:paraId="39611B88" w14:textId="77777777" w:rsidTr="00C1327F">
        <w:trPr>
          <w:trHeight w:val="144"/>
        </w:trPr>
        <w:tc>
          <w:tcPr>
            <w:tcW w:w="1732" w:type="dxa"/>
            <w:shd w:val="clear" w:color="auto" w:fill="FFFFFF"/>
            <w:tcMar>
              <w:top w:w="15" w:type="dxa"/>
              <w:left w:w="108" w:type="dxa"/>
              <w:bottom w:w="0" w:type="dxa"/>
              <w:right w:w="108" w:type="dxa"/>
            </w:tcMar>
            <w:vAlign w:val="center"/>
          </w:tcPr>
          <w:p w14:paraId="2E5F3B89" w14:textId="584B1345" w:rsidR="00C1327F" w:rsidRDefault="00C1327F" w:rsidP="00C1327F">
            <w:r w:rsidRPr="00C1327F">
              <w:t xml:space="preserve">Alfred </w:t>
            </w:r>
            <w:r>
              <w:t>Asterjadhi</w:t>
            </w:r>
          </w:p>
        </w:tc>
        <w:tc>
          <w:tcPr>
            <w:tcW w:w="2043" w:type="dxa"/>
            <w:shd w:val="clear" w:color="auto" w:fill="FFFFFF"/>
            <w:vAlign w:val="center"/>
          </w:tcPr>
          <w:p w14:paraId="167BB4E3"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22D73232" w14:textId="77777777" w:rsidR="00C1327F" w:rsidRDefault="00C1327F" w:rsidP="003D66D1"/>
        </w:tc>
        <w:tc>
          <w:tcPr>
            <w:tcW w:w="1176" w:type="dxa"/>
            <w:shd w:val="clear" w:color="auto" w:fill="FFFFFF"/>
            <w:tcMar>
              <w:top w:w="15" w:type="dxa"/>
              <w:left w:w="108" w:type="dxa"/>
              <w:bottom w:w="0" w:type="dxa"/>
              <w:right w:w="108" w:type="dxa"/>
            </w:tcMar>
            <w:vAlign w:val="center"/>
          </w:tcPr>
          <w:p w14:paraId="34AD77D0"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7DDA439F" w14:textId="77777777" w:rsidR="00C1327F" w:rsidRDefault="00C1327F" w:rsidP="003D66D1">
            <w:pPr>
              <w:rPr>
                <w:sz w:val="18"/>
              </w:rPr>
            </w:pPr>
          </w:p>
        </w:tc>
      </w:tr>
      <w:tr w:rsidR="00C1327F" w:rsidRPr="0019516D" w14:paraId="7D740B66" w14:textId="77777777" w:rsidTr="00C1327F">
        <w:trPr>
          <w:trHeight w:val="144"/>
        </w:trPr>
        <w:tc>
          <w:tcPr>
            <w:tcW w:w="1732" w:type="dxa"/>
            <w:shd w:val="clear" w:color="auto" w:fill="FFFFFF"/>
            <w:tcMar>
              <w:top w:w="15" w:type="dxa"/>
              <w:left w:w="108" w:type="dxa"/>
              <w:bottom w:w="0" w:type="dxa"/>
              <w:right w:w="108" w:type="dxa"/>
            </w:tcMar>
            <w:vAlign w:val="center"/>
          </w:tcPr>
          <w:p w14:paraId="34642B1A" w14:textId="5F2EB89E" w:rsidR="00C1327F" w:rsidRPr="00C1327F" w:rsidRDefault="00C1327F" w:rsidP="00C1327F">
            <w:r>
              <w:t>George Cherian</w:t>
            </w:r>
          </w:p>
        </w:tc>
        <w:tc>
          <w:tcPr>
            <w:tcW w:w="2043" w:type="dxa"/>
            <w:shd w:val="clear" w:color="auto" w:fill="FFFFFF"/>
            <w:vAlign w:val="center"/>
          </w:tcPr>
          <w:p w14:paraId="01D660B0"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1847E40E" w14:textId="77777777" w:rsidR="00C1327F" w:rsidRDefault="00C1327F" w:rsidP="003D66D1"/>
        </w:tc>
        <w:tc>
          <w:tcPr>
            <w:tcW w:w="1176" w:type="dxa"/>
            <w:shd w:val="clear" w:color="auto" w:fill="FFFFFF"/>
            <w:tcMar>
              <w:top w:w="15" w:type="dxa"/>
              <w:left w:w="108" w:type="dxa"/>
              <w:bottom w:w="0" w:type="dxa"/>
              <w:right w:w="108" w:type="dxa"/>
            </w:tcMar>
            <w:vAlign w:val="center"/>
          </w:tcPr>
          <w:p w14:paraId="1904B5B2"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64BB3884" w14:textId="77777777" w:rsidR="00C1327F" w:rsidRDefault="00C1327F"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60FDF13B" w:rsidR="00A64D7D" w:rsidRDefault="0099009F">
      <w:pPr>
        <w:pStyle w:val="T1"/>
        <w:spacing w:after="120"/>
        <w:rPr>
          <w:sz w:val="22"/>
        </w:rPr>
      </w:pPr>
      <w:r>
        <w:rPr>
          <w:sz w:val="22"/>
        </w:rPr>
        <w:t>Revision</w:t>
      </w:r>
    </w:p>
    <w:p w14:paraId="0BB95BA8" w14:textId="358DCD97" w:rsidR="0099009F" w:rsidRPr="001120E7" w:rsidRDefault="0099009F" w:rsidP="001120E7">
      <w:pPr>
        <w:pStyle w:val="T1"/>
        <w:spacing w:after="120"/>
        <w:jc w:val="left"/>
        <w:rPr>
          <w:b w:val="0"/>
          <w:sz w:val="22"/>
        </w:rPr>
      </w:pPr>
      <w:r w:rsidRPr="001120E7">
        <w:rPr>
          <w:b w:val="0"/>
          <w:sz w:val="22"/>
        </w:rPr>
        <w:t>1: Original document</w:t>
      </w:r>
    </w:p>
    <w:p w14:paraId="35707037" w14:textId="644953C9" w:rsidR="0099009F" w:rsidRDefault="0099009F" w:rsidP="001120E7">
      <w:pPr>
        <w:pStyle w:val="T1"/>
        <w:spacing w:after="120"/>
        <w:jc w:val="left"/>
        <w:rPr>
          <w:ins w:id="0" w:author="Banerjea, Raja" w:date="2016-06-09T16:12:00Z"/>
          <w:b w:val="0"/>
          <w:sz w:val="22"/>
        </w:rPr>
      </w:pPr>
      <w:r w:rsidRPr="001120E7">
        <w:rPr>
          <w:b w:val="0"/>
          <w:sz w:val="22"/>
        </w:rPr>
        <w:t>2: Updated with comment from Alfred, added text for TID Aggregation limit</w:t>
      </w:r>
      <w:r w:rsidR="00A506A1">
        <w:rPr>
          <w:b w:val="0"/>
          <w:sz w:val="22"/>
        </w:rPr>
        <w:t>, added Table header and footer.</w:t>
      </w:r>
    </w:p>
    <w:p w14:paraId="6DB8192C" w14:textId="30685C32" w:rsidR="000F59ED" w:rsidRDefault="000F59ED" w:rsidP="001120E7">
      <w:pPr>
        <w:pStyle w:val="T1"/>
        <w:spacing w:after="120"/>
        <w:jc w:val="left"/>
        <w:rPr>
          <w:ins w:id="1" w:author="Banerjea, Raja" w:date="2016-06-23T16:03:00Z"/>
          <w:b w:val="0"/>
          <w:sz w:val="22"/>
        </w:rPr>
      </w:pPr>
      <w:ins w:id="2" w:author="Banerjea, Raja" w:date="2016-06-09T16:12:00Z">
        <w:r>
          <w:rPr>
            <w:b w:val="0"/>
            <w:sz w:val="22"/>
          </w:rPr>
          <w:t>3. Updated based on feedback from Chittbrata Ghosh</w:t>
        </w:r>
      </w:ins>
      <w:ins w:id="3" w:author="Banerjea, Raja" w:date="2016-06-09T16:13:00Z">
        <w:r>
          <w:rPr>
            <w:b w:val="0"/>
            <w:sz w:val="22"/>
          </w:rPr>
          <w:t xml:space="preserve"> on text for TID Aggregation Limit</w:t>
        </w:r>
      </w:ins>
      <w:ins w:id="4" w:author="Banerjea, Raja" w:date="2016-06-09T16:14:00Z">
        <w:r w:rsidR="00C3715A">
          <w:rPr>
            <w:b w:val="0"/>
            <w:sz w:val="22"/>
          </w:rPr>
          <w:t>. Moved normative portion of text to section 25</w:t>
        </w:r>
      </w:ins>
    </w:p>
    <w:p w14:paraId="0EE5E266" w14:textId="7E5A18DF" w:rsidR="00DF18BD" w:rsidRDefault="00DF18BD" w:rsidP="001120E7">
      <w:pPr>
        <w:pStyle w:val="T1"/>
        <w:spacing w:after="120"/>
        <w:jc w:val="left"/>
        <w:rPr>
          <w:sz w:val="22"/>
        </w:rPr>
      </w:pPr>
      <w:ins w:id="5" w:author="Banerjea, Raja" w:date="2016-06-23T16:03:00Z">
        <w:r>
          <w:rPr>
            <w:b w:val="0"/>
            <w:sz w:val="22"/>
          </w:rPr>
          <w:t xml:space="preserve">4. Changes based on feedback during IEEE 802.11 call on 6/16/16. Changes include removed CID 2692, </w:t>
        </w:r>
      </w:ins>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63CA1" w:rsidRDefault="00B63CA1">
                            <w:pPr>
                              <w:pStyle w:val="T1"/>
                              <w:spacing w:after="120"/>
                            </w:pPr>
                            <w:r>
                              <w:t>Abstract</w:t>
                            </w:r>
                          </w:p>
                          <w:p w14:paraId="75FE86FE" w14:textId="199FF612" w:rsidR="00B63CA1" w:rsidRDefault="00B63CA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w:t>
                            </w:r>
                            <w:r w:rsidR="001568DB">
                              <w:rPr>
                                <w:lang w:eastAsia="ko-KR"/>
                              </w:rPr>
                              <w:t xml:space="preserve">x D0.1 with the following CIDs </w:t>
                            </w:r>
                          </w:p>
                          <w:p w14:paraId="2FECDC69" w14:textId="3364DD01" w:rsidR="00B63CA1" w:rsidRDefault="00C1327F" w:rsidP="005E42F4">
                            <w:pPr>
                              <w:pStyle w:val="ListParagraph"/>
                              <w:numPr>
                                <w:ilvl w:val="0"/>
                                <w:numId w:val="4"/>
                              </w:numPr>
                              <w:jc w:val="both"/>
                            </w:pPr>
                            <w:r>
                              <w:rPr>
                                <w:lang w:eastAsia="ko-KR"/>
                              </w:rPr>
                              <w:t>9,</w:t>
                            </w:r>
                            <w:r w:rsidR="004F4543">
                              <w:rPr>
                                <w:lang w:eastAsia="ko-KR"/>
                              </w:rPr>
                              <w:t xml:space="preserve"> </w:t>
                            </w:r>
                            <w:r>
                              <w:rPr>
                                <w:lang w:eastAsia="ko-KR"/>
                              </w:rPr>
                              <w:t>228</w:t>
                            </w:r>
                          </w:p>
                          <w:p w14:paraId="3376B932" w14:textId="012D677B" w:rsidR="00C1327F" w:rsidRDefault="00C1327F" w:rsidP="005E42F4">
                            <w:pPr>
                              <w:pStyle w:val="ListParagraph"/>
                              <w:numPr>
                                <w:ilvl w:val="0"/>
                                <w:numId w:val="4"/>
                              </w:numPr>
                              <w:jc w:val="both"/>
                            </w:pPr>
                            <w:r>
                              <w:rPr>
                                <w:lang w:eastAsia="ko-KR"/>
                              </w:rPr>
                              <w:t>2219</w:t>
                            </w:r>
                            <w:ins w:id="6" w:author="Banerjea, Raja" w:date="2016-06-24T10:33:00Z">
                              <w:r w:rsidR="00DD11F9">
                                <w:rPr>
                                  <w:lang w:eastAsia="ko-KR"/>
                                </w:rPr>
                                <w:t>,2422, 2691,2900</w:t>
                              </w:r>
                            </w:ins>
                            <w:bookmarkStart w:id="7" w:name="_GoBack"/>
                            <w:bookmarkEnd w:id="7"/>
                          </w:p>
                          <w:p w14:paraId="2CD06B82" w14:textId="77777777" w:rsidR="00B63CA1" w:rsidRDefault="00B63CA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63CA1" w:rsidRDefault="00B63CA1">
                      <w:pPr>
                        <w:pStyle w:val="T1"/>
                        <w:spacing w:after="120"/>
                      </w:pPr>
                      <w:r>
                        <w:t>Abstract</w:t>
                      </w:r>
                    </w:p>
                    <w:p w14:paraId="75FE86FE" w14:textId="199FF612" w:rsidR="00B63CA1" w:rsidRDefault="00B63CA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w:t>
                      </w:r>
                      <w:r w:rsidR="001568DB">
                        <w:rPr>
                          <w:lang w:eastAsia="ko-KR"/>
                        </w:rPr>
                        <w:t xml:space="preserve">x D0.1 with the following CIDs </w:t>
                      </w:r>
                    </w:p>
                    <w:p w14:paraId="2FECDC69" w14:textId="3364DD01" w:rsidR="00B63CA1" w:rsidRDefault="00C1327F" w:rsidP="005E42F4">
                      <w:pPr>
                        <w:pStyle w:val="ListParagraph"/>
                        <w:numPr>
                          <w:ilvl w:val="0"/>
                          <w:numId w:val="4"/>
                        </w:numPr>
                        <w:jc w:val="both"/>
                      </w:pPr>
                      <w:r>
                        <w:rPr>
                          <w:lang w:eastAsia="ko-KR"/>
                        </w:rPr>
                        <w:t>9,</w:t>
                      </w:r>
                      <w:r w:rsidR="004F4543">
                        <w:rPr>
                          <w:lang w:eastAsia="ko-KR"/>
                        </w:rPr>
                        <w:t xml:space="preserve"> </w:t>
                      </w:r>
                      <w:r>
                        <w:rPr>
                          <w:lang w:eastAsia="ko-KR"/>
                        </w:rPr>
                        <w:t>228</w:t>
                      </w:r>
                    </w:p>
                    <w:p w14:paraId="3376B932" w14:textId="012D677B" w:rsidR="00C1327F" w:rsidRDefault="00C1327F" w:rsidP="005E42F4">
                      <w:pPr>
                        <w:pStyle w:val="ListParagraph"/>
                        <w:numPr>
                          <w:ilvl w:val="0"/>
                          <w:numId w:val="4"/>
                        </w:numPr>
                        <w:jc w:val="both"/>
                      </w:pPr>
                      <w:r>
                        <w:rPr>
                          <w:lang w:eastAsia="ko-KR"/>
                        </w:rPr>
                        <w:t>2219</w:t>
                      </w:r>
                      <w:ins w:id="8" w:author="Banerjea, Raja" w:date="2016-06-24T10:33:00Z">
                        <w:r w:rsidR="00DD11F9">
                          <w:rPr>
                            <w:lang w:eastAsia="ko-KR"/>
                          </w:rPr>
                          <w:t>,2422, 2691,2900</w:t>
                        </w:r>
                      </w:ins>
                      <w:bookmarkStart w:id="9" w:name="_GoBack"/>
                      <w:bookmarkEnd w:id="9"/>
                    </w:p>
                    <w:p w14:paraId="2CD06B82" w14:textId="77777777" w:rsidR="00B63CA1" w:rsidRDefault="00B63CA1"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10" w:author="Banerjea, Raja" w:date="2016-05-04T21:56: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6D641767" w14:textId="77777777" w:rsidR="005D4208" w:rsidRDefault="005D4208">
      <w:pPr>
        <w:rPr>
          <w:b/>
          <w:i/>
        </w:rPr>
      </w:pPr>
    </w:p>
    <w:p w14:paraId="7CF5D41E" w14:textId="77777777" w:rsidR="005D4208" w:rsidRDefault="005D4208" w:rsidP="005D4208">
      <w:pPr>
        <w:rPr>
          <w:b/>
          <w:bCs/>
          <w:i/>
          <w:iCs/>
          <w:lang w:eastAsia="ko-KR"/>
        </w:rPr>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5D4208" w14:paraId="32D9E7E7" w14:textId="77777777" w:rsidTr="00260937">
        <w:trPr>
          <w:trHeight w:val="386"/>
        </w:trPr>
        <w:tc>
          <w:tcPr>
            <w:tcW w:w="890" w:type="dxa"/>
            <w:shd w:val="clear" w:color="auto" w:fill="auto"/>
            <w:hideMark/>
          </w:tcPr>
          <w:p w14:paraId="7DD76F9E" w14:textId="77777777" w:rsidR="005D4208" w:rsidRDefault="005D4208" w:rsidP="00260937">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4CE1EFD1" w14:textId="77777777" w:rsidR="005D4208" w:rsidRDefault="005D4208" w:rsidP="00260937">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12BA02AA" w14:textId="77777777" w:rsidR="005D4208" w:rsidRDefault="005D4208" w:rsidP="00260937">
            <w:pPr>
              <w:rPr>
                <w:rFonts w:ascii="Arial" w:hAnsi="Arial" w:cs="Arial"/>
                <w:b/>
                <w:bCs/>
                <w:sz w:val="20"/>
              </w:rPr>
            </w:pPr>
            <w:r>
              <w:rPr>
                <w:rFonts w:ascii="Arial" w:hAnsi="Arial" w:cs="Arial"/>
                <w:b/>
                <w:bCs/>
                <w:sz w:val="20"/>
              </w:rPr>
              <w:t>PP.LL</w:t>
            </w:r>
          </w:p>
        </w:tc>
        <w:tc>
          <w:tcPr>
            <w:tcW w:w="2579" w:type="dxa"/>
            <w:shd w:val="clear" w:color="auto" w:fill="auto"/>
            <w:hideMark/>
          </w:tcPr>
          <w:p w14:paraId="0504F027" w14:textId="77777777" w:rsidR="005D4208" w:rsidRDefault="005D4208" w:rsidP="00260937">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297DCB15" w14:textId="77777777" w:rsidR="005D4208" w:rsidRDefault="005D4208" w:rsidP="00260937">
            <w:pPr>
              <w:rPr>
                <w:rFonts w:ascii="Arial" w:hAnsi="Arial" w:cs="Arial"/>
                <w:b/>
                <w:bCs/>
                <w:sz w:val="20"/>
              </w:rPr>
            </w:pPr>
            <w:r>
              <w:rPr>
                <w:rFonts w:ascii="Arial" w:hAnsi="Arial" w:cs="Arial"/>
                <w:b/>
                <w:bCs/>
                <w:sz w:val="20"/>
              </w:rPr>
              <w:t>Proposed Change</w:t>
            </w:r>
          </w:p>
        </w:tc>
        <w:tc>
          <w:tcPr>
            <w:tcW w:w="2404" w:type="dxa"/>
            <w:shd w:val="clear" w:color="auto" w:fill="auto"/>
            <w:hideMark/>
          </w:tcPr>
          <w:p w14:paraId="59E49FF9" w14:textId="77777777" w:rsidR="005D4208" w:rsidRDefault="005D4208" w:rsidP="00260937">
            <w:pPr>
              <w:rPr>
                <w:rFonts w:ascii="Arial" w:hAnsi="Arial" w:cs="Arial"/>
                <w:b/>
                <w:bCs/>
                <w:sz w:val="20"/>
              </w:rPr>
            </w:pPr>
            <w:r>
              <w:rPr>
                <w:rFonts w:ascii="Arial" w:hAnsi="Arial" w:cs="Arial"/>
                <w:b/>
                <w:bCs/>
                <w:sz w:val="20"/>
              </w:rPr>
              <w:t>Resolution</w:t>
            </w:r>
          </w:p>
        </w:tc>
      </w:tr>
      <w:tr w:rsidR="005D4208" w14:paraId="02434D8D" w14:textId="77777777" w:rsidTr="00260937">
        <w:trPr>
          <w:trHeight w:val="935"/>
        </w:trPr>
        <w:tc>
          <w:tcPr>
            <w:tcW w:w="890" w:type="dxa"/>
            <w:shd w:val="clear" w:color="auto" w:fill="auto"/>
          </w:tcPr>
          <w:p w14:paraId="6CA25797" w14:textId="77777777" w:rsidR="005D4208" w:rsidRDefault="005D4208" w:rsidP="00260937">
            <w:pPr>
              <w:jc w:val="right"/>
              <w:rPr>
                <w:rFonts w:ascii="Arial" w:hAnsi="Arial" w:cs="Arial"/>
                <w:sz w:val="20"/>
              </w:rPr>
            </w:pPr>
            <w:r>
              <w:rPr>
                <w:rFonts w:ascii="Arial" w:hAnsi="Arial" w:cs="Arial"/>
                <w:sz w:val="20"/>
              </w:rPr>
              <w:t>9</w:t>
            </w:r>
          </w:p>
        </w:tc>
        <w:tc>
          <w:tcPr>
            <w:tcW w:w="1523" w:type="dxa"/>
            <w:shd w:val="clear" w:color="auto" w:fill="auto"/>
          </w:tcPr>
          <w:p w14:paraId="2B07316B" w14:textId="77777777" w:rsidR="005D4208" w:rsidRDefault="005D4208" w:rsidP="00260937">
            <w:pPr>
              <w:rPr>
                <w:rFonts w:ascii="Arial" w:hAnsi="Arial" w:cs="Arial"/>
                <w:sz w:val="20"/>
              </w:rPr>
            </w:pPr>
            <w:r>
              <w:rPr>
                <w:rFonts w:ascii="Arial" w:hAnsi="Arial" w:cs="Arial"/>
                <w:sz w:val="20"/>
              </w:rPr>
              <w:t>Ahmadreza Hedayat</w:t>
            </w:r>
          </w:p>
        </w:tc>
        <w:tc>
          <w:tcPr>
            <w:tcW w:w="919" w:type="dxa"/>
            <w:shd w:val="clear" w:color="auto" w:fill="auto"/>
          </w:tcPr>
          <w:p w14:paraId="4DFFAF8F" w14:textId="77777777" w:rsidR="005D4208" w:rsidRDefault="005D4208" w:rsidP="00260937">
            <w:pPr>
              <w:jc w:val="right"/>
              <w:rPr>
                <w:rFonts w:ascii="Arial" w:hAnsi="Arial" w:cs="Arial"/>
                <w:sz w:val="20"/>
              </w:rPr>
            </w:pPr>
            <w:r>
              <w:rPr>
                <w:rFonts w:ascii="Arial" w:hAnsi="Arial" w:cs="Arial"/>
                <w:sz w:val="20"/>
              </w:rPr>
              <w:t>21.15</w:t>
            </w:r>
          </w:p>
        </w:tc>
        <w:tc>
          <w:tcPr>
            <w:tcW w:w="2641" w:type="dxa"/>
            <w:gridSpan w:val="3"/>
            <w:shd w:val="clear" w:color="auto" w:fill="auto"/>
          </w:tcPr>
          <w:p w14:paraId="64FEEB0C" w14:textId="77777777" w:rsidR="005D4208" w:rsidRDefault="005D4208" w:rsidP="00260937">
            <w:pPr>
              <w:rPr>
                <w:rFonts w:ascii="Arial" w:hAnsi="Arial" w:cs="Arial"/>
                <w:sz w:val="20"/>
              </w:rPr>
            </w:pPr>
            <w:r>
              <w:rPr>
                <w:rFonts w:ascii="Arial" w:hAnsi="Arial" w:cs="Arial"/>
                <w:sz w:val="20"/>
              </w:rPr>
              <w:t>The Beamforming Report Poll Trigger variant is not described in 9.3.1.23.</w:t>
            </w:r>
          </w:p>
        </w:tc>
        <w:tc>
          <w:tcPr>
            <w:tcW w:w="2613" w:type="dxa"/>
            <w:shd w:val="clear" w:color="auto" w:fill="auto"/>
          </w:tcPr>
          <w:p w14:paraId="228C0CFE" w14:textId="77777777" w:rsidR="005D4208" w:rsidRDefault="005D4208" w:rsidP="00260937">
            <w:pPr>
              <w:rPr>
                <w:rFonts w:ascii="Arial" w:hAnsi="Arial" w:cs="Arial"/>
                <w:sz w:val="20"/>
              </w:rPr>
            </w:pPr>
            <w:r>
              <w:rPr>
                <w:rFonts w:ascii="Arial" w:hAnsi="Arial" w:cs="Arial"/>
                <w:sz w:val="20"/>
              </w:rPr>
              <w:t>As in the comment.</w:t>
            </w:r>
          </w:p>
        </w:tc>
        <w:tc>
          <w:tcPr>
            <w:tcW w:w="2404" w:type="dxa"/>
            <w:shd w:val="clear" w:color="auto" w:fill="auto"/>
          </w:tcPr>
          <w:p w14:paraId="59917E2E" w14:textId="0627A1D4" w:rsidR="005D4208" w:rsidRDefault="00340D3C" w:rsidP="00260937">
            <w:pPr>
              <w:rPr>
                <w:rFonts w:ascii="Arial" w:hAnsi="Arial" w:cs="Arial"/>
                <w:sz w:val="20"/>
              </w:rPr>
            </w:pPr>
            <w:r>
              <w:rPr>
                <w:rFonts w:ascii="Arial" w:hAnsi="Arial" w:cs="Arial"/>
                <w:sz w:val="20"/>
              </w:rPr>
              <w:t>Revised</w:t>
            </w:r>
            <w:r w:rsidR="000C44CB">
              <w:rPr>
                <w:rFonts w:ascii="Arial" w:hAnsi="Arial" w:cs="Arial"/>
                <w:sz w:val="20"/>
              </w:rPr>
              <w:t>.</w:t>
            </w:r>
          </w:p>
          <w:p w14:paraId="71DB39BF" w14:textId="213ECE14" w:rsidR="00340D3C" w:rsidRDefault="00340D3C" w:rsidP="00260937">
            <w:pPr>
              <w:rPr>
                <w:rFonts w:ascii="Arial" w:hAnsi="Arial" w:cs="Arial"/>
                <w:sz w:val="20"/>
              </w:rPr>
            </w:pPr>
            <w:r>
              <w:rPr>
                <w:rFonts w:ascii="Arial" w:hAnsi="Arial" w:cs="Arial"/>
                <w:sz w:val="20"/>
              </w:rPr>
              <w:t>Document 11-16/0646r1 and motion in May 2016 meeting resolution accepted below.</w:t>
            </w:r>
          </w:p>
        </w:tc>
      </w:tr>
      <w:tr w:rsidR="005D4208" w14:paraId="320EFCFF" w14:textId="77777777" w:rsidTr="00260937">
        <w:trPr>
          <w:trHeight w:val="935"/>
        </w:trPr>
        <w:tc>
          <w:tcPr>
            <w:tcW w:w="890" w:type="dxa"/>
            <w:shd w:val="clear" w:color="auto" w:fill="auto"/>
          </w:tcPr>
          <w:p w14:paraId="6B02C2C2" w14:textId="77777777" w:rsidR="005D4208" w:rsidRDefault="005D4208" w:rsidP="00260937">
            <w:pPr>
              <w:jc w:val="right"/>
              <w:rPr>
                <w:rFonts w:ascii="Arial" w:hAnsi="Arial" w:cs="Arial"/>
                <w:sz w:val="20"/>
              </w:rPr>
            </w:pPr>
            <w:r>
              <w:rPr>
                <w:rFonts w:ascii="Arial" w:hAnsi="Arial" w:cs="Arial"/>
                <w:sz w:val="20"/>
              </w:rPr>
              <w:t>228</w:t>
            </w:r>
          </w:p>
        </w:tc>
        <w:tc>
          <w:tcPr>
            <w:tcW w:w="1523" w:type="dxa"/>
            <w:shd w:val="clear" w:color="auto" w:fill="auto"/>
          </w:tcPr>
          <w:p w14:paraId="63F67095" w14:textId="77777777" w:rsidR="005D4208" w:rsidRDefault="005D4208" w:rsidP="00260937">
            <w:pPr>
              <w:rPr>
                <w:rFonts w:ascii="Arial" w:hAnsi="Arial" w:cs="Arial"/>
                <w:sz w:val="20"/>
              </w:rPr>
            </w:pPr>
            <w:r>
              <w:rPr>
                <w:rFonts w:ascii="Arial" w:hAnsi="Arial" w:cs="Arial"/>
                <w:sz w:val="20"/>
              </w:rPr>
              <w:t>Alfred Asterjadhi</w:t>
            </w:r>
          </w:p>
        </w:tc>
        <w:tc>
          <w:tcPr>
            <w:tcW w:w="919" w:type="dxa"/>
            <w:shd w:val="clear" w:color="auto" w:fill="auto"/>
          </w:tcPr>
          <w:p w14:paraId="0049E876" w14:textId="77777777" w:rsidR="005D4208" w:rsidRDefault="005D4208" w:rsidP="00260937">
            <w:pPr>
              <w:jc w:val="right"/>
              <w:rPr>
                <w:rFonts w:ascii="Arial" w:hAnsi="Arial" w:cs="Arial"/>
                <w:sz w:val="20"/>
              </w:rPr>
            </w:pPr>
            <w:r>
              <w:rPr>
                <w:rFonts w:ascii="Arial" w:hAnsi="Arial" w:cs="Arial"/>
                <w:sz w:val="20"/>
              </w:rPr>
              <w:t>39.16</w:t>
            </w:r>
          </w:p>
        </w:tc>
        <w:tc>
          <w:tcPr>
            <w:tcW w:w="2641" w:type="dxa"/>
            <w:gridSpan w:val="3"/>
            <w:shd w:val="clear" w:color="auto" w:fill="auto"/>
          </w:tcPr>
          <w:p w14:paraId="2E67B2A9" w14:textId="77777777" w:rsidR="005D4208" w:rsidRDefault="005D4208" w:rsidP="00260937">
            <w:pPr>
              <w:rPr>
                <w:rFonts w:ascii="Arial" w:hAnsi="Arial" w:cs="Arial"/>
                <w:sz w:val="20"/>
              </w:rPr>
            </w:pPr>
            <w:r>
              <w:rPr>
                <w:rFonts w:ascii="Arial" w:hAnsi="Arial" w:cs="Arial"/>
                <w:sz w:val="20"/>
              </w:rPr>
              <w:t>The format for the BRP variant of the Trigger frame is undefined. Specify the format of this Trigger frame (as simple as adding the Feedback Segment Retransmisson Bitmap in the per user info field).</w:t>
            </w:r>
          </w:p>
        </w:tc>
        <w:tc>
          <w:tcPr>
            <w:tcW w:w="2613" w:type="dxa"/>
            <w:shd w:val="clear" w:color="auto" w:fill="auto"/>
          </w:tcPr>
          <w:p w14:paraId="5B3DD549" w14:textId="77777777" w:rsidR="005D4208" w:rsidRDefault="005D4208" w:rsidP="00260937">
            <w:pPr>
              <w:rPr>
                <w:rFonts w:ascii="Arial" w:hAnsi="Arial" w:cs="Arial"/>
                <w:sz w:val="20"/>
              </w:rPr>
            </w:pPr>
            <w:r>
              <w:rPr>
                <w:rFonts w:ascii="Arial" w:hAnsi="Arial" w:cs="Arial"/>
                <w:sz w:val="20"/>
              </w:rPr>
              <w:t>As in comment.</w:t>
            </w:r>
          </w:p>
        </w:tc>
        <w:tc>
          <w:tcPr>
            <w:tcW w:w="2404" w:type="dxa"/>
            <w:shd w:val="clear" w:color="auto" w:fill="auto"/>
          </w:tcPr>
          <w:p w14:paraId="2DAABBE0" w14:textId="77777777" w:rsidR="00340D3C" w:rsidRDefault="00340D3C" w:rsidP="00340D3C">
            <w:pPr>
              <w:rPr>
                <w:rFonts w:ascii="Arial" w:hAnsi="Arial" w:cs="Arial"/>
                <w:sz w:val="20"/>
              </w:rPr>
            </w:pPr>
            <w:r>
              <w:rPr>
                <w:rFonts w:ascii="Arial" w:hAnsi="Arial" w:cs="Arial"/>
                <w:sz w:val="20"/>
              </w:rPr>
              <w:t>Revised.</w:t>
            </w:r>
          </w:p>
          <w:p w14:paraId="6E2C3C37" w14:textId="1F2145BB" w:rsidR="005D4208" w:rsidRDefault="00340D3C" w:rsidP="00340D3C">
            <w:pPr>
              <w:rPr>
                <w:rFonts w:ascii="Arial" w:hAnsi="Arial" w:cs="Arial"/>
                <w:sz w:val="20"/>
              </w:rPr>
            </w:pPr>
            <w:r>
              <w:rPr>
                <w:rFonts w:ascii="Arial" w:hAnsi="Arial" w:cs="Arial"/>
                <w:sz w:val="20"/>
              </w:rPr>
              <w:t>Document 11-16/0646r1 and motion in May 2016 meeting resolution accepted below.</w:t>
            </w:r>
          </w:p>
        </w:tc>
      </w:tr>
    </w:tbl>
    <w:p w14:paraId="452F386C" w14:textId="77777777" w:rsidR="001B4B1C" w:rsidRDefault="001B4B1C" w:rsidP="001B4B1C">
      <w:pPr>
        <w:jc w:val="both"/>
        <w:rPr>
          <w:rFonts w:eastAsia="Times New Roman"/>
          <w:b/>
          <w:color w:val="000000"/>
          <w:sz w:val="20"/>
          <w:highlight w:val="yellow"/>
          <w:lang w:val="en-US"/>
        </w:rPr>
      </w:pPr>
    </w:p>
    <w:p w14:paraId="1A4F7288" w14:textId="4AE20D6F" w:rsidR="001B4B1C" w:rsidRPr="00C6462C" w:rsidRDefault="001B4B1C" w:rsidP="001B4B1C">
      <w:pPr>
        <w:jc w:val="both"/>
        <w:rPr>
          <w:highlight w:val="yellow"/>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Add the </w:t>
      </w:r>
      <w:r w:rsidRPr="00C6462C">
        <w:rPr>
          <w:rFonts w:eastAsia="Times New Roman"/>
          <w:b/>
          <w:i/>
          <w:color w:val="000000"/>
          <w:sz w:val="20"/>
          <w:highlight w:val="yellow"/>
          <w:lang w:val="en-US"/>
        </w:rPr>
        <w:t>subclause below as resolution to</w:t>
      </w:r>
      <w:r>
        <w:rPr>
          <w:rFonts w:eastAsia="Times New Roman"/>
          <w:b/>
          <w:i/>
          <w:color w:val="000000"/>
          <w:sz w:val="20"/>
          <w:highlight w:val="yellow"/>
          <w:lang w:val="en-US"/>
        </w:rPr>
        <w:t xml:space="preserve"> </w:t>
      </w:r>
      <w:r w:rsidRPr="00C6462C">
        <w:rPr>
          <w:rFonts w:eastAsia="Times New Roman"/>
          <w:b/>
          <w:i/>
          <w:color w:val="000000"/>
          <w:sz w:val="20"/>
          <w:highlight w:val="yellow"/>
          <w:lang w:val="en-US"/>
        </w:rPr>
        <w:t>(#CID</w:t>
      </w:r>
      <w:r>
        <w:rPr>
          <w:rFonts w:eastAsia="Times New Roman"/>
          <w:b/>
          <w:i/>
          <w:color w:val="000000"/>
          <w:sz w:val="20"/>
          <w:highlight w:val="yellow"/>
          <w:lang w:val="en-US"/>
        </w:rPr>
        <w:t xml:space="preserve"> 9, 228</w:t>
      </w:r>
      <w:r w:rsidRPr="00C6462C">
        <w:rPr>
          <w:rFonts w:eastAsia="Times New Roman"/>
          <w:b/>
          <w:i/>
          <w:color w:val="000000"/>
          <w:sz w:val="20"/>
          <w:highlight w:val="yellow"/>
          <w:lang w:val="en-US"/>
        </w:rPr>
        <w:t>):</w:t>
      </w:r>
    </w:p>
    <w:p w14:paraId="1E64C873" w14:textId="14B0691A" w:rsidR="005D4208" w:rsidRDefault="005D4208" w:rsidP="00767F87">
      <w:pPr>
        <w:pStyle w:val="Heading2"/>
        <w:numPr>
          <w:ilvl w:val="0"/>
          <w:numId w:val="0"/>
        </w:numPr>
        <w:ind w:left="360" w:hanging="360"/>
      </w:pPr>
      <w:r>
        <w:t>9.3.1.23.x Beamforming Report Poll Trigger</w:t>
      </w:r>
    </w:p>
    <w:p w14:paraId="1B6AB22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67415BDB"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16DCAA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7C0470A9"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162F73C"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CB38BBE"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6F04D4C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2763F7EA"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12A9E34"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20C55879" w14:textId="77777777" w:rsidR="00B84531" w:rsidRDefault="00B84531">
      <w:pPr>
        <w:rPr>
          <w:ins w:id="11" w:author="Banerjea, Raja" w:date="2016-05-09T16:50:00Z"/>
        </w:rPr>
      </w:pPr>
    </w:p>
    <w:p w14:paraId="7ECF7D06" w14:textId="3EAA2485" w:rsidR="00B84531" w:rsidRDefault="00B84531" w:rsidP="00B84531">
      <w:pPr>
        <w:pStyle w:val="BodyText"/>
        <w:rPr>
          <w:ins w:id="12" w:author="Banerjea, Raja" w:date="2016-05-09T16:50:00Z"/>
        </w:rPr>
      </w:pPr>
      <w:ins w:id="13" w:author="Banerjea, Raja" w:date="2016-05-09T16:50:00Z">
        <w:r>
          <w:t>If the Trigger frame is of Type Beamforming Report Poll Trigger, the type dependent Per User Information is the Feedback Segment Retransmission Bitmap.</w:t>
        </w:r>
      </w:ins>
      <w:r w:rsidR="00340D3C">
        <w:t xml:space="preserve"> </w:t>
      </w:r>
      <w:ins w:id="14" w:author="Banerjea, Raja" w:date="2016-05-20T07:08:00Z">
        <w:r w:rsidR="00340D3C">
          <w:t>The Type dependent Common Info field length is 0.</w:t>
        </w:r>
      </w:ins>
    </w:p>
    <w:p w14:paraId="78FC5680" w14:textId="77777777" w:rsidR="00B84531" w:rsidRDefault="00B84531" w:rsidP="00B84531">
      <w:pPr>
        <w:pStyle w:val="BodyText"/>
        <w:jc w:val="center"/>
        <w:rPr>
          <w:ins w:id="15" w:author="Banerjea, Raja" w:date="2016-05-09T16:50:00Z"/>
        </w:rPr>
      </w:pPr>
      <w:ins w:id="16" w:author="Banerjea, Raja" w:date="2016-05-09T16:50:00Z">
        <w:r>
          <w:object w:dxaOrig="3770" w:dyaOrig="1328" w14:anchorId="02C2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66.75pt" o:ole="">
              <v:imagedata r:id="rId14" o:title=""/>
            </v:shape>
            <o:OLEObject Type="Embed" ProgID="Visio.Drawing.11" ShapeID="_x0000_i1025" DrawAspect="Content" ObjectID="_1528269598" r:id="rId15"/>
          </w:object>
        </w:r>
      </w:ins>
    </w:p>
    <w:p w14:paraId="038F5F12" w14:textId="77777777" w:rsidR="00B84531" w:rsidRPr="00296531" w:rsidRDefault="00B84531" w:rsidP="00B84531">
      <w:pPr>
        <w:pStyle w:val="BodyText"/>
        <w:jc w:val="center"/>
        <w:rPr>
          <w:ins w:id="17" w:author="Banerjea, Raja" w:date="2016-05-09T16:50:00Z"/>
          <w:b/>
        </w:rPr>
      </w:pPr>
      <w:ins w:id="18" w:author="Banerjea, Raja" w:date="2016-05-09T16:50:00Z">
        <w:r w:rsidRPr="00296531">
          <w:rPr>
            <w:b/>
          </w:rPr>
          <w:t xml:space="preserve">FIG-xxx Type dependent </w:t>
        </w:r>
        <w:r>
          <w:rPr>
            <w:b/>
          </w:rPr>
          <w:t>per user</w:t>
        </w:r>
        <w:r w:rsidRPr="00296531">
          <w:rPr>
            <w:b/>
          </w:rPr>
          <w:t xml:space="preserve"> information field for Beamforming Report Poll Trigger</w:t>
        </w:r>
      </w:ins>
    </w:p>
    <w:p w14:paraId="2E3EDEAD" w14:textId="77777777" w:rsidR="00B84531" w:rsidRDefault="00B84531" w:rsidP="00B84531">
      <w:pPr>
        <w:pStyle w:val="BodyText"/>
        <w:rPr>
          <w:ins w:id="19" w:author="Banerjea, Raja" w:date="2016-05-09T16:50:00Z"/>
        </w:rPr>
      </w:pPr>
      <w:ins w:id="20" w:author="Banerjea, Raja" w:date="2016-05-09T16:50:00Z">
        <w:r>
          <w:t>The Feedback Segment Retransmission Bitmap field indicates the requested feedback segments of a HE Compressed Beamforming report. If the bit in position n (n=0 for LSB and n=7 for MSB) is 1, then the feedback segment with the Remaining Feedback Segments subfield in the HE  MIMO Control field equal to n is requested. If the bit in position n is 0, then the feedback segment with the Remaining Feedback Segments subfield in the HE MIMO Control field equal to n is not requested.</w:t>
        </w:r>
      </w:ins>
    </w:p>
    <w:p w14:paraId="681F8867" w14:textId="6CE7E589" w:rsidR="00B63CA1" w:rsidRDefault="005D4208" w:rsidP="00E63DED">
      <w:r>
        <w:br w:type="page"/>
      </w:r>
    </w:p>
    <w:tbl>
      <w:tblPr>
        <w:tblW w:w="10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459"/>
        <w:gridCol w:w="800"/>
        <w:gridCol w:w="2126"/>
        <w:gridCol w:w="3072"/>
        <w:gridCol w:w="1868"/>
      </w:tblGrid>
      <w:tr w:rsidR="00B63CA1" w14:paraId="7E12C43F" w14:textId="77777777" w:rsidTr="002023E1">
        <w:trPr>
          <w:trHeight w:val="948"/>
        </w:trPr>
        <w:tc>
          <w:tcPr>
            <w:tcW w:w="726" w:type="dxa"/>
            <w:shd w:val="clear" w:color="auto" w:fill="auto"/>
          </w:tcPr>
          <w:p w14:paraId="52782DFD" w14:textId="77777777" w:rsidR="00B63CA1" w:rsidRDefault="00B63CA1" w:rsidP="00B63CA1">
            <w:pPr>
              <w:jc w:val="right"/>
              <w:rPr>
                <w:rFonts w:ascii="Arial" w:hAnsi="Arial" w:cs="Arial"/>
                <w:sz w:val="20"/>
              </w:rPr>
            </w:pPr>
            <w:r>
              <w:rPr>
                <w:rFonts w:ascii="Arial" w:hAnsi="Arial" w:cs="Arial"/>
                <w:sz w:val="20"/>
              </w:rPr>
              <w:lastRenderedPageBreak/>
              <w:t>2219</w:t>
            </w:r>
          </w:p>
        </w:tc>
        <w:tc>
          <w:tcPr>
            <w:tcW w:w="1459" w:type="dxa"/>
            <w:shd w:val="clear" w:color="auto" w:fill="auto"/>
          </w:tcPr>
          <w:p w14:paraId="678932B3" w14:textId="77777777" w:rsidR="00B63CA1" w:rsidRDefault="00B63CA1" w:rsidP="00B63CA1">
            <w:pPr>
              <w:rPr>
                <w:rFonts w:ascii="Arial" w:hAnsi="Arial" w:cs="Arial"/>
                <w:sz w:val="20"/>
              </w:rPr>
            </w:pPr>
            <w:r>
              <w:rPr>
                <w:rFonts w:ascii="Arial" w:hAnsi="Arial" w:cs="Arial"/>
                <w:sz w:val="20"/>
              </w:rPr>
              <w:t>Tomoko Adachi</w:t>
            </w:r>
          </w:p>
        </w:tc>
        <w:tc>
          <w:tcPr>
            <w:tcW w:w="800" w:type="dxa"/>
            <w:shd w:val="clear" w:color="auto" w:fill="auto"/>
          </w:tcPr>
          <w:p w14:paraId="156AFD88" w14:textId="77777777" w:rsidR="00B63CA1" w:rsidRDefault="00B63CA1" w:rsidP="00B63CA1">
            <w:pPr>
              <w:jc w:val="right"/>
              <w:rPr>
                <w:rFonts w:ascii="Arial" w:hAnsi="Arial" w:cs="Arial"/>
                <w:sz w:val="20"/>
              </w:rPr>
            </w:pPr>
            <w:r>
              <w:rPr>
                <w:rFonts w:ascii="Arial" w:hAnsi="Arial" w:cs="Arial"/>
                <w:sz w:val="20"/>
              </w:rPr>
              <w:t>19.37</w:t>
            </w:r>
          </w:p>
        </w:tc>
        <w:tc>
          <w:tcPr>
            <w:tcW w:w="2126" w:type="dxa"/>
            <w:shd w:val="clear" w:color="auto" w:fill="auto"/>
          </w:tcPr>
          <w:p w14:paraId="448D1197" w14:textId="77777777" w:rsidR="00B63CA1" w:rsidRDefault="00B63CA1" w:rsidP="00B63CA1">
            <w:pPr>
              <w:rPr>
                <w:rFonts w:ascii="Arial" w:hAnsi="Arial" w:cs="Arial"/>
                <w:sz w:val="20"/>
              </w:rPr>
            </w:pPr>
            <w:r>
              <w:rPr>
                <w:rFonts w:ascii="Arial" w:hAnsi="Arial" w:cs="Arial"/>
                <w:sz w:val="20"/>
              </w:rPr>
              <w:t>As there is no explanation for the Basic Trigger and the Beamforming Report Poll Trigger, does it mean that these two don't have Trigger Dependent Common info and Trigger Dependent Per User Info fields?</w:t>
            </w:r>
          </w:p>
        </w:tc>
        <w:tc>
          <w:tcPr>
            <w:tcW w:w="3072" w:type="dxa"/>
            <w:shd w:val="clear" w:color="auto" w:fill="auto"/>
          </w:tcPr>
          <w:p w14:paraId="72E896C2" w14:textId="77777777" w:rsidR="00B63CA1" w:rsidRDefault="00B63CA1" w:rsidP="00B63CA1">
            <w:pPr>
              <w:rPr>
                <w:rFonts w:ascii="Arial" w:hAnsi="Arial" w:cs="Arial"/>
                <w:sz w:val="20"/>
              </w:rPr>
            </w:pPr>
            <w:r>
              <w:rPr>
                <w:rFonts w:ascii="Arial" w:hAnsi="Arial" w:cs="Arial"/>
                <w:sz w:val="20"/>
              </w:rPr>
              <w:t>If so, clarify in that in the text.</w:t>
            </w:r>
          </w:p>
        </w:tc>
        <w:tc>
          <w:tcPr>
            <w:tcW w:w="1868" w:type="dxa"/>
            <w:shd w:val="clear" w:color="auto" w:fill="auto"/>
          </w:tcPr>
          <w:p w14:paraId="5FEC8690" w14:textId="44A1E2E3" w:rsidR="00B63CA1" w:rsidRDefault="00340D3C" w:rsidP="00B63CA1">
            <w:pPr>
              <w:rPr>
                <w:rFonts w:ascii="Arial" w:hAnsi="Arial" w:cs="Arial"/>
                <w:sz w:val="20"/>
              </w:rPr>
            </w:pPr>
            <w:r>
              <w:rPr>
                <w:rFonts w:ascii="Arial" w:hAnsi="Arial" w:cs="Arial"/>
                <w:sz w:val="20"/>
              </w:rPr>
              <w:t>Revised</w:t>
            </w:r>
            <w:r w:rsidR="00B63CA1">
              <w:rPr>
                <w:rFonts w:ascii="Arial" w:hAnsi="Arial" w:cs="Arial"/>
                <w:sz w:val="20"/>
              </w:rPr>
              <w:t>.</w:t>
            </w:r>
          </w:p>
          <w:p w14:paraId="0FF32658" w14:textId="7C8F134A" w:rsidR="00B63CA1" w:rsidRDefault="00B63CA1" w:rsidP="00B63CA1">
            <w:pPr>
              <w:rPr>
                <w:rFonts w:ascii="Arial" w:hAnsi="Arial" w:cs="Arial"/>
                <w:sz w:val="20"/>
              </w:rPr>
            </w:pPr>
            <w:r>
              <w:rPr>
                <w:rFonts w:ascii="Arial" w:hAnsi="Arial" w:cs="Arial"/>
                <w:sz w:val="20"/>
              </w:rPr>
              <w:t>Text added</w:t>
            </w:r>
            <w:r w:rsidR="00340D3C">
              <w:rPr>
                <w:rFonts w:ascii="Arial" w:hAnsi="Arial" w:cs="Arial"/>
                <w:sz w:val="20"/>
              </w:rPr>
              <w:t xml:space="preserve"> based on document 11-16/645r0, 16/0667 and motion passed in IEEE 802.11 May meeting.</w:t>
            </w:r>
          </w:p>
        </w:tc>
      </w:tr>
      <w:tr w:rsidR="008C45F7" w14:paraId="7CAC7C70" w14:textId="77777777" w:rsidTr="002023E1">
        <w:trPr>
          <w:trHeight w:val="948"/>
        </w:trPr>
        <w:tc>
          <w:tcPr>
            <w:tcW w:w="726" w:type="dxa"/>
            <w:shd w:val="clear" w:color="auto" w:fill="auto"/>
          </w:tcPr>
          <w:p w14:paraId="089866A8" w14:textId="42816E6A" w:rsidR="008C45F7" w:rsidRDefault="008C45F7" w:rsidP="008C45F7">
            <w:pPr>
              <w:jc w:val="right"/>
              <w:rPr>
                <w:rFonts w:ascii="Arial" w:hAnsi="Arial" w:cs="Arial"/>
                <w:sz w:val="20"/>
              </w:rPr>
            </w:pPr>
            <w:r>
              <w:rPr>
                <w:rFonts w:ascii="Arial" w:hAnsi="Arial" w:cs="Arial"/>
                <w:sz w:val="20"/>
              </w:rPr>
              <w:t>2422</w:t>
            </w:r>
          </w:p>
        </w:tc>
        <w:tc>
          <w:tcPr>
            <w:tcW w:w="1459" w:type="dxa"/>
            <w:shd w:val="clear" w:color="auto" w:fill="auto"/>
          </w:tcPr>
          <w:p w14:paraId="59A6F0C1" w14:textId="7A75B7BE" w:rsidR="008C45F7" w:rsidRDefault="008C45F7" w:rsidP="008C45F7">
            <w:pPr>
              <w:rPr>
                <w:rFonts w:ascii="Arial" w:hAnsi="Arial" w:cs="Arial"/>
                <w:sz w:val="20"/>
              </w:rPr>
            </w:pPr>
            <w:r>
              <w:rPr>
                <w:rFonts w:ascii="Arial" w:hAnsi="Arial" w:cs="Arial"/>
                <w:sz w:val="20"/>
              </w:rPr>
              <w:t>Yongho Seok</w:t>
            </w:r>
          </w:p>
        </w:tc>
        <w:tc>
          <w:tcPr>
            <w:tcW w:w="800" w:type="dxa"/>
            <w:shd w:val="clear" w:color="auto" w:fill="auto"/>
          </w:tcPr>
          <w:p w14:paraId="746EFF04" w14:textId="1116DFB3" w:rsidR="008C45F7" w:rsidRDefault="008C45F7" w:rsidP="008C45F7">
            <w:pPr>
              <w:jc w:val="right"/>
              <w:rPr>
                <w:rFonts w:ascii="Arial" w:hAnsi="Arial" w:cs="Arial"/>
                <w:sz w:val="20"/>
              </w:rPr>
            </w:pPr>
            <w:r>
              <w:rPr>
                <w:rFonts w:ascii="Arial" w:hAnsi="Arial" w:cs="Arial"/>
                <w:sz w:val="20"/>
              </w:rPr>
              <w:t>21.14</w:t>
            </w:r>
          </w:p>
        </w:tc>
        <w:tc>
          <w:tcPr>
            <w:tcW w:w="2126" w:type="dxa"/>
            <w:shd w:val="clear" w:color="auto" w:fill="auto"/>
          </w:tcPr>
          <w:p w14:paraId="613A33AA" w14:textId="35908A41" w:rsidR="008C45F7" w:rsidRDefault="008C45F7" w:rsidP="008C45F7">
            <w:pPr>
              <w:rPr>
                <w:rFonts w:ascii="Arial" w:hAnsi="Arial" w:cs="Arial"/>
                <w:sz w:val="20"/>
              </w:rPr>
            </w:pPr>
            <w:r>
              <w:rPr>
                <w:rFonts w:ascii="Arial" w:hAnsi="Arial" w:cs="Arial"/>
                <w:sz w:val="20"/>
              </w:rPr>
              <w:t>When the Trigger Type field value is set to 0 (Basic Trigger), the type-specific Common Info and type-specific Per User Info are not present.</w:t>
            </w:r>
            <w:r>
              <w:rPr>
                <w:rFonts w:ascii="Arial" w:hAnsi="Arial" w:cs="Arial"/>
                <w:sz w:val="20"/>
              </w:rPr>
              <w:br/>
              <w:t>Please specify an absence of the type-specific Common Info and type-specific Per User Info in the Basic Trigger.</w:t>
            </w:r>
          </w:p>
        </w:tc>
        <w:tc>
          <w:tcPr>
            <w:tcW w:w="3072" w:type="dxa"/>
            <w:shd w:val="clear" w:color="auto" w:fill="auto"/>
          </w:tcPr>
          <w:p w14:paraId="10DCDA4D" w14:textId="0514AA3F" w:rsidR="008C45F7" w:rsidRDefault="008C45F7" w:rsidP="008C45F7">
            <w:pPr>
              <w:rPr>
                <w:rFonts w:ascii="Arial" w:hAnsi="Arial" w:cs="Arial"/>
                <w:sz w:val="20"/>
              </w:rPr>
            </w:pPr>
            <w:r>
              <w:rPr>
                <w:rFonts w:ascii="Arial" w:hAnsi="Arial" w:cs="Arial"/>
                <w:sz w:val="20"/>
              </w:rPr>
              <w:t>As per comment</w:t>
            </w:r>
          </w:p>
        </w:tc>
        <w:tc>
          <w:tcPr>
            <w:tcW w:w="1868" w:type="dxa"/>
            <w:shd w:val="clear" w:color="auto" w:fill="auto"/>
          </w:tcPr>
          <w:p w14:paraId="04D3E312" w14:textId="77777777" w:rsidR="008C45F7" w:rsidRDefault="008C45F7" w:rsidP="008C45F7">
            <w:pPr>
              <w:rPr>
                <w:rFonts w:ascii="Arial" w:hAnsi="Arial" w:cs="Arial"/>
                <w:sz w:val="20"/>
              </w:rPr>
            </w:pPr>
            <w:r>
              <w:rPr>
                <w:rFonts w:ascii="Arial" w:hAnsi="Arial" w:cs="Arial"/>
                <w:sz w:val="20"/>
              </w:rPr>
              <w:t>Revised.</w:t>
            </w:r>
          </w:p>
          <w:p w14:paraId="6433A923" w14:textId="77777777" w:rsidR="008C45F7" w:rsidRDefault="008C45F7" w:rsidP="008C45F7">
            <w:pPr>
              <w:rPr>
                <w:rFonts w:ascii="Arial" w:hAnsi="Arial" w:cs="Arial"/>
                <w:sz w:val="20"/>
              </w:rPr>
            </w:pPr>
            <w:r>
              <w:rPr>
                <w:rFonts w:ascii="Arial" w:hAnsi="Arial" w:cs="Arial"/>
                <w:sz w:val="20"/>
              </w:rPr>
              <w:t>The type specific Common information is not present for the basic variant of the trigger type.However the per user information is present.</w:t>
            </w:r>
          </w:p>
          <w:p w14:paraId="03AF71C6" w14:textId="2CEC9B87" w:rsidR="00340D3C" w:rsidRDefault="00340D3C" w:rsidP="008C45F7">
            <w:pPr>
              <w:rPr>
                <w:rFonts w:ascii="Arial" w:hAnsi="Arial" w:cs="Arial"/>
                <w:sz w:val="20"/>
              </w:rPr>
            </w:pPr>
            <w:r>
              <w:rPr>
                <w:rFonts w:ascii="Arial" w:hAnsi="Arial" w:cs="Arial"/>
                <w:sz w:val="20"/>
              </w:rPr>
              <w:t>Text added based on document 11-16/645r0, 16/0667 and motion passed in IEEE 802.11 May meeting.</w:t>
            </w:r>
          </w:p>
        </w:tc>
      </w:tr>
      <w:tr w:rsidR="008C45F7" w14:paraId="4AEE206B" w14:textId="77777777" w:rsidTr="002023E1">
        <w:trPr>
          <w:trHeight w:val="948"/>
        </w:trPr>
        <w:tc>
          <w:tcPr>
            <w:tcW w:w="726" w:type="dxa"/>
            <w:shd w:val="clear" w:color="auto" w:fill="auto"/>
          </w:tcPr>
          <w:p w14:paraId="24C6FA07" w14:textId="4D8FE1B4" w:rsidR="008C45F7" w:rsidRDefault="008C45F7" w:rsidP="008C45F7">
            <w:pPr>
              <w:jc w:val="right"/>
              <w:rPr>
                <w:rFonts w:ascii="Arial" w:hAnsi="Arial" w:cs="Arial"/>
                <w:sz w:val="20"/>
              </w:rPr>
            </w:pPr>
            <w:r>
              <w:rPr>
                <w:rFonts w:ascii="Arial" w:hAnsi="Arial" w:cs="Arial"/>
                <w:sz w:val="20"/>
              </w:rPr>
              <w:t>2691</w:t>
            </w:r>
          </w:p>
        </w:tc>
        <w:tc>
          <w:tcPr>
            <w:tcW w:w="1459" w:type="dxa"/>
            <w:shd w:val="clear" w:color="auto" w:fill="auto"/>
          </w:tcPr>
          <w:p w14:paraId="0072B0BE" w14:textId="23D29A7F" w:rsidR="008C45F7" w:rsidRDefault="008C45F7" w:rsidP="008C45F7">
            <w:pPr>
              <w:rPr>
                <w:rFonts w:ascii="Arial" w:hAnsi="Arial" w:cs="Arial"/>
                <w:sz w:val="20"/>
              </w:rPr>
            </w:pPr>
            <w:r>
              <w:rPr>
                <w:rFonts w:ascii="Arial" w:hAnsi="Arial" w:cs="Arial"/>
                <w:sz w:val="20"/>
              </w:rPr>
              <w:t>Yuichi Morioka</w:t>
            </w:r>
          </w:p>
        </w:tc>
        <w:tc>
          <w:tcPr>
            <w:tcW w:w="800" w:type="dxa"/>
            <w:shd w:val="clear" w:color="auto" w:fill="auto"/>
          </w:tcPr>
          <w:p w14:paraId="4AF32677" w14:textId="617DC763" w:rsidR="008C45F7" w:rsidRDefault="008C45F7" w:rsidP="008C45F7">
            <w:pPr>
              <w:jc w:val="right"/>
              <w:rPr>
                <w:rFonts w:ascii="Arial" w:hAnsi="Arial" w:cs="Arial"/>
                <w:sz w:val="20"/>
              </w:rPr>
            </w:pPr>
            <w:r>
              <w:rPr>
                <w:rFonts w:ascii="Arial" w:hAnsi="Arial" w:cs="Arial"/>
                <w:sz w:val="20"/>
              </w:rPr>
              <w:t>21.14</w:t>
            </w:r>
          </w:p>
        </w:tc>
        <w:tc>
          <w:tcPr>
            <w:tcW w:w="2126" w:type="dxa"/>
            <w:shd w:val="clear" w:color="auto" w:fill="auto"/>
          </w:tcPr>
          <w:p w14:paraId="6D177AF8" w14:textId="31570538" w:rsidR="008C45F7" w:rsidRDefault="008C45F7" w:rsidP="008C45F7">
            <w:pPr>
              <w:rPr>
                <w:rFonts w:ascii="Arial" w:hAnsi="Arial" w:cs="Arial"/>
                <w:sz w:val="20"/>
              </w:rPr>
            </w:pPr>
            <w:r>
              <w:rPr>
                <w:rFonts w:ascii="Arial" w:hAnsi="Arial" w:cs="Arial"/>
                <w:sz w:val="20"/>
              </w:rPr>
              <w:t>Usage of Basic Trigger is not defined.</w:t>
            </w:r>
          </w:p>
        </w:tc>
        <w:tc>
          <w:tcPr>
            <w:tcW w:w="3072" w:type="dxa"/>
            <w:shd w:val="clear" w:color="auto" w:fill="auto"/>
          </w:tcPr>
          <w:p w14:paraId="38D57C4C" w14:textId="72701087" w:rsidR="008C45F7" w:rsidRDefault="008C45F7" w:rsidP="008C45F7">
            <w:pPr>
              <w:rPr>
                <w:rFonts w:ascii="Arial" w:hAnsi="Arial" w:cs="Arial"/>
                <w:sz w:val="20"/>
              </w:rPr>
            </w:pPr>
            <w:r>
              <w:rPr>
                <w:rFonts w:ascii="Arial" w:hAnsi="Arial" w:cs="Arial"/>
                <w:sz w:val="20"/>
              </w:rPr>
              <w:t>Add description of Basic Trigger</w:t>
            </w:r>
          </w:p>
        </w:tc>
        <w:tc>
          <w:tcPr>
            <w:tcW w:w="1868" w:type="dxa"/>
            <w:shd w:val="clear" w:color="auto" w:fill="auto"/>
          </w:tcPr>
          <w:p w14:paraId="5769DE82" w14:textId="77777777" w:rsidR="008C45F7" w:rsidRDefault="00340D3C" w:rsidP="008C45F7">
            <w:pPr>
              <w:rPr>
                <w:rFonts w:ascii="Arial" w:hAnsi="Arial" w:cs="Arial"/>
                <w:sz w:val="20"/>
              </w:rPr>
            </w:pPr>
            <w:r>
              <w:rPr>
                <w:rFonts w:ascii="Arial" w:hAnsi="Arial" w:cs="Arial"/>
                <w:sz w:val="20"/>
              </w:rPr>
              <w:t>Revised</w:t>
            </w:r>
            <w:r w:rsidR="008C45F7">
              <w:rPr>
                <w:rFonts w:ascii="Arial" w:hAnsi="Arial" w:cs="Arial"/>
                <w:sz w:val="20"/>
              </w:rPr>
              <w:t>.</w:t>
            </w:r>
          </w:p>
          <w:p w14:paraId="710E415A" w14:textId="138A08B5" w:rsidR="00340D3C" w:rsidRDefault="00340D3C" w:rsidP="008C45F7">
            <w:pPr>
              <w:rPr>
                <w:rFonts w:ascii="Arial" w:hAnsi="Arial" w:cs="Arial"/>
                <w:sz w:val="20"/>
              </w:rPr>
            </w:pPr>
            <w:r>
              <w:rPr>
                <w:rFonts w:ascii="Arial" w:hAnsi="Arial" w:cs="Arial"/>
                <w:sz w:val="20"/>
              </w:rPr>
              <w:t>Text added based on document 11-16/645r0, 16/0667 and motion passed in IEEE 802.11 May meeting.</w:t>
            </w:r>
          </w:p>
        </w:tc>
      </w:tr>
      <w:tr w:rsidR="008C45F7" w:rsidDel="00DF18BD" w14:paraId="02CD3DDC" w14:textId="4E7F1DEB" w:rsidTr="002023E1">
        <w:trPr>
          <w:trHeight w:val="948"/>
          <w:del w:id="21" w:author="Banerjea, Raja" w:date="2016-06-23T16:04:00Z"/>
        </w:trPr>
        <w:tc>
          <w:tcPr>
            <w:tcW w:w="726" w:type="dxa"/>
            <w:shd w:val="clear" w:color="auto" w:fill="auto"/>
          </w:tcPr>
          <w:p w14:paraId="64E517F0" w14:textId="2D1E2541" w:rsidR="008C45F7" w:rsidDel="00DF18BD" w:rsidRDefault="008C45F7" w:rsidP="008C45F7">
            <w:pPr>
              <w:jc w:val="right"/>
              <w:rPr>
                <w:del w:id="22" w:author="Banerjea, Raja" w:date="2016-06-23T16:04:00Z"/>
                <w:rFonts w:ascii="Arial" w:hAnsi="Arial" w:cs="Arial"/>
                <w:sz w:val="20"/>
              </w:rPr>
            </w:pPr>
            <w:del w:id="23" w:author="Banerjea, Raja" w:date="2016-06-23T16:04:00Z">
              <w:r w:rsidDel="00DF18BD">
                <w:rPr>
                  <w:rFonts w:ascii="Arial" w:hAnsi="Arial" w:cs="Arial"/>
                  <w:sz w:val="20"/>
                </w:rPr>
                <w:delText>2692</w:delText>
              </w:r>
            </w:del>
          </w:p>
        </w:tc>
        <w:tc>
          <w:tcPr>
            <w:tcW w:w="1459" w:type="dxa"/>
            <w:shd w:val="clear" w:color="auto" w:fill="auto"/>
          </w:tcPr>
          <w:p w14:paraId="43D437A4" w14:textId="10DF5F30" w:rsidR="008C45F7" w:rsidDel="00DF18BD" w:rsidRDefault="008C45F7" w:rsidP="008C45F7">
            <w:pPr>
              <w:rPr>
                <w:del w:id="24" w:author="Banerjea, Raja" w:date="2016-06-23T16:04:00Z"/>
                <w:rFonts w:ascii="Arial" w:hAnsi="Arial" w:cs="Arial"/>
                <w:sz w:val="20"/>
              </w:rPr>
            </w:pPr>
            <w:del w:id="25" w:author="Banerjea, Raja" w:date="2016-06-23T16:04:00Z">
              <w:r w:rsidDel="00DF18BD">
                <w:rPr>
                  <w:rFonts w:ascii="Arial" w:hAnsi="Arial" w:cs="Arial"/>
                  <w:sz w:val="20"/>
                </w:rPr>
                <w:delText>Yuichi Morioka</w:delText>
              </w:r>
            </w:del>
          </w:p>
        </w:tc>
        <w:tc>
          <w:tcPr>
            <w:tcW w:w="800" w:type="dxa"/>
            <w:shd w:val="clear" w:color="auto" w:fill="auto"/>
          </w:tcPr>
          <w:p w14:paraId="3F67662B" w14:textId="6D7E9C6C" w:rsidR="008C45F7" w:rsidDel="00DF18BD" w:rsidRDefault="008C45F7" w:rsidP="008C45F7">
            <w:pPr>
              <w:jc w:val="right"/>
              <w:rPr>
                <w:del w:id="26" w:author="Banerjea, Raja" w:date="2016-06-23T16:04:00Z"/>
                <w:rFonts w:ascii="Arial" w:hAnsi="Arial" w:cs="Arial"/>
                <w:sz w:val="20"/>
              </w:rPr>
            </w:pPr>
            <w:del w:id="27" w:author="Banerjea, Raja" w:date="2016-06-23T16:04:00Z">
              <w:r w:rsidDel="00DF18BD">
                <w:rPr>
                  <w:rFonts w:ascii="Arial" w:hAnsi="Arial" w:cs="Arial"/>
                  <w:sz w:val="20"/>
                </w:rPr>
                <w:delText>21.22</w:delText>
              </w:r>
            </w:del>
          </w:p>
        </w:tc>
        <w:tc>
          <w:tcPr>
            <w:tcW w:w="2126" w:type="dxa"/>
            <w:shd w:val="clear" w:color="auto" w:fill="auto"/>
          </w:tcPr>
          <w:p w14:paraId="7CC7666B" w14:textId="1ADF5C22" w:rsidR="008C45F7" w:rsidDel="00DF18BD" w:rsidRDefault="008C45F7" w:rsidP="008C45F7">
            <w:pPr>
              <w:rPr>
                <w:del w:id="28" w:author="Banerjea, Raja" w:date="2016-06-23T16:04:00Z"/>
                <w:rFonts w:ascii="Arial" w:hAnsi="Arial" w:cs="Arial"/>
                <w:sz w:val="20"/>
              </w:rPr>
            </w:pPr>
            <w:del w:id="29" w:author="Banerjea, Raja" w:date="2016-06-23T16:04:00Z">
              <w:r w:rsidDel="00DF18BD">
                <w:rPr>
                  <w:rFonts w:ascii="Arial" w:hAnsi="Arial" w:cs="Arial"/>
                  <w:sz w:val="20"/>
                </w:rPr>
                <w:delText>CF_End should be allowed to be triggered to cancel the NAV set by the MU-RTS</w:delText>
              </w:r>
            </w:del>
          </w:p>
        </w:tc>
        <w:tc>
          <w:tcPr>
            <w:tcW w:w="3072" w:type="dxa"/>
            <w:shd w:val="clear" w:color="auto" w:fill="auto"/>
          </w:tcPr>
          <w:p w14:paraId="08B11F2B" w14:textId="65070CB1" w:rsidR="008C45F7" w:rsidDel="00DF18BD" w:rsidRDefault="008C45F7" w:rsidP="008C45F7">
            <w:pPr>
              <w:rPr>
                <w:del w:id="30" w:author="Banerjea, Raja" w:date="2016-06-23T16:04:00Z"/>
                <w:rFonts w:ascii="Arial" w:hAnsi="Arial" w:cs="Arial"/>
                <w:sz w:val="20"/>
              </w:rPr>
            </w:pPr>
            <w:del w:id="31" w:author="Banerjea, Raja" w:date="2016-06-23T16:04:00Z">
              <w:r w:rsidDel="00DF18BD">
                <w:rPr>
                  <w:rFonts w:ascii="Arial" w:hAnsi="Arial" w:cs="Arial"/>
                  <w:sz w:val="20"/>
                </w:rPr>
                <w:delText>change "4-TBD" to "4" and "5-TBD".</w:delText>
              </w:r>
              <w:r w:rsidDel="00DF18BD">
                <w:rPr>
                  <w:rFonts w:ascii="Arial" w:hAnsi="Arial" w:cs="Arial"/>
                  <w:sz w:val="20"/>
                </w:rPr>
                <w:br/>
                <w:delText>Change "Reserved" to "MU CF_End" and "Reserved"</w:delText>
              </w:r>
            </w:del>
          </w:p>
        </w:tc>
        <w:tc>
          <w:tcPr>
            <w:tcW w:w="1868" w:type="dxa"/>
            <w:shd w:val="clear" w:color="auto" w:fill="auto"/>
          </w:tcPr>
          <w:p w14:paraId="47769732" w14:textId="344CB3E4" w:rsidR="00B80715" w:rsidDel="00DF18BD" w:rsidRDefault="00E11921" w:rsidP="00B80715">
            <w:pPr>
              <w:rPr>
                <w:del w:id="32" w:author="Banerjea, Raja" w:date="2016-06-23T16:04:00Z"/>
                <w:rFonts w:ascii="Arial" w:hAnsi="Arial" w:cs="Arial"/>
                <w:sz w:val="20"/>
              </w:rPr>
            </w:pPr>
            <w:del w:id="33" w:author="Banerjea, Raja" w:date="2016-06-23T16:04:00Z">
              <w:r w:rsidDel="00DF18BD">
                <w:rPr>
                  <w:rFonts w:ascii="Arial" w:hAnsi="Arial" w:cs="Arial"/>
                  <w:sz w:val="20"/>
                </w:rPr>
                <w:delText>Re</w:delText>
              </w:r>
              <w:r w:rsidR="00B80715" w:rsidDel="00DF18BD">
                <w:rPr>
                  <w:rFonts w:ascii="Arial" w:hAnsi="Arial" w:cs="Arial"/>
                  <w:sz w:val="20"/>
                </w:rPr>
                <w:delText xml:space="preserve">vised. </w:delText>
              </w:r>
            </w:del>
          </w:p>
          <w:p w14:paraId="0E0577AF" w14:textId="3426C5CD" w:rsidR="00B80715" w:rsidDel="00DF18BD" w:rsidRDefault="00B80715" w:rsidP="00B80715">
            <w:pPr>
              <w:rPr>
                <w:del w:id="34" w:author="Banerjea, Raja" w:date="2016-06-23T16:04:00Z"/>
                <w:rFonts w:ascii="Arial" w:hAnsi="Arial" w:cs="Arial"/>
                <w:sz w:val="20"/>
              </w:rPr>
            </w:pPr>
            <w:del w:id="35" w:author="Banerjea, Raja" w:date="2016-06-23T16:04:00Z">
              <w:r w:rsidDel="00DF18BD">
                <w:rPr>
                  <w:rFonts w:ascii="Arial" w:hAnsi="Arial" w:cs="Arial"/>
                  <w:sz w:val="20"/>
                </w:rPr>
                <w:delText>Text has been added to enable reset of NAV if a CTS is not received.</w:delText>
              </w:r>
            </w:del>
          </w:p>
        </w:tc>
      </w:tr>
      <w:tr w:rsidR="008C45F7" w14:paraId="4D34AA89" w14:textId="77777777" w:rsidTr="002023E1">
        <w:trPr>
          <w:trHeight w:val="948"/>
        </w:trPr>
        <w:tc>
          <w:tcPr>
            <w:tcW w:w="726" w:type="dxa"/>
            <w:shd w:val="clear" w:color="auto" w:fill="auto"/>
          </w:tcPr>
          <w:p w14:paraId="34D4CF20" w14:textId="2B93401E" w:rsidR="008C45F7" w:rsidRDefault="008C45F7" w:rsidP="008C45F7">
            <w:pPr>
              <w:jc w:val="right"/>
              <w:rPr>
                <w:rFonts w:ascii="Arial" w:hAnsi="Arial" w:cs="Arial"/>
                <w:sz w:val="20"/>
              </w:rPr>
            </w:pPr>
            <w:r>
              <w:rPr>
                <w:rFonts w:ascii="Arial" w:hAnsi="Arial" w:cs="Arial"/>
                <w:sz w:val="20"/>
              </w:rPr>
              <w:t>2900</w:t>
            </w:r>
          </w:p>
        </w:tc>
        <w:tc>
          <w:tcPr>
            <w:tcW w:w="1459" w:type="dxa"/>
            <w:shd w:val="clear" w:color="auto" w:fill="auto"/>
          </w:tcPr>
          <w:p w14:paraId="631AE02E" w14:textId="7EE573F5" w:rsidR="008C45F7" w:rsidRDefault="008C45F7" w:rsidP="008C45F7">
            <w:pPr>
              <w:rPr>
                <w:rFonts w:ascii="Arial" w:hAnsi="Arial" w:cs="Arial"/>
                <w:sz w:val="20"/>
              </w:rPr>
            </w:pPr>
            <w:r>
              <w:rPr>
                <w:rFonts w:ascii="Arial" w:hAnsi="Arial" w:cs="Arial"/>
                <w:sz w:val="20"/>
              </w:rPr>
              <w:t>Zhou Lan</w:t>
            </w:r>
          </w:p>
        </w:tc>
        <w:tc>
          <w:tcPr>
            <w:tcW w:w="800" w:type="dxa"/>
            <w:shd w:val="clear" w:color="auto" w:fill="auto"/>
          </w:tcPr>
          <w:p w14:paraId="19173196" w14:textId="439E89E5" w:rsidR="008C45F7" w:rsidRDefault="008C45F7" w:rsidP="008C45F7">
            <w:pPr>
              <w:jc w:val="right"/>
              <w:rPr>
                <w:rFonts w:ascii="Arial" w:hAnsi="Arial" w:cs="Arial"/>
                <w:sz w:val="20"/>
              </w:rPr>
            </w:pPr>
            <w:r>
              <w:rPr>
                <w:rFonts w:ascii="Arial" w:hAnsi="Arial" w:cs="Arial"/>
                <w:sz w:val="20"/>
              </w:rPr>
              <w:t>19.49</w:t>
            </w:r>
          </w:p>
        </w:tc>
        <w:tc>
          <w:tcPr>
            <w:tcW w:w="2126" w:type="dxa"/>
            <w:shd w:val="clear" w:color="auto" w:fill="auto"/>
          </w:tcPr>
          <w:p w14:paraId="29D5F80C" w14:textId="341CF4D4" w:rsidR="008C45F7" w:rsidRDefault="008C45F7" w:rsidP="008C45F7">
            <w:pPr>
              <w:rPr>
                <w:rFonts w:ascii="Arial" w:hAnsi="Arial" w:cs="Arial"/>
                <w:sz w:val="20"/>
              </w:rPr>
            </w:pPr>
            <w:r>
              <w:rPr>
                <w:rFonts w:ascii="Arial" w:hAnsi="Arial" w:cs="Arial"/>
                <w:sz w:val="20"/>
              </w:rPr>
              <w:t>trigger fame contains type specific info which can be achieved by aggregating trigger frame and control frame.</w:t>
            </w:r>
          </w:p>
        </w:tc>
        <w:tc>
          <w:tcPr>
            <w:tcW w:w="3072" w:type="dxa"/>
            <w:shd w:val="clear" w:color="auto" w:fill="auto"/>
          </w:tcPr>
          <w:p w14:paraId="1099B2D0" w14:textId="55E92C4D" w:rsidR="008C45F7" w:rsidRDefault="008C45F7" w:rsidP="008C45F7">
            <w:pPr>
              <w:rPr>
                <w:rFonts w:ascii="Arial" w:hAnsi="Arial" w:cs="Arial"/>
                <w:sz w:val="20"/>
              </w:rPr>
            </w:pPr>
            <w:r>
              <w:rPr>
                <w:rFonts w:ascii="Arial" w:hAnsi="Arial" w:cs="Arial"/>
                <w:sz w:val="20"/>
              </w:rPr>
              <w:t>remove type specific info and simplify the trigger frame design otherwise clarify the benefits of this mechanism over aggregating trigger and control/Management frame</w:t>
            </w:r>
          </w:p>
        </w:tc>
        <w:tc>
          <w:tcPr>
            <w:tcW w:w="1868" w:type="dxa"/>
            <w:shd w:val="clear" w:color="auto" w:fill="auto"/>
          </w:tcPr>
          <w:p w14:paraId="7E595DC5" w14:textId="5967822F" w:rsidR="00340D3C" w:rsidRDefault="00D12A44" w:rsidP="008C45F7">
            <w:pPr>
              <w:rPr>
                <w:rFonts w:ascii="Arial" w:hAnsi="Arial" w:cs="Arial"/>
                <w:sz w:val="20"/>
              </w:rPr>
            </w:pPr>
            <w:r>
              <w:rPr>
                <w:rFonts w:ascii="Arial" w:hAnsi="Arial" w:cs="Arial"/>
                <w:sz w:val="20"/>
              </w:rPr>
              <w:t>Rejected</w:t>
            </w:r>
          </w:p>
          <w:p w14:paraId="5C92DF79" w14:textId="77777777" w:rsidR="00D12A44" w:rsidRDefault="00D12A44" w:rsidP="008C45F7">
            <w:pPr>
              <w:rPr>
                <w:rFonts w:ascii="Arial" w:hAnsi="Arial" w:cs="Arial"/>
                <w:sz w:val="20"/>
              </w:rPr>
            </w:pPr>
          </w:p>
          <w:p w14:paraId="736D8FDB" w14:textId="3C8696C5" w:rsidR="00D12A44" w:rsidRDefault="00D12A44" w:rsidP="00D12A44">
            <w:pPr>
              <w:rPr>
                <w:rFonts w:ascii="Arial" w:hAnsi="Arial" w:cs="Arial"/>
                <w:sz w:val="20"/>
              </w:rPr>
            </w:pPr>
            <w:r>
              <w:rPr>
                <w:rFonts w:ascii="Arial" w:hAnsi="Arial" w:cs="Arial"/>
                <w:sz w:val="20"/>
              </w:rPr>
              <w:t xml:space="preserve">This is asking to remove type specific info from the trigger frame. Aggregating leads to overhead, and would not allow the Trigger frame to be sent in legacy format.  </w:t>
            </w:r>
          </w:p>
        </w:tc>
      </w:tr>
    </w:tbl>
    <w:p w14:paraId="6554AEEF" w14:textId="456F4EEB" w:rsidR="00B84531" w:rsidRDefault="00B84531" w:rsidP="00B84531">
      <w:pPr>
        <w:jc w:val="both"/>
        <w:rPr>
          <w:rFonts w:eastAsia="Times New Roman"/>
          <w:b/>
          <w:color w:val="000000"/>
          <w:sz w:val="20"/>
          <w:highlight w:val="yellow"/>
          <w:lang w:val="en-US"/>
        </w:rPr>
      </w:pPr>
    </w:p>
    <w:p w14:paraId="324FA79E" w14:textId="3E50D131" w:rsidR="00B84531" w:rsidRPr="00C6462C" w:rsidRDefault="00B84531" w:rsidP="00B84531">
      <w:pPr>
        <w:jc w:val="both"/>
        <w:rPr>
          <w:highlight w:val="yellow"/>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Add the </w:t>
      </w:r>
      <w:r w:rsidRPr="00C6462C">
        <w:rPr>
          <w:rFonts w:eastAsia="Times New Roman"/>
          <w:b/>
          <w:i/>
          <w:color w:val="000000"/>
          <w:sz w:val="20"/>
          <w:highlight w:val="yellow"/>
          <w:lang w:val="en-US"/>
        </w:rPr>
        <w:t>subclause below as resolution to</w:t>
      </w:r>
      <w:r>
        <w:rPr>
          <w:rFonts w:eastAsia="Times New Roman"/>
          <w:b/>
          <w:i/>
          <w:color w:val="000000"/>
          <w:sz w:val="20"/>
          <w:highlight w:val="yellow"/>
          <w:lang w:val="en-US"/>
        </w:rPr>
        <w:t xml:space="preserve"> </w:t>
      </w:r>
      <w:r w:rsidRPr="00C6462C">
        <w:rPr>
          <w:rFonts w:eastAsia="Times New Roman"/>
          <w:b/>
          <w:i/>
          <w:color w:val="000000"/>
          <w:sz w:val="20"/>
          <w:highlight w:val="yellow"/>
          <w:lang w:val="en-US"/>
        </w:rPr>
        <w:t>(#CID</w:t>
      </w:r>
      <w:r>
        <w:rPr>
          <w:rFonts w:eastAsia="Times New Roman"/>
          <w:b/>
          <w:i/>
          <w:color w:val="000000"/>
          <w:sz w:val="20"/>
          <w:highlight w:val="yellow"/>
          <w:lang w:val="en-US"/>
        </w:rPr>
        <w:t xml:space="preserve"> 2219</w:t>
      </w:r>
      <w:r w:rsidRPr="00C6462C">
        <w:rPr>
          <w:rFonts w:eastAsia="Times New Roman"/>
          <w:b/>
          <w:i/>
          <w:color w:val="000000"/>
          <w:sz w:val="20"/>
          <w:highlight w:val="yellow"/>
          <w:lang w:val="en-US"/>
        </w:rPr>
        <w:t>):</w:t>
      </w:r>
    </w:p>
    <w:p w14:paraId="2A33212A" w14:textId="77777777" w:rsidR="00FA3CF4" w:rsidRDefault="00FA3CF4" w:rsidP="00FA3CF4">
      <w:pPr>
        <w:pStyle w:val="Heading2"/>
        <w:numPr>
          <w:ilvl w:val="0"/>
          <w:numId w:val="0"/>
        </w:numPr>
        <w:ind w:left="360" w:hanging="360"/>
        <w:rPr>
          <w:ins w:id="36" w:author="Banerjea, Raja" w:date="2016-05-09T16:58:00Z"/>
        </w:rPr>
      </w:pPr>
      <w:ins w:id="37" w:author="Banerjea, Raja" w:date="2016-05-09T16:58:00Z">
        <w:r>
          <w:t>9.3.1.23.1 Basic Trigger</w:t>
        </w:r>
      </w:ins>
    </w:p>
    <w:p w14:paraId="068C0541"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38" w:author="Banerjea, Raja" w:date="2016-05-09T16:58:00Z"/>
          <w:rFonts w:ascii="Arial" w:hAnsi="Arial"/>
          <w:b/>
          <w:vanish/>
          <w:sz w:val="24"/>
        </w:rPr>
      </w:pPr>
    </w:p>
    <w:p w14:paraId="44B23C8B"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39" w:author="Banerjea, Raja" w:date="2016-05-09T16:58:00Z"/>
          <w:rFonts w:ascii="Arial" w:hAnsi="Arial"/>
          <w:b/>
          <w:vanish/>
          <w:sz w:val="24"/>
        </w:rPr>
      </w:pPr>
    </w:p>
    <w:p w14:paraId="04C9879A"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40" w:author="Banerjea, Raja" w:date="2016-05-09T16:58:00Z"/>
          <w:rFonts w:ascii="Arial" w:hAnsi="Arial"/>
          <w:b/>
          <w:vanish/>
          <w:sz w:val="24"/>
        </w:rPr>
      </w:pPr>
    </w:p>
    <w:p w14:paraId="4263D006"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41" w:author="Banerjea, Raja" w:date="2016-05-09T16:58:00Z"/>
          <w:rFonts w:ascii="Arial" w:hAnsi="Arial"/>
          <w:b/>
          <w:vanish/>
          <w:sz w:val="24"/>
        </w:rPr>
      </w:pPr>
    </w:p>
    <w:p w14:paraId="0A304F0C"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42" w:author="Banerjea, Raja" w:date="2016-05-09T16:58:00Z"/>
          <w:rFonts w:ascii="Arial" w:hAnsi="Arial"/>
          <w:b/>
          <w:vanish/>
          <w:sz w:val="24"/>
        </w:rPr>
      </w:pPr>
    </w:p>
    <w:p w14:paraId="7A55432B"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43" w:author="Banerjea, Raja" w:date="2016-05-09T16:58:00Z"/>
          <w:rFonts w:ascii="Arial" w:hAnsi="Arial"/>
          <w:b/>
          <w:vanish/>
          <w:sz w:val="24"/>
        </w:rPr>
      </w:pPr>
    </w:p>
    <w:p w14:paraId="33FEB139"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44" w:author="Banerjea, Raja" w:date="2016-05-09T16:58:00Z"/>
          <w:rFonts w:ascii="Arial" w:hAnsi="Arial"/>
          <w:b/>
          <w:vanish/>
          <w:sz w:val="24"/>
        </w:rPr>
      </w:pPr>
    </w:p>
    <w:p w14:paraId="4CE1A110"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45" w:author="Banerjea, Raja" w:date="2016-05-09T16:58:00Z"/>
          <w:rFonts w:ascii="Arial" w:hAnsi="Arial"/>
          <w:b/>
          <w:vanish/>
          <w:sz w:val="24"/>
        </w:rPr>
      </w:pPr>
    </w:p>
    <w:p w14:paraId="06ECB5FD"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46" w:author="Banerjea, Raja" w:date="2016-05-09T16:58:00Z"/>
          <w:rFonts w:ascii="Arial" w:hAnsi="Arial"/>
          <w:b/>
          <w:vanish/>
          <w:sz w:val="24"/>
        </w:rPr>
      </w:pPr>
    </w:p>
    <w:p w14:paraId="420E4FDA" w14:textId="6F941547" w:rsidR="00FA3CF4" w:rsidRDefault="00FA3CF4" w:rsidP="00FA3CF4">
      <w:pPr>
        <w:pStyle w:val="BodyText"/>
        <w:rPr>
          <w:ins w:id="47" w:author="Banerjea, Raja" w:date="2016-05-09T16:58:00Z"/>
        </w:rPr>
      </w:pPr>
      <w:ins w:id="48" w:author="Banerjea, Raja" w:date="2016-05-09T16:58:00Z">
        <w:r>
          <w:t xml:space="preserve">If the Trigger frame is of Type Basic Trigger, the type dependent Per User Information includes the </w:t>
        </w:r>
        <w:r w:rsidR="00581E00">
          <w:t xml:space="preserve">MPDU MU </w:t>
        </w:r>
        <w:r>
          <w:t>Spacing</w:t>
        </w:r>
      </w:ins>
      <w:ins w:id="49" w:author="Banerjea, Raja" w:date="2016-05-11T13:48:00Z">
        <w:r w:rsidR="000710D7">
          <w:t xml:space="preserve"> </w:t>
        </w:r>
      </w:ins>
      <w:ins w:id="50" w:author="Banerjea, Raja" w:date="2016-05-20T07:18:00Z">
        <w:r w:rsidR="00581E00">
          <w:t>Factor</w:t>
        </w:r>
      </w:ins>
      <w:ins w:id="51" w:author="Banerjea, Raja" w:date="2016-05-20T07:13:00Z">
        <w:r w:rsidR="00340D3C">
          <w:t xml:space="preserve"> and TID Aggregation Limit</w:t>
        </w:r>
      </w:ins>
      <w:ins w:id="52" w:author="Banerjea, Raja" w:date="2016-05-09T16:58:00Z">
        <w:r>
          <w:t xml:space="preserve">. </w:t>
        </w:r>
      </w:ins>
      <w:ins w:id="53" w:author="Banerjea, Raja" w:date="2016-05-20T07:18:00Z">
        <w:r w:rsidR="00581E00">
          <w:t>The Type dependent Common Info field length is 0.</w:t>
        </w:r>
      </w:ins>
      <w:ins w:id="54" w:author="Banerjea, Raja" w:date="2016-05-09T16:58:00Z">
        <w:r>
          <w:t xml:space="preserve">The format of the </w:t>
        </w:r>
      </w:ins>
      <w:ins w:id="55" w:author="Banerjea, Raja" w:date="2016-05-20T07:19:00Z">
        <w:r w:rsidR="00581E00">
          <w:t xml:space="preserve">type dependent Per User Information </w:t>
        </w:r>
      </w:ins>
      <w:ins w:id="56" w:author="Banerjea, Raja" w:date="2016-05-09T16:58:00Z">
        <w:r>
          <w:t>is shown below:</w:t>
        </w:r>
      </w:ins>
    </w:p>
    <w:p w14:paraId="3A1A26BA" w14:textId="5C61E2BE" w:rsidR="00FA3CF4" w:rsidRDefault="00581E00" w:rsidP="00FA3CF4">
      <w:pPr>
        <w:pStyle w:val="BodyText"/>
        <w:jc w:val="center"/>
        <w:rPr>
          <w:ins w:id="57" w:author="Banerjea, Raja" w:date="2016-05-09T16:58:00Z"/>
        </w:rPr>
      </w:pPr>
      <w:ins w:id="58" w:author="Banerjea, Raja" w:date="2016-05-20T07:17:00Z">
        <w:r>
          <w:object w:dxaOrig="6224" w:dyaOrig="1328" w14:anchorId="307D924A">
            <v:shape id="_x0000_i1026" type="#_x0000_t75" style="width:311.25pt;height:66.75pt" o:ole="">
              <v:imagedata r:id="rId16" o:title=""/>
            </v:shape>
            <o:OLEObject Type="Embed" ProgID="Visio.Drawing.11" ShapeID="_x0000_i1026" DrawAspect="Content" ObjectID="_1528269599" r:id="rId17"/>
          </w:object>
        </w:r>
      </w:ins>
      <w:del w:id="59" w:author="Banerjea, Raja" w:date="2016-05-20T07:15:00Z">
        <w:r w:rsidR="005E6D9B" w:rsidDel="00340D3C">
          <w:fldChar w:fldCharType="begin"/>
        </w:r>
        <w:r w:rsidR="005E6D9B" w:rsidDel="00340D3C">
          <w:fldChar w:fldCharType="end"/>
        </w:r>
      </w:del>
      <w:del w:id="60" w:author="Banerjea, Raja" w:date="2016-05-11T16:53:00Z">
        <w:r w:rsidR="00FA3CF4" w:rsidDel="005E6D9B">
          <w:fldChar w:fldCharType="begin"/>
        </w:r>
        <w:r w:rsidR="00FA3CF4" w:rsidDel="005E6D9B">
          <w:fldChar w:fldCharType="end"/>
        </w:r>
      </w:del>
    </w:p>
    <w:p w14:paraId="184C80D2" w14:textId="77777777" w:rsidR="00FA3CF4" w:rsidRPr="00296531" w:rsidRDefault="00FA3CF4" w:rsidP="00FA3CF4">
      <w:pPr>
        <w:pStyle w:val="BodyText"/>
        <w:jc w:val="center"/>
        <w:rPr>
          <w:ins w:id="61" w:author="Banerjea, Raja" w:date="2016-05-09T16:58:00Z"/>
          <w:b/>
        </w:rPr>
      </w:pPr>
      <w:ins w:id="62" w:author="Banerjea, Raja" w:date="2016-05-09T16:58:00Z">
        <w:r w:rsidRPr="00296531">
          <w:rPr>
            <w:b/>
          </w:rPr>
          <w:t xml:space="preserve">FIG-xxx Type dependent </w:t>
        </w:r>
        <w:r>
          <w:rPr>
            <w:b/>
          </w:rPr>
          <w:t>per user</w:t>
        </w:r>
        <w:r w:rsidRPr="00296531">
          <w:rPr>
            <w:b/>
          </w:rPr>
          <w:t xml:space="preserve"> information field for </w:t>
        </w:r>
        <w:r>
          <w:rPr>
            <w:b/>
          </w:rPr>
          <w:t>Basic trigger frame</w:t>
        </w:r>
      </w:ins>
    </w:p>
    <w:p w14:paraId="49F6A432" w14:textId="37B3962B" w:rsidR="00FA3CF4" w:rsidRDefault="00581E00" w:rsidP="00FA3CF4">
      <w:pPr>
        <w:rPr>
          <w:ins w:id="63" w:author="Banerjea, Raja" w:date="2016-05-09T16:58:00Z"/>
        </w:rPr>
      </w:pPr>
      <w:ins w:id="64" w:author="Banerjea, Raja" w:date="2016-05-20T07:19:00Z">
        <w:r>
          <w:t xml:space="preserve">MPDU MU Spacing Factor </w:t>
        </w:r>
      </w:ins>
      <w:ins w:id="65" w:author="Banerjea, Raja" w:date="2016-05-11T13:48:00Z">
        <w:r w:rsidR="000710D7">
          <w:t xml:space="preserve">is the value the Minimum MPDU Start spacifing </w:t>
        </w:r>
      </w:ins>
      <w:ins w:id="66" w:author="Banerjea, Raja" w:date="2016-05-09T16:58:00Z">
        <w:r w:rsidR="00FA3CF4">
          <w:t>defined in Table 8-159</w:t>
        </w:r>
        <w:r w:rsidR="000710D7">
          <w:t xml:space="preserve"> is multiplied with. The definition of the </w:t>
        </w:r>
      </w:ins>
      <w:ins w:id="67" w:author="Banerjea, Raja" w:date="2016-05-20T07:20:00Z">
        <w:r>
          <w:t xml:space="preserve">MPDU MU Spacing Factor </w:t>
        </w:r>
      </w:ins>
      <w:ins w:id="68" w:author="Banerjea, Raja" w:date="2016-05-09T16:58:00Z">
        <w:r w:rsidR="000710D7">
          <w:t>is</w:t>
        </w:r>
      </w:ins>
      <w:ins w:id="69" w:author="Banerjea, Raja" w:date="2016-05-11T13:50:00Z">
        <w:r w:rsidR="000710D7">
          <w:t xml:space="preserve"> in Table -xx</w:t>
        </w:r>
      </w:ins>
    </w:p>
    <w:p w14:paraId="12D5ADCE" w14:textId="77777777" w:rsidR="000710D7" w:rsidRDefault="000710D7" w:rsidP="00FA3CF4">
      <w:pPr>
        <w:rPr>
          <w:ins w:id="70" w:author="Banerjea, Raja" w:date="2016-06-03T15:40:00Z"/>
        </w:rPr>
      </w:pPr>
    </w:p>
    <w:p w14:paraId="15C379C1" w14:textId="75E27777" w:rsidR="00B80715" w:rsidRPr="00B80715" w:rsidRDefault="00B80715">
      <w:pPr>
        <w:jc w:val="center"/>
        <w:rPr>
          <w:ins w:id="71" w:author="Banerjea, Raja" w:date="2016-05-09T16:58:00Z"/>
          <w:b/>
          <w:rPrChange w:id="72" w:author="Banerjea, Raja" w:date="2016-06-03T15:41:00Z">
            <w:rPr>
              <w:ins w:id="73" w:author="Banerjea, Raja" w:date="2016-05-09T16:58:00Z"/>
            </w:rPr>
          </w:rPrChange>
        </w:rPr>
        <w:pPrChange w:id="74" w:author="Banerjea, Raja" w:date="2016-06-03T15:41:00Z">
          <w:pPr/>
        </w:pPrChange>
      </w:pPr>
      <w:ins w:id="75" w:author="Banerjea, Raja" w:date="2016-06-03T15:40:00Z">
        <w:r w:rsidRPr="00B80715">
          <w:rPr>
            <w:b/>
            <w:rPrChange w:id="76" w:author="Banerjea, Raja" w:date="2016-06-03T15:41:00Z">
              <w:rPr/>
            </w:rPrChange>
          </w:rPr>
          <w:t>Table-xx MPDU MU Spacing Factor</w:t>
        </w:r>
      </w:ins>
    </w:p>
    <w:tbl>
      <w:tblPr>
        <w:tblW w:w="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627"/>
      </w:tblGrid>
      <w:tr w:rsidR="000710D7" w14:paraId="21F1EF57" w14:textId="77777777" w:rsidTr="005A2C6F">
        <w:trPr>
          <w:trHeight w:val="390"/>
          <w:jc w:val="center"/>
          <w:ins w:id="77" w:author="Banerjea, Raja" w:date="2016-05-11T13:49:00Z"/>
        </w:trPr>
        <w:tc>
          <w:tcPr>
            <w:tcW w:w="2101" w:type="dxa"/>
            <w:shd w:val="clear" w:color="auto" w:fill="auto"/>
          </w:tcPr>
          <w:p w14:paraId="341008AF" w14:textId="1FCE9E2F" w:rsidR="000710D7" w:rsidRPr="005A2C6F" w:rsidRDefault="000710D7" w:rsidP="005A2C6F">
            <w:pPr>
              <w:jc w:val="center"/>
              <w:rPr>
                <w:ins w:id="78" w:author="Banerjea, Raja" w:date="2016-05-11T13:49:00Z"/>
                <w:rFonts w:ascii="Arial" w:hAnsi="Arial" w:cs="Arial"/>
                <w:b/>
                <w:sz w:val="20"/>
              </w:rPr>
            </w:pPr>
            <w:ins w:id="79" w:author="Banerjea, Raja" w:date="2016-05-11T13:49:00Z">
              <w:r w:rsidRPr="005A2C6F">
                <w:rPr>
                  <w:rFonts w:ascii="Arial" w:hAnsi="Arial" w:cs="Arial"/>
                  <w:b/>
                  <w:sz w:val="20"/>
                </w:rPr>
                <w:t>Value</w:t>
              </w:r>
            </w:ins>
          </w:p>
        </w:tc>
        <w:tc>
          <w:tcPr>
            <w:tcW w:w="1627" w:type="dxa"/>
            <w:shd w:val="clear" w:color="auto" w:fill="auto"/>
          </w:tcPr>
          <w:p w14:paraId="6629F857" w14:textId="5116685C" w:rsidR="000710D7" w:rsidRPr="005A2C6F" w:rsidRDefault="000710D7" w:rsidP="005A2C6F">
            <w:pPr>
              <w:jc w:val="center"/>
              <w:rPr>
                <w:ins w:id="80" w:author="Banerjea, Raja" w:date="2016-05-11T13:49:00Z"/>
                <w:rFonts w:ascii="Arial" w:hAnsi="Arial" w:cs="Arial"/>
                <w:b/>
                <w:sz w:val="20"/>
              </w:rPr>
            </w:pPr>
            <w:ins w:id="81" w:author="Banerjea, Raja" w:date="2016-05-11T13:49:00Z">
              <w:r w:rsidRPr="005A2C6F">
                <w:rPr>
                  <w:rFonts w:ascii="Arial" w:hAnsi="Arial" w:cs="Arial"/>
                  <w:b/>
                  <w:sz w:val="20"/>
                </w:rPr>
                <w:t>Definition</w:t>
              </w:r>
            </w:ins>
          </w:p>
        </w:tc>
      </w:tr>
      <w:tr w:rsidR="000710D7" w14:paraId="2D784F85" w14:textId="77777777" w:rsidTr="005A2C6F">
        <w:trPr>
          <w:trHeight w:val="710"/>
          <w:jc w:val="center"/>
          <w:ins w:id="82" w:author="Banerjea, Raja" w:date="2016-05-11T13:49:00Z"/>
        </w:trPr>
        <w:tc>
          <w:tcPr>
            <w:tcW w:w="2101" w:type="dxa"/>
            <w:shd w:val="clear" w:color="auto" w:fill="auto"/>
          </w:tcPr>
          <w:p w14:paraId="2A672703" w14:textId="63AE64E4" w:rsidR="000710D7" w:rsidRDefault="000710D7" w:rsidP="005A2C6F">
            <w:pPr>
              <w:jc w:val="center"/>
              <w:rPr>
                <w:ins w:id="83" w:author="Banerjea, Raja" w:date="2016-05-11T13:49:00Z"/>
                <w:rFonts w:ascii="Arial" w:hAnsi="Arial" w:cs="Arial"/>
                <w:sz w:val="20"/>
              </w:rPr>
            </w:pPr>
            <w:ins w:id="84" w:author="Banerjea, Raja" w:date="2016-05-11T13:49:00Z">
              <w:r>
                <w:rPr>
                  <w:rFonts w:ascii="Arial" w:hAnsi="Arial" w:cs="Arial"/>
                  <w:sz w:val="20"/>
                </w:rPr>
                <w:t>00</w:t>
              </w:r>
            </w:ins>
          </w:p>
        </w:tc>
        <w:tc>
          <w:tcPr>
            <w:tcW w:w="1627" w:type="dxa"/>
            <w:shd w:val="clear" w:color="auto" w:fill="auto"/>
          </w:tcPr>
          <w:p w14:paraId="52507468" w14:textId="34616601" w:rsidR="000710D7" w:rsidRDefault="000710D7" w:rsidP="005A2C6F">
            <w:pPr>
              <w:jc w:val="center"/>
              <w:rPr>
                <w:ins w:id="85" w:author="Banerjea, Raja" w:date="2016-05-11T13:49:00Z"/>
                <w:rFonts w:ascii="Arial" w:hAnsi="Arial" w:cs="Arial"/>
                <w:sz w:val="20"/>
              </w:rPr>
            </w:pPr>
            <w:ins w:id="86" w:author="Banerjea, Raja" w:date="2016-05-11T13:50:00Z">
              <w:r>
                <w:rPr>
                  <w:rFonts w:ascii="Arial" w:hAnsi="Arial" w:cs="Arial"/>
                  <w:sz w:val="20"/>
                </w:rPr>
                <w:t>Multiplier = 1</w:t>
              </w:r>
            </w:ins>
          </w:p>
        </w:tc>
      </w:tr>
      <w:tr w:rsidR="000710D7" w14:paraId="5EED330B" w14:textId="77777777" w:rsidTr="005A2C6F">
        <w:trPr>
          <w:trHeight w:val="638"/>
          <w:jc w:val="center"/>
          <w:ins w:id="87" w:author="Banerjea, Raja" w:date="2016-05-11T13:50:00Z"/>
        </w:trPr>
        <w:tc>
          <w:tcPr>
            <w:tcW w:w="2101" w:type="dxa"/>
            <w:shd w:val="clear" w:color="auto" w:fill="auto"/>
          </w:tcPr>
          <w:p w14:paraId="4D5A5308" w14:textId="745ABEE9" w:rsidR="000710D7" w:rsidRDefault="000710D7" w:rsidP="005A2C6F">
            <w:pPr>
              <w:jc w:val="center"/>
              <w:rPr>
                <w:ins w:id="88" w:author="Banerjea, Raja" w:date="2016-05-11T13:50:00Z"/>
                <w:rFonts w:ascii="Arial" w:hAnsi="Arial" w:cs="Arial"/>
                <w:sz w:val="20"/>
              </w:rPr>
            </w:pPr>
            <w:ins w:id="89" w:author="Banerjea, Raja" w:date="2016-05-11T13:50:00Z">
              <w:r>
                <w:rPr>
                  <w:rFonts w:ascii="Arial" w:hAnsi="Arial" w:cs="Arial"/>
                  <w:sz w:val="20"/>
                </w:rPr>
                <w:t>01</w:t>
              </w:r>
            </w:ins>
          </w:p>
        </w:tc>
        <w:tc>
          <w:tcPr>
            <w:tcW w:w="1627" w:type="dxa"/>
            <w:shd w:val="clear" w:color="auto" w:fill="auto"/>
          </w:tcPr>
          <w:p w14:paraId="1D303EFD" w14:textId="585ADBA4" w:rsidR="000710D7" w:rsidRDefault="000710D7" w:rsidP="005A2C6F">
            <w:pPr>
              <w:jc w:val="center"/>
              <w:rPr>
                <w:ins w:id="90" w:author="Banerjea, Raja" w:date="2016-05-11T13:50:00Z"/>
                <w:rFonts w:ascii="Arial" w:hAnsi="Arial" w:cs="Arial"/>
                <w:sz w:val="20"/>
              </w:rPr>
            </w:pPr>
            <w:ins w:id="91" w:author="Banerjea, Raja" w:date="2016-05-11T13:50:00Z">
              <w:r>
                <w:rPr>
                  <w:rFonts w:ascii="Arial" w:hAnsi="Arial" w:cs="Arial"/>
                  <w:sz w:val="20"/>
                </w:rPr>
                <w:t>Multiplier = 2</w:t>
              </w:r>
            </w:ins>
          </w:p>
        </w:tc>
      </w:tr>
      <w:tr w:rsidR="000710D7" w14:paraId="35DE5361" w14:textId="77777777" w:rsidTr="005A2C6F">
        <w:trPr>
          <w:trHeight w:val="737"/>
          <w:jc w:val="center"/>
          <w:ins w:id="92" w:author="Banerjea, Raja" w:date="2016-05-11T13:50:00Z"/>
        </w:trPr>
        <w:tc>
          <w:tcPr>
            <w:tcW w:w="2101" w:type="dxa"/>
            <w:shd w:val="clear" w:color="auto" w:fill="auto"/>
          </w:tcPr>
          <w:p w14:paraId="259BCE75" w14:textId="4E324C1C" w:rsidR="000710D7" w:rsidRDefault="000710D7" w:rsidP="005A2C6F">
            <w:pPr>
              <w:jc w:val="center"/>
              <w:rPr>
                <w:ins w:id="93" w:author="Banerjea, Raja" w:date="2016-05-11T13:50:00Z"/>
                <w:rFonts w:ascii="Arial" w:hAnsi="Arial" w:cs="Arial"/>
                <w:sz w:val="20"/>
              </w:rPr>
            </w:pPr>
            <w:ins w:id="94" w:author="Banerjea, Raja" w:date="2016-05-11T13:50:00Z">
              <w:r>
                <w:rPr>
                  <w:rFonts w:ascii="Arial" w:hAnsi="Arial" w:cs="Arial"/>
                  <w:sz w:val="20"/>
                </w:rPr>
                <w:t>10</w:t>
              </w:r>
            </w:ins>
          </w:p>
        </w:tc>
        <w:tc>
          <w:tcPr>
            <w:tcW w:w="1627" w:type="dxa"/>
            <w:shd w:val="clear" w:color="auto" w:fill="auto"/>
          </w:tcPr>
          <w:p w14:paraId="654C296E" w14:textId="7A9EBC17" w:rsidR="000710D7" w:rsidRDefault="000710D7" w:rsidP="005A2C6F">
            <w:pPr>
              <w:jc w:val="center"/>
              <w:rPr>
                <w:ins w:id="95" w:author="Banerjea, Raja" w:date="2016-05-11T13:50:00Z"/>
                <w:rFonts w:ascii="Arial" w:hAnsi="Arial" w:cs="Arial"/>
                <w:sz w:val="20"/>
              </w:rPr>
            </w:pPr>
            <w:ins w:id="96" w:author="Banerjea, Raja" w:date="2016-05-11T13:50:00Z">
              <w:r>
                <w:rPr>
                  <w:rFonts w:ascii="Arial" w:hAnsi="Arial" w:cs="Arial"/>
                  <w:sz w:val="20"/>
                </w:rPr>
                <w:t>Multiplier = 4</w:t>
              </w:r>
            </w:ins>
          </w:p>
        </w:tc>
      </w:tr>
      <w:tr w:rsidR="000710D7" w14:paraId="2C505F1D" w14:textId="77777777" w:rsidTr="005A2C6F">
        <w:trPr>
          <w:trHeight w:val="752"/>
          <w:jc w:val="center"/>
          <w:ins w:id="97" w:author="Banerjea, Raja" w:date="2016-05-11T13:50:00Z"/>
        </w:trPr>
        <w:tc>
          <w:tcPr>
            <w:tcW w:w="2101" w:type="dxa"/>
            <w:shd w:val="clear" w:color="auto" w:fill="auto"/>
          </w:tcPr>
          <w:p w14:paraId="40EB91BE" w14:textId="270A0871" w:rsidR="000710D7" w:rsidRDefault="000710D7" w:rsidP="005A2C6F">
            <w:pPr>
              <w:jc w:val="center"/>
              <w:rPr>
                <w:ins w:id="98" w:author="Banerjea, Raja" w:date="2016-05-11T13:50:00Z"/>
                <w:rFonts w:ascii="Arial" w:hAnsi="Arial" w:cs="Arial"/>
                <w:sz w:val="20"/>
              </w:rPr>
            </w:pPr>
            <w:ins w:id="99" w:author="Banerjea, Raja" w:date="2016-05-11T13:50:00Z">
              <w:r>
                <w:rPr>
                  <w:rFonts w:ascii="Arial" w:hAnsi="Arial" w:cs="Arial"/>
                  <w:sz w:val="20"/>
                </w:rPr>
                <w:t>11</w:t>
              </w:r>
            </w:ins>
          </w:p>
        </w:tc>
        <w:tc>
          <w:tcPr>
            <w:tcW w:w="1627" w:type="dxa"/>
            <w:shd w:val="clear" w:color="auto" w:fill="auto"/>
          </w:tcPr>
          <w:p w14:paraId="2842F8D2" w14:textId="46F28F66" w:rsidR="000710D7" w:rsidRDefault="000710D7" w:rsidP="005A2C6F">
            <w:pPr>
              <w:jc w:val="center"/>
              <w:rPr>
                <w:ins w:id="100" w:author="Banerjea, Raja" w:date="2016-05-11T13:50:00Z"/>
                <w:rFonts w:ascii="Arial" w:hAnsi="Arial" w:cs="Arial"/>
                <w:sz w:val="20"/>
              </w:rPr>
            </w:pPr>
            <w:ins w:id="101" w:author="Banerjea, Raja" w:date="2016-05-11T13:50:00Z">
              <w:r>
                <w:rPr>
                  <w:rFonts w:ascii="Arial" w:hAnsi="Arial" w:cs="Arial"/>
                  <w:sz w:val="20"/>
                </w:rPr>
                <w:t>Multiplier = 8</w:t>
              </w:r>
            </w:ins>
          </w:p>
        </w:tc>
      </w:tr>
    </w:tbl>
    <w:p w14:paraId="394AC470" w14:textId="33AD7513" w:rsidR="008E5BD1" w:rsidRDefault="008E5BD1"/>
    <w:p w14:paraId="09938C26" w14:textId="77777777" w:rsidR="00C02FD8" w:rsidRDefault="00C02FD8"/>
    <w:p w14:paraId="45453657" w14:textId="77777777" w:rsidR="00C3715A" w:rsidRDefault="00B80715">
      <w:pPr>
        <w:rPr>
          <w:ins w:id="102" w:author="Banerjea, Raja" w:date="2016-06-09T16:15:00Z"/>
        </w:rPr>
      </w:pPr>
      <w:ins w:id="103" w:author="Banerjea, Raja" w:date="2016-06-03T15:43:00Z">
        <w:r>
          <w:t xml:space="preserve">The TID Aggregation limit </w:t>
        </w:r>
      </w:ins>
      <w:ins w:id="104" w:author="Banerjea, Raja" w:date="2016-06-03T15:44:00Z">
        <w:r>
          <w:t xml:space="preserve">is </w:t>
        </w:r>
      </w:ins>
      <w:ins w:id="105" w:author="Banerjea, Raja" w:date="2016-06-03T15:43:00Z">
        <w:r>
          <w:t xml:space="preserve">the </w:t>
        </w:r>
      </w:ins>
      <w:ins w:id="106" w:author="Banerjea, Raja" w:date="2016-06-09T16:10:00Z">
        <w:r w:rsidR="00FC1D8E">
          <w:t xml:space="preserve">maximum </w:t>
        </w:r>
      </w:ins>
      <w:ins w:id="107" w:author="Banerjea, Raja" w:date="2016-06-03T15:43:00Z">
        <w:r>
          <w:t xml:space="preserve">number of TIDs </w:t>
        </w:r>
      </w:ins>
      <w:ins w:id="108" w:author="Banerjea, Raja" w:date="2016-06-03T15:44:00Z">
        <w:r>
          <w:t xml:space="preserve">– 1 </w:t>
        </w:r>
      </w:ins>
      <w:ins w:id="109" w:author="Banerjea, Raja" w:date="2016-06-03T15:43:00Z">
        <w:r>
          <w:t>that can be aggregated by a STA in a multi-TID A-MPDU carried in the responding Trigger-based PPDU.</w:t>
        </w:r>
      </w:ins>
    </w:p>
    <w:p w14:paraId="704851CA" w14:textId="77777777" w:rsidR="00C3715A" w:rsidRDefault="00C3715A">
      <w:pPr>
        <w:rPr>
          <w:ins w:id="110" w:author="Banerjea, Raja" w:date="2016-06-09T16:15:00Z"/>
        </w:rPr>
      </w:pPr>
    </w:p>
    <w:p w14:paraId="0508C0AD" w14:textId="39E577D6" w:rsidR="00C3715A" w:rsidRPr="00C6462C" w:rsidRDefault="00C3715A" w:rsidP="00C3715A">
      <w:pPr>
        <w:jc w:val="both"/>
        <w:rPr>
          <w:ins w:id="111" w:author="Banerjea, Raja" w:date="2016-06-09T16:15:00Z"/>
          <w:highlight w:val="yellow"/>
        </w:rPr>
      </w:pPr>
      <w:ins w:id="112" w:author="Banerjea, Raja" w:date="2016-06-09T16:15:00Z">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Add the text below to section </w:t>
        </w:r>
      </w:ins>
      <w:ins w:id="113" w:author="Banerjea, Raja" w:date="2016-06-09T16:18:00Z">
        <w:r>
          <w:rPr>
            <w:rFonts w:eastAsia="Times New Roman"/>
            <w:b/>
            <w:i/>
            <w:color w:val="000000"/>
            <w:sz w:val="20"/>
            <w:highlight w:val="yellow"/>
            <w:lang w:val="en-US"/>
          </w:rPr>
          <w:t>25.5.2.2</w:t>
        </w:r>
      </w:ins>
      <w:ins w:id="114" w:author="Banerjea, Raja" w:date="2016-06-09T16:21:00Z">
        <w:r w:rsidR="005A1FDA">
          <w:rPr>
            <w:rFonts w:eastAsia="Times New Roman"/>
            <w:b/>
            <w:i/>
            <w:color w:val="000000"/>
            <w:sz w:val="20"/>
            <w:highlight w:val="yellow"/>
            <w:lang w:val="en-US"/>
          </w:rPr>
          <w:t>.2</w:t>
        </w:r>
      </w:ins>
      <w:ins w:id="115" w:author="Banerjea, Raja" w:date="2016-06-09T16:15:00Z">
        <w:r w:rsidRPr="00C6462C">
          <w:rPr>
            <w:rFonts w:eastAsia="Times New Roman"/>
            <w:b/>
            <w:i/>
            <w:color w:val="000000"/>
            <w:sz w:val="20"/>
            <w:highlight w:val="yellow"/>
            <w:lang w:val="en-US"/>
          </w:rPr>
          <w:t>:</w:t>
        </w:r>
      </w:ins>
    </w:p>
    <w:p w14:paraId="184B6AA2" w14:textId="77777777" w:rsidR="00C3715A" w:rsidRDefault="00C3715A">
      <w:pPr>
        <w:rPr>
          <w:ins w:id="116" w:author="Banerjea, Raja" w:date="2016-06-09T16:15:00Z"/>
        </w:rPr>
      </w:pPr>
    </w:p>
    <w:p w14:paraId="2CF10D90" w14:textId="0E978261" w:rsidR="00C02FD8" w:rsidRDefault="00B80715">
      <w:ins w:id="117" w:author="Banerjea, Raja" w:date="2016-06-03T15:43:00Z">
        <w:r>
          <w:t xml:space="preserve">The responding STA shall not aggregate </w:t>
        </w:r>
      </w:ins>
      <w:ins w:id="118" w:author="Banerjea, Raja" w:date="2016-06-09T16:10:00Z">
        <w:r w:rsidR="00FC1D8E">
          <w:t xml:space="preserve">QoS Data </w:t>
        </w:r>
      </w:ins>
      <w:ins w:id="119" w:author="Banerjea, Raja" w:date="2016-06-09T16:19:00Z">
        <w:r w:rsidR="00C3715A">
          <w:t>frames</w:t>
        </w:r>
      </w:ins>
      <w:ins w:id="120" w:author="Banerjea, Raja" w:date="2016-06-03T15:43:00Z">
        <w:r>
          <w:t xml:space="preserve"> in the multi-TID A-MPDU with a number of TIDs that exceeds the value indicated in the </w:t>
        </w:r>
      </w:ins>
      <w:ins w:id="121" w:author="Banerjea, Raja" w:date="2016-06-03T15:44:00Z">
        <w:r>
          <w:t>(</w:t>
        </w:r>
      </w:ins>
      <w:ins w:id="122" w:author="Banerjea, Raja" w:date="2016-06-03T15:43:00Z">
        <w:r>
          <w:t>TID Aggregation limit</w:t>
        </w:r>
      </w:ins>
      <w:ins w:id="123" w:author="Banerjea, Raja" w:date="2016-06-03T15:44:00Z">
        <w:r>
          <w:t xml:space="preserve"> +1) </w:t>
        </w:r>
      </w:ins>
      <w:ins w:id="124" w:author="Banerjea, Raja" w:date="2016-06-03T15:43:00Z">
        <w:r>
          <w:t xml:space="preserve"> subfield</w:t>
        </w:r>
      </w:ins>
      <w:ins w:id="125" w:author="Banerjea, Raja" w:date="2016-06-14T12:10:00Z">
        <w:r w:rsidR="00050FB3">
          <w:t xml:space="preserve"> </w:t>
        </w:r>
        <w:r w:rsidR="00050FB3">
          <w:rPr>
            <w:u w:val="single"/>
          </w:rPr>
          <w:t xml:space="preserve">in the Type Dependent Per User Info field of a basic variant Trigger frame (9.3.1.23.1 </w:t>
        </w:r>
      </w:ins>
      <w:ins w:id="126" w:author="Banerjea, Raja" w:date="2016-06-14T12:11:00Z">
        <w:r w:rsidR="00050FB3">
          <w:rPr>
            <w:u w:val="single"/>
          </w:rPr>
          <w:t>Basic Trigger</w:t>
        </w:r>
      </w:ins>
      <w:ins w:id="127" w:author="Banerjea, Raja" w:date="2016-06-14T12:10:00Z">
        <w:r w:rsidR="00050FB3">
          <w:rPr>
            <w:u w:val="single"/>
          </w:rPr>
          <w:t>)</w:t>
        </w:r>
      </w:ins>
      <w:ins w:id="128" w:author="Banerjea, Raja" w:date="2016-06-03T15:43:00Z">
        <w:r>
          <w:t xml:space="preserve"> intended to it</w:t>
        </w:r>
      </w:ins>
      <w:ins w:id="129" w:author="Banerjea, Raja" w:date="2016-06-03T15:46:00Z">
        <w:r w:rsidR="0089425A">
          <w:t>.</w:t>
        </w:r>
      </w:ins>
    </w:p>
    <w:sectPr w:rsidR="00C02FD8" w:rsidSect="00A03A1C">
      <w:headerReference w:type="default" r:id="rId18"/>
      <w:footerReference w:type="default" r:id="rId1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EBFD9" w14:textId="77777777" w:rsidR="00F66254" w:rsidRDefault="00F66254">
      <w:r>
        <w:separator/>
      </w:r>
    </w:p>
  </w:endnote>
  <w:endnote w:type="continuationSeparator" w:id="0">
    <w:p w14:paraId="27AA30B5" w14:textId="77777777" w:rsidR="00F66254" w:rsidRDefault="00F6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B63CA1" w:rsidRDefault="00B63CA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DD11F9">
      <w:rPr>
        <w:noProof/>
      </w:rPr>
      <w:t>1</w:t>
    </w:r>
    <w:r>
      <w:fldChar w:fldCharType="end"/>
    </w:r>
    <w:r>
      <w:tab/>
      <w:t xml:space="preserve">Raja Banerjea, Qualcomm Inc </w:t>
    </w:r>
  </w:p>
  <w:p w14:paraId="0C819658" w14:textId="77777777" w:rsidR="00B63CA1" w:rsidRDefault="00B63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1C58D" w14:textId="77777777" w:rsidR="00F66254" w:rsidRDefault="00F66254">
      <w:r>
        <w:separator/>
      </w:r>
    </w:p>
  </w:footnote>
  <w:footnote w:type="continuationSeparator" w:id="0">
    <w:p w14:paraId="106DABFD" w14:textId="77777777" w:rsidR="00F66254" w:rsidRDefault="00F66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30CB665" w:rsidR="00B63CA1" w:rsidRDefault="000C44CB" w:rsidP="00732A32">
    <w:pPr>
      <w:pStyle w:val="Header"/>
      <w:tabs>
        <w:tab w:val="clear" w:pos="6480"/>
        <w:tab w:val="center" w:pos="4680"/>
        <w:tab w:val="right" w:pos="9360"/>
      </w:tabs>
    </w:pPr>
    <w:r>
      <w:t>May</w:t>
    </w:r>
    <w:r w:rsidR="00F66254">
      <w:fldChar w:fldCharType="begin"/>
    </w:r>
    <w:r w:rsidR="00F66254">
      <w:instrText xml:space="preserve"> KEYWORDS  \* MERGEFORMAT </w:instrText>
    </w:r>
    <w:r w:rsidR="00F66254">
      <w:fldChar w:fldCharType="separate"/>
    </w:r>
    <w:r w:rsidR="00B63CA1">
      <w:t xml:space="preserve"> 2016</w:t>
    </w:r>
    <w:r w:rsidR="00F66254">
      <w:fldChar w:fldCharType="end"/>
    </w:r>
    <w:r w:rsidR="00B63CA1">
      <w:tab/>
    </w:r>
    <w:r w:rsidR="00B63CA1">
      <w:tab/>
    </w:r>
    <w:r w:rsidR="00F66254">
      <w:fldChar w:fldCharType="begin"/>
    </w:r>
    <w:r w:rsidR="00F66254">
      <w:instrText xml:space="preserve"> TITLE  \* MERGEFORMAT </w:instrText>
    </w:r>
    <w:r w:rsidR="00F66254">
      <w:fldChar w:fldCharType="separate"/>
    </w:r>
    <w:ins w:id="130" w:author="Banerjea, Raja" w:date="2016-06-23T16:02:00Z">
      <w:r w:rsidR="00DF18BD">
        <w:t>doc.: IEEE 802.11-16/0725r3</w:t>
      </w:r>
    </w:ins>
    <w:del w:id="131" w:author="Banerjea, Raja" w:date="2016-06-23T16:02:00Z">
      <w:r w:rsidR="00D80777" w:rsidDel="00DF18BD">
        <w:delText>doc.: IEEE 802.11-16/0725r2</w:delText>
      </w:r>
    </w:del>
    <w:del w:id="132" w:author="Banerjea, Raja" w:date="2016-06-14T12:15:00Z">
      <w:r w:rsidR="002F15AE" w:rsidDel="00D80777">
        <w:delText>doc.: IEEE 802.11-16/0024r1</w:delText>
      </w:r>
    </w:del>
    <w:del w:id="133" w:author="Banerjea, Raja" w:date="2016-06-14T12:13:00Z">
      <w:r w:rsidR="002F15AE" w:rsidDel="002F15AE">
        <w:delText>0024r1</w:delText>
      </w:r>
    </w:del>
    <w:r w:rsidR="00F6625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5B28"/>
    <w:rsid w:val="0003628E"/>
    <w:rsid w:val="0003647B"/>
    <w:rsid w:val="00041CE2"/>
    <w:rsid w:val="00042283"/>
    <w:rsid w:val="000422F4"/>
    <w:rsid w:val="00043A2B"/>
    <w:rsid w:val="00044F0F"/>
    <w:rsid w:val="00047DDD"/>
    <w:rsid w:val="00047FBA"/>
    <w:rsid w:val="00050BE8"/>
    <w:rsid w:val="00050DF7"/>
    <w:rsid w:val="00050FB3"/>
    <w:rsid w:val="000513BD"/>
    <w:rsid w:val="00051571"/>
    <w:rsid w:val="00053715"/>
    <w:rsid w:val="00055361"/>
    <w:rsid w:val="00057544"/>
    <w:rsid w:val="00057931"/>
    <w:rsid w:val="00057981"/>
    <w:rsid w:val="000653AF"/>
    <w:rsid w:val="000710D7"/>
    <w:rsid w:val="00071B75"/>
    <w:rsid w:val="00074099"/>
    <w:rsid w:val="00074294"/>
    <w:rsid w:val="00081870"/>
    <w:rsid w:val="00081DB2"/>
    <w:rsid w:val="00082AE9"/>
    <w:rsid w:val="000840D0"/>
    <w:rsid w:val="00084AD1"/>
    <w:rsid w:val="00085C91"/>
    <w:rsid w:val="000863DA"/>
    <w:rsid w:val="00086463"/>
    <w:rsid w:val="000924AE"/>
    <w:rsid w:val="00093E53"/>
    <w:rsid w:val="000958CD"/>
    <w:rsid w:val="000964B6"/>
    <w:rsid w:val="000971EA"/>
    <w:rsid w:val="000977BD"/>
    <w:rsid w:val="000A04E6"/>
    <w:rsid w:val="000A2FF1"/>
    <w:rsid w:val="000A365F"/>
    <w:rsid w:val="000A6729"/>
    <w:rsid w:val="000A764C"/>
    <w:rsid w:val="000B0761"/>
    <w:rsid w:val="000B088E"/>
    <w:rsid w:val="000B0B24"/>
    <w:rsid w:val="000B490B"/>
    <w:rsid w:val="000B4A3A"/>
    <w:rsid w:val="000B7F08"/>
    <w:rsid w:val="000C01D2"/>
    <w:rsid w:val="000C285F"/>
    <w:rsid w:val="000C44CB"/>
    <w:rsid w:val="000C5A1D"/>
    <w:rsid w:val="000D11B6"/>
    <w:rsid w:val="000D180D"/>
    <w:rsid w:val="000D3B65"/>
    <w:rsid w:val="000D43F8"/>
    <w:rsid w:val="000D4C9E"/>
    <w:rsid w:val="000E151D"/>
    <w:rsid w:val="000E67E6"/>
    <w:rsid w:val="000F1E06"/>
    <w:rsid w:val="000F5794"/>
    <w:rsid w:val="000F59ED"/>
    <w:rsid w:val="000F5A3C"/>
    <w:rsid w:val="000F61F4"/>
    <w:rsid w:val="000F7452"/>
    <w:rsid w:val="001004D3"/>
    <w:rsid w:val="00104337"/>
    <w:rsid w:val="001046F3"/>
    <w:rsid w:val="0010626A"/>
    <w:rsid w:val="00107B4D"/>
    <w:rsid w:val="00107B60"/>
    <w:rsid w:val="001120E7"/>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4127"/>
    <w:rsid w:val="001469FB"/>
    <w:rsid w:val="001472D4"/>
    <w:rsid w:val="001502CE"/>
    <w:rsid w:val="001503CF"/>
    <w:rsid w:val="00150B19"/>
    <w:rsid w:val="00152467"/>
    <w:rsid w:val="001542ED"/>
    <w:rsid w:val="001547A8"/>
    <w:rsid w:val="001556E8"/>
    <w:rsid w:val="00156787"/>
    <w:rsid w:val="0015680F"/>
    <w:rsid w:val="001568DB"/>
    <w:rsid w:val="00160192"/>
    <w:rsid w:val="00160619"/>
    <w:rsid w:val="00163F1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1032"/>
    <w:rsid w:val="001B217E"/>
    <w:rsid w:val="001B2BCE"/>
    <w:rsid w:val="001B4B1C"/>
    <w:rsid w:val="001D25A0"/>
    <w:rsid w:val="001D3204"/>
    <w:rsid w:val="001D4CD9"/>
    <w:rsid w:val="001D585F"/>
    <w:rsid w:val="001D6175"/>
    <w:rsid w:val="001D723B"/>
    <w:rsid w:val="001E3BE4"/>
    <w:rsid w:val="001E47B8"/>
    <w:rsid w:val="001F376F"/>
    <w:rsid w:val="001F5A28"/>
    <w:rsid w:val="002023E1"/>
    <w:rsid w:val="0020389D"/>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441A"/>
    <w:rsid w:val="002D44BE"/>
    <w:rsid w:val="002D4CBF"/>
    <w:rsid w:val="002E1255"/>
    <w:rsid w:val="002E27A4"/>
    <w:rsid w:val="002E2DC2"/>
    <w:rsid w:val="002E35BE"/>
    <w:rsid w:val="002E5287"/>
    <w:rsid w:val="002E58AC"/>
    <w:rsid w:val="002E71FC"/>
    <w:rsid w:val="002E7A28"/>
    <w:rsid w:val="002F15AE"/>
    <w:rsid w:val="002F272A"/>
    <w:rsid w:val="002F2D4F"/>
    <w:rsid w:val="002F5C7B"/>
    <w:rsid w:val="0030326D"/>
    <w:rsid w:val="003044AC"/>
    <w:rsid w:val="00305B68"/>
    <w:rsid w:val="003065F6"/>
    <w:rsid w:val="00311BC7"/>
    <w:rsid w:val="00312897"/>
    <w:rsid w:val="00317E81"/>
    <w:rsid w:val="00326D9A"/>
    <w:rsid w:val="00327E24"/>
    <w:rsid w:val="0033024A"/>
    <w:rsid w:val="0033436F"/>
    <w:rsid w:val="003361D2"/>
    <w:rsid w:val="00340D3C"/>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3CF5"/>
    <w:rsid w:val="003B4F7E"/>
    <w:rsid w:val="003B7FE9"/>
    <w:rsid w:val="003C19C2"/>
    <w:rsid w:val="003C1BDC"/>
    <w:rsid w:val="003C292F"/>
    <w:rsid w:val="003D2021"/>
    <w:rsid w:val="003D66D1"/>
    <w:rsid w:val="003D6E7F"/>
    <w:rsid w:val="003E4185"/>
    <w:rsid w:val="003E49B0"/>
    <w:rsid w:val="003E612A"/>
    <w:rsid w:val="003F3E21"/>
    <w:rsid w:val="003F46AC"/>
    <w:rsid w:val="003F5749"/>
    <w:rsid w:val="00400943"/>
    <w:rsid w:val="00402260"/>
    <w:rsid w:val="00403B31"/>
    <w:rsid w:val="00403E81"/>
    <w:rsid w:val="004061C7"/>
    <w:rsid w:val="004066FA"/>
    <w:rsid w:val="00406D13"/>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547AF"/>
    <w:rsid w:val="00455675"/>
    <w:rsid w:val="00456C11"/>
    <w:rsid w:val="0046751B"/>
    <w:rsid w:val="004675B6"/>
    <w:rsid w:val="0047110F"/>
    <w:rsid w:val="0047111F"/>
    <w:rsid w:val="0047140F"/>
    <w:rsid w:val="00472CF7"/>
    <w:rsid w:val="00472D54"/>
    <w:rsid w:val="00475257"/>
    <w:rsid w:val="00477B34"/>
    <w:rsid w:val="00477E13"/>
    <w:rsid w:val="00481238"/>
    <w:rsid w:val="00481E33"/>
    <w:rsid w:val="00482864"/>
    <w:rsid w:val="00486994"/>
    <w:rsid w:val="00490F85"/>
    <w:rsid w:val="00496EA5"/>
    <w:rsid w:val="004A23F2"/>
    <w:rsid w:val="004A35AB"/>
    <w:rsid w:val="004A40B7"/>
    <w:rsid w:val="004A4FAA"/>
    <w:rsid w:val="004A66D0"/>
    <w:rsid w:val="004A6910"/>
    <w:rsid w:val="004B08C7"/>
    <w:rsid w:val="004B2B82"/>
    <w:rsid w:val="004B2FF8"/>
    <w:rsid w:val="004C0C4E"/>
    <w:rsid w:val="004C133A"/>
    <w:rsid w:val="004C17E4"/>
    <w:rsid w:val="004C3D5C"/>
    <w:rsid w:val="004C4208"/>
    <w:rsid w:val="004C69B5"/>
    <w:rsid w:val="004C7392"/>
    <w:rsid w:val="004D0A4F"/>
    <w:rsid w:val="004D1A49"/>
    <w:rsid w:val="004D26B9"/>
    <w:rsid w:val="004D2893"/>
    <w:rsid w:val="004D31C9"/>
    <w:rsid w:val="004D5005"/>
    <w:rsid w:val="004D536D"/>
    <w:rsid w:val="004D578D"/>
    <w:rsid w:val="004E1A38"/>
    <w:rsid w:val="004E1A97"/>
    <w:rsid w:val="004F0143"/>
    <w:rsid w:val="004F0D8B"/>
    <w:rsid w:val="004F23DC"/>
    <w:rsid w:val="004F42A4"/>
    <w:rsid w:val="004F4543"/>
    <w:rsid w:val="004F6AFF"/>
    <w:rsid w:val="004F7ACE"/>
    <w:rsid w:val="0050070B"/>
    <w:rsid w:val="00501385"/>
    <w:rsid w:val="00502B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495D"/>
    <w:rsid w:val="00577F01"/>
    <w:rsid w:val="005800F9"/>
    <w:rsid w:val="00581E00"/>
    <w:rsid w:val="00585E89"/>
    <w:rsid w:val="00590896"/>
    <w:rsid w:val="005915A7"/>
    <w:rsid w:val="0059503B"/>
    <w:rsid w:val="00596F7C"/>
    <w:rsid w:val="005A0ED7"/>
    <w:rsid w:val="005A0FA8"/>
    <w:rsid w:val="005A1FDA"/>
    <w:rsid w:val="005A232A"/>
    <w:rsid w:val="005A25F3"/>
    <w:rsid w:val="005A2C6F"/>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3215"/>
    <w:rsid w:val="005E3477"/>
    <w:rsid w:val="005E3A8F"/>
    <w:rsid w:val="005E42F4"/>
    <w:rsid w:val="005E4924"/>
    <w:rsid w:val="005E6D9B"/>
    <w:rsid w:val="005E7FCE"/>
    <w:rsid w:val="005F1713"/>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5E99"/>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1B9B"/>
    <w:rsid w:val="00652F7B"/>
    <w:rsid w:val="006539BB"/>
    <w:rsid w:val="00656E90"/>
    <w:rsid w:val="00663373"/>
    <w:rsid w:val="006644A7"/>
    <w:rsid w:val="006649FE"/>
    <w:rsid w:val="00664B2C"/>
    <w:rsid w:val="006670DF"/>
    <w:rsid w:val="00677059"/>
    <w:rsid w:val="00680C4F"/>
    <w:rsid w:val="00681FAF"/>
    <w:rsid w:val="0068272D"/>
    <w:rsid w:val="00682C6D"/>
    <w:rsid w:val="00683F6F"/>
    <w:rsid w:val="00684440"/>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1C2D"/>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5717"/>
    <w:rsid w:val="007C67E6"/>
    <w:rsid w:val="007D1702"/>
    <w:rsid w:val="007D3F71"/>
    <w:rsid w:val="007D49FE"/>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3B02"/>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013B"/>
    <w:rsid w:val="0089289E"/>
    <w:rsid w:val="00893069"/>
    <w:rsid w:val="0089425A"/>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45F7"/>
    <w:rsid w:val="008C557D"/>
    <w:rsid w:val="008C6206"/>
    <w:rsid w:val="008C63DE"/>
    <w:rsid w:val="008C6B1F"/>
    <w:rsid w:val="008D62EF"/>
    <w:rsid w:val="008E5BD1"/>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0A08"/>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9F"/>
    <w:rsid w:val="009900AE"/>
    <w:rsid w:val="00991DBD"/>
    <w:rsid w:val="0099506E"/>
    <w:rsid w:val="00995250"/>
    <w:rsid w:val="009A235C"/>
    <w:rsid w:val="009A3BCF"/>
    <w:rsid w:val="009A7820"/>
    <w:rsid w:val="009A7F20"/>
    <w:rsid w:val="009B0CBB"/>
    <w:rsid w:val="009B5811"/>
    <w:rsid w:val="009B6D7C"/>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06A1"/>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D4E2A"/>
    <w:rsid w:val="00AE2C1D"/>
    <w:rsid w:val="00AE3516"/>
    <w:rsid w:val="00AE56C0"/>
    <w:rsid w:val="00AF2C8F"/>
    <w:rsid w:val="00AF39F4"/>
    <w:rsid w:val="00AF4A59"/>
    <w:rsid w:val="00B03E1F"/>
    <w:rsid w:val="00B04997"/>
    <w:rsid w:val="00B05022"/>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0715"/>
    <w:rsid w:val="00B82C30"/>
    <w:rsid w:val="00B835E9"/>
    <w:rsid w:val="00B84531"/>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2FD8"/>
    <w:rsid w:val="00C03AA0"/>
    <w:rsid w:val="00C04D06"/>
    <w:rsid w:val="00C0540A"/>
    <w:rsid w:val="00C06F9E"/>
    <w:rsid w:val="00C07427"/>
    <w:rsid w:val="00C1327F"/>
    <w:rsid w:val="00C140D0"/>
    <w:rsid w:val="00C154C3"/>
    <w:rsid w:val="00C155F1"/>
    <w:rsid w:val="00C16C9A"/>
    <w:rsid w:val="00C25127"/>
    <w:rsid w:val="00C25750"/>
    <w:rsid w:val="00C27076"/>
    <w:rsid w:val="00C27962"/>
    <w:rsid w:val="00C27B1D"/>
    <w:rsid w:val="00C35E9D"/>
    <w:rsid w:val="00C3715A"/>
    <w:rsid w:val="00C45246"/>
    <w:rsid w:val="00C46AC7"/>
    <w:rsid w:val="00C541EC"/>
    <w:rsid w:val="00C6158E"/>
    <w:rsid w:val="00C61EF5"/>
    <w:rsid w:val="00C62682"/>
    <w:rsid w:val="00C63513"/>
    <w:rsid w:val="00C72A8B"/>
    <w:rsid w:val="00C808DA"/>
    <w:rsid w:val="00C818D7"/>
    <w:rsid w:val="00C822FB"/>
    <w:rsid w:val="00C823FA"/>
    <w:rsid w:val="00C82D24"/>
    <w:rsid w:val="00C864BA"/>
    <w:rsid w:val="00C87C5B"/>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100A"/>
    <w:rsid w:val="00D12A44"/>
    <w:rsid w:val="00D15873"/>
    <w:rsid w:val="00D16A8A"/>
    <w:rsid w:val="00D2089E"/>
    <w:rsid w:val="00D23045"/>
    <w:rsid w:val="00D234F5"/>
    <w:rsid w:val="00D2372C"/>
    <w:rsid w:val="00D2754A"/>
    <w:rsid w:val="00D31DDA"/>
    <w:rsid w:val="00D378D7"/>
    <w:rsid w:val="00D40AC6"/>
    <w:rsid w:val="00D461E0"/>
    <w:rsid w:val="00D50EE6"/>
    <w:rsid w:val="00D53380"/>
    <w:rsid w:val="00D53C8A"/>
    <w:rsid w:val="00D53E89"/>
    <w:rsid w:val="00D571BE"/>
    <w:rsid w:val="00D62906"/>
    <w:rsid w:val="00D629B9"/>
    <w:rsid w:val="00D631DB"/>
    <w:rsid w:val="00D65DBC"/>
    <w:rsid w:val="00D708EF"/>
    <w:rsid w:val="00D71969"/>
    <w:rsid w:val="00D748F9"/>
    <w:rsid w:val="00D74F15"/>
    <w:rsid w:val="00D80777"/>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C0C"/>
    <w:rsid w:val="00DC7E26"/>
    <w:rsid w:val="00DD0727"/>
    <w:rsid w:val="00DD11F9"/>
    <w:rsid w:val="00DD321A"/>
    <w:rsid w:val="00DD6F04"/>
    <w:rsid w:val="00DD7017"/>
    <w:rsid w:val="00DE10FA"/>
    <w:rsid w:val="00DE282D"/>
    <w:rsid w:val="00DE5A0B"/>
    <w:rsid w:val="00DF0AD4"/>
    <w:rsid w:val="00DF18BD"/>
    <w:rsid w:val="00DF275A"/>
    <w:rsid w:val="00DF7D3D"/>
    <w:rsid w:val="00E01B84"/>
    <w:rsid w:val="00E01E2C"/>
    <w:rsid w:val="00E0436F"/>
    <w:rsid w:val="00E0564D"/>
    <w:rsid w:val="00E05C55"/>
    <w:rsid w:val="00E11921"/>
    <w:rsid w:val="00E156F1"/>
    <w:rsid w:val="00E160D0"/>
    <w:rsid w:val="00E16BE5"/>
    <w:rsid w:val="00E173BB"/>
    <w:rsid w:val="00E20B6A"/>
    <w:rsid w:val="00E21EDD"/>
    <w:rsid w:val="00E24EC6"/>
    <w:rsid w:val="00E30CF5"/>
    <w:rsid w:val="00E30E02"/>
    <w:rsid w:val="00E3225D"/>
    <w:rsid w:val="00E32BB8"/>
    <w:rsid w:val="00E34670"/>
    <w:rsid w:val="00E35A4A"/>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45EF"/>
    <w:rsid w:val="00E85024"/>
    <w:rsid w:val="00E8734E"/>
    <w:rsid w:val="00E92CE6"/>
    <w:rsid w:val="00EA06BF"/>
    <w:rsid w:val="00EA1146"/>
    <w:rsid w:val="00EA1B76"/>
    <w:rsid w:val="00EA23D6"/>
    <w:rsid w:val="00EA6B47"/>
    <w:rsid w:val="00EB2CD0"/>
    <w:rsid w:val="00EB30F6"/>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3D15"/>
    <w:rsid w:val="00F24613"/>
    <w:rsid w:val="00F248D7"/>
    <w:rsid w:val="00F275D9"/>
    <w:rsid w:val="00F27ADA"/>
    <w:rsid w:val="00F30F0A"/>
    <w:rsid w:val="00F323D0"/>
    <w:rsid w:val="00F32B39"/>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6254"/>
    <w:rsid w:val="00F67D85"/>
    <w:rsid w:val="00F70066"/>
    <w:rsid w:val="00F70910"/>
    <w:rsid w:val="00F7439A"/>
    <w:rsid w:val="00F745D5"/>
    <w:rsid w:val="00F75356"/>
    <w:rsid w:val="00F775C9"/>
    <w:rsid w:val="00F815CA"/>
    <w:rsid w:val="00F82A01"/>
    <w:rsid w:val="00F919AA"/>
    <w:rsid w:val="00F93D29"/>
    <w:rsid w:val="00F9626C"/>
    <w:rsid w:val="00FA1DA8"/>
    <w:rsid w:val="00FA3CF4"/>
    <w:rsid w:val="00FB1D8C"/>
    <w:rsid w:val="00FB7E34"/>
    <w:rsid w:val="00FC1D8E"/>
    <w:rsid w:val="00FC2464"/>
    <w:rsid w:val="00FC54A4"/>
    <w:rsid w:val="00FC65B0"/>
    <w:rsid w:val="00FD0ECC"/>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E92AB3A0-75FC-4693-B4C5-1A50ECF1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34300644">
          <w:marLeft w:val="1166"/>
          <w:marRight w:val="0"/>
          <w:marTop w:val="67"/>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501581675">
          <w:marLeft w:val="547"/>
          <w:marRight w:val="0"/>
          <w:marTop w:val="77"/>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400257370">
          <w:marLeft w:val="1166"/>
          <w:marRight w:val="0"/>
          <w:marTop w:val="67"/>
          <w:marBottom w:val="0"/>
          <w:divBdr>
            <w:top w:val="none" w:sz="0" w:space="0" w:color="auto"/>
            <w:left w:val="none" w:sz="0" w:space="0" w:color="auto"/>
            <w:bottom w:val="none" w:sz="0" w:space="0" w:color="auto"/>
            <w:right w:val="none" w:sz="0" w:space="0" w:color="auto"/>
          </w:divBdr>
        </w:div>
        <w:div w:id="1100757686">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204873395">
          <w:marLeft w:val="1166"/>
          <w:marRight w:val="0"/>
          <w:marTop w:val="58"/>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509636391">
          <w:marLeft w:val="547"/>
          <w:marRight w:val="0"/>
          <w:marTop w:val="7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17288789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 w:id="2017612973">
          <w:marLeft w:val="547"/>
          <w:marRight w:val="0"/>
          <w:marTop w:val="5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01911647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VVZTZ3NUC4PZ-4-1305</_dlc_DocId>
    <_dlc_DocIdUrl xmlns="b2d329f4-2eee-4d90-a2ae-71a25bab89f4">
      <Url>https://projects.qualcomm.com/sites/SyZyGy/_layouts/15/DocIdRedir.aspx?ID=VVZTZ3NUC4PZ-4-1305</Url>
      <Description>VVZTZ3NUC4PZ-4-1305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E167-784E-4DD2-B986-8F03ED785041}">
  <ds:schemaRefs>
    <ds:schemaRef ds:uri="office.server.policy"/>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32A28D99-15CD-4A77-8402-091FDA7B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639</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802.11-16/0725r3</vt:lpstr>
    </vt:vector>
  </TitlesOfParts>
  <Company>Intel</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802.11-16/0725r3</dc:title>
  <dc:subject>TGac Spec Framework</dc:subject>
  <dc:creator>Robert Stacey</dc:creator>
  <cp:keywords/>
  <dc:description/>
  <cp:lastModifiedBy>Banerjea, Raja</cp:lastModifiedBy>
  <cp:revision>2</cp:revision>
  <cp:lastPrinted>2016-01-08T21:12:00Z</cp:lastPrinted>
  <dcterms:created xsi:type="dcterms:W3CDTF">2016-05-27T17:08:00Z</dcterms:created>
  <dcterms:modified xsi:type="dcterms:W3CDTF">2016-06-24T17:33:00Z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7c23ed2f-346f-41ec-b458-ee69ef49dd1e</vt:lpwstr>
  </property>
  <property fmtid="{D5CDD505-2E9C-101B-9397-08002B2CF9AE}" pid="11" name="_AdHocReviewCycleID">
    <vt:i4>-41756138</vt:i4>
  </property>
  <property fmtid="{D5CDD505-2E9C-101B-9397-08002B2CF9AE}" pid="12" name="_NewReviewCycle">
    <vt:lpwstr/>
  </property>
  <property fmtid="{D5CDD505-2E9C-101B-9397-08002B2CF9AE}" pid="13" name="_EmailSubject">
    <vt:lpwstr>Some very quick feedback for the documents.</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