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AB87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814"/>
        <w:gridCol w:w="1715"/>
        <w:gridCol w:w="1647"/>
      </w:tblGrid>
      <w:tr w:rsidR="00CA09B2" w14:paraId="0571FED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1807FB3F" w:rsidR="00CA09B2" w:rsidRDefault="00695B08" w:rsidP="00695B08">
            <w:pPr>
              <w:pStyle w:val="T2"/>
            </w:pPr>
            <w:r>
              <w:t>LB S2 Various</w:t>
            </w:r>
          </w:p>
        </w:tc>
      </w:tr>
      <w:tr w:rsidR="00CA09B2" w14:paraId="15997B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3D108B90" w:rsidR="00CA09B2" w:rsidRDefault="00CA09B2" w:rsidP="00DA09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359A">
              <w:rPr>
                <w:b w:val="0"/>
                <w:sz w:val="20"/>
              </w:rPr>
              <w:t>201</w:t>
            </w:r>
            <w:r w:rsidR="00DA09E0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695B08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DA09E0">
              <w:rPr>
                <w:b w:val="0"/>
                <w:sz w:val="20"/>
              </w:rPr>
              <w:t>18</w:t>
            </w:r>
            <w:bookmarkStart w:id="0" w:name="_GoBack"/>
            <w:bookmarkEnd w:id="0"/>
          </w:p>
        </w:tc>
      </w:tr>
      <w:tr w:rsidR="00CA09B2" w14:paraId="4CE659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DB55D1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50578EE" w14:textId="77777777" w:rsidTr="00DB55D1">
        <w:trPr>
          <w:jc w:val="center"/>
        </w:trPr>
        <w:tc>
          <w:tcPr>
            <w:tcW w:w="1818" w:type="dxa"/>
            <w:vAlign w:val="center"/>
          </w:tcPr>
          <w:p w14:paraId="5F523B26" w14:textId="77777777"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82" w:type="dxa"/>
            <w:vAlign w:val="center"/>
          </w:tcPr>
          <w:p w14:paraId="70B416D0" w14:textId="77777777"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47DC2CFD" w14:textId="77777777"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190 </w:t>
            </w:r>
            <w:proofErr w:type="spellStart"/>
            <w:r>
              <w:rPr>
                <w:b w:val="0"/>
                <w:sz w:val="20"/>
              </w:rPr>
              <w:t>Mathilda</w:t>
            </w:r>
            <w:proofErr w:type="spellEnd"/>
            <w:r>
              <w:rPr>
                <w:b w:val="0"/>
                <w:sz w:val="20"/>
              </w:rPr>
              <w:t xml:space="preserve"> Place, Sunnyvale, CA 94086</w:t>
            </w:r>
          </w:p>
        </w:tc>
        <w:tc>
          <w:tcPr>
            <w:tcW w:w="1715" w:type="dxa"/>
            <w:vAlign w:val="center"/>
          </w:tcPr>
          <w:p w14:paraId="64B6B076" w14:textId="77777777"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+1 408 543 3370</w:t>
            </w:r>
          </w:p>
        </w:tc>
        <w:tc>
          <w:tcPr>
            <w:tcW w:w="1647" w:type="dxa"/>
            <w:vAlign w:val="center"/>
          </w:tcPr>
          <w:p w14:paraId="4F9C94CE" w14:textId="77777777" w:rsidR="00CA09B2" w:rsidRDefault="00A9400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03359A" w:rsidRPr="00BC17B9">
                <w:rPr>
                  <w:rStyle w:val="Hyperlink"/>
                  <w:b w:val="0"/>
                  <w:sz w:val="16"/>
                </w:rPr>
                <w:t>mfischer@broadcom.com</w:t>
              </w:r>
            </w:hyperlink>
          </w:p>
        </w:tc>
      </w:tr>
      <w:tr w:rsidR="00CA09B2" w14:paraId="680EF782" w14:textId="77777777" w:rsidTr="00DB55D1">
        <w:trPr>
          <w:jc w:val="center"/>
        </w:trPr>
        <w:tc>
          <w:tcPr>
            <w:tcW w:w="1818" w:type="dxa"/>
            <w:vAlign w:val="center"/>
          </w:tcPr>
          <w:p w14:paraId="7DFD10FB" w14:textId="0B1C59D4" w:rsidR="00CA09B2" w:rsidRDefault="00DA09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Vinko Erceg</w:t>
            </w:r>
          </w:p>
        </w:tc>
        <w:tc>
          <w:tcPr>
            <w:tcW w:w="1582" w:type="dxa"/>
            <w:vAlign w:val="center"/>
          </w:tcPr>
          <w:p w14:paraId="70817B2C" w14:textId="47763788" w:rsidR="00CA09B2" w:rsidRDefault="00DA09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325F28E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7B182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E5A59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13B60" w14:paraId="51EBBAE0" w14:textId="77777777" w:rsidTr="00DB55D1">
        <w:trPr>
          <w:jc w:val="center"/>
        </w:trPr>
        <w:tc>
          <w:tcPr>
            <w:tcW w:w="1818" w:type="dxa"/>
            <w:vAlign w:val="center"/>
          </w:tcPr>
          <w:p w14:paraId="31F8CA1B" w14:textId="1D3D490E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306E361E" w14:textId="53286019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F1EDB3E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DCD91CC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25F0265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13B60" w14:paraId="18C8F59E" w14:textId="77777777" w:rsidTr="00DB55D1">
        <w:trPr>
          <w:jc w:val="center"/>
        </w:trPr>
        <w:tc>
          <w:tcPr>
            <w:tcW w:w="1818" w:type="dxa"/>
            <w:vAlign w:val="center"/>
          </w:tcPr>
          <w:p w14:paraId="59F09116" w14:textId="4EFB79E5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7CFADDC4" w14:textId="208025BA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F1AB42B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E7EBB25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DE7F5D" w14:textId="77777777" w:rsidR="00813B60" w:rsidRDefault="00813B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13A2C04" w14:textId="77777777"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9D77AC" wp14:editId="3804DC7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E9679" w14:textId="77777777" w:rsidR="00A9400F" w:rsidRDefault="00A940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B7E369A" w14:textId="005C4338" w:rsidR="00A9400F" w:rsidRDefault="00A9400F" w:rsidP="0043588D">
                            <w:r>
                              <w:t>This document proposes a mechanism for a receiver to request different Transmit Power settings for a transmitter.</w:t>
                            </w:r>
                          </w:p>
                          <w:p w14:paraId="581F493E" w14:textId="78B10E4A" w:rsidR="00A9400F" w:rsidRDefault="00A9400F" w:rsidP="004358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C3E9679" w14:textId="77777777" w:rsidR="00A9400F" w:rsidRDefault="00A940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B7E369A" w14:textId="005C4338" w:rsidR="00A9400F" w:rsidRDefault="00A9400F" w:rsidP="0043588D">
                      <w:r>
                        <w:t>This document proposes a mechanism for a receiver to request different Transmit Power settings for a transmitter.</w:t>
                      </w:r>
                    </w:p>
                    <w:p w14:paraId="581F493E" w14:textId="78B10E4A" w:rsidR="00A9400F" w:rsidRDefault="00A9400F" w:rsidP="0043588D"/>
                  </w:txbxContent>
                </v:textbox>
              </v:shape>
            </w:pict>
          </mc:Fallback>
        </mc:AlternateContent>
      </w:r>
    </w:p>
    <w:p w14:paraId="4FB75D9C" w14:textId="77777777" w:rsidR="00CA09B2" w:rsidRDefault="00CA09B2" w:rsidP="0003359A">
      <w:r>
        <w:br w:type="page"/>
      </w:r>
    </w:p>
    <w:p w14:paraId="488F0070" w14:textId="77777777" w:rsidR="0003359A" w:rsidRDefault="0003359A"/>
    <w:p w14:paraId="3110AF91" w14:textId="77777777" w:rsidR="00707353" w:rsidRDefault="00707353" w:rsidP="00707353">
      <w:pPr>
        <w:rPr>
          <w:sz w:val="24"/>
        </w:rPr>
      </w:pPr>
    </w:p>
    <w:p w14:paraId="682C1036" w14:textId="77777777" w:rsidR="00707353" w:rsidRPr="003508A9" w:rsidRDefault="00707353" w:rsidP="0003402B">
      <w:pPr>
        <w:outlineLvl w:val="0"/>
        <w:rPr>
          <w:b/>
          <w:sz w:val="40"/>
          <w:u w:val="single"/>
        </w:rPr>
      </w:pPr>
      <w:r w:rsidRPr="003508A9">
        <w:rPr>
          <w:b/>
          <w:sz w:val="40"/>
          <w:u w:val="single"/>
        </w:rPr>
        <w:t>REVISION NOTES:</w:t>
      </w:r>
    </w:p>
    <w:p w14:paraId="7D76CCD8" w14:textId="77777777" w:rsidR="00707353" w:rsidRDefault="00707353" w:rsidP="00707353">
      <w:pPr>
        <w:rPr>
          <w:sz w:val="24"/>
        </w:rPr>
      </w:pPr>
    </w:p>
    <w:p w14:paraId="052543CD" w14:textId="77777777" w:rsidR="000467A2" w:rsidRPr="00912A14" w:rsidRDefault="000467A2" w:rsidP="006E621A"/>
    <w:p w14:paraId="679620AD" w14:textId="0D6FC960" w:rsidR="00DA09E0" w:rsidRDefault="006E621A" w:rsidP="00F81E85">
      <w:pPr>
        <w:ind w:left="720" w:hanging="720"/>
      </w:pPr>
      <w:r w:rsidRPr="00912A14">
        <w:t>R</w:t>
      </w:r>
      <w:r w:rsidR="00DA09E0">
        <w:t>0</w:t>
      </w:r>
      <w:r w:rsidRPr="00912A14">
        <w:t xml:space="preserve">: </w:t>
      </w:r>
      <w:r w:rsidR="00F81E85" w:rsidRPr="00912A14">
        <w:tab/>
      </w:r>
      <w:r w:rsidR="00DA09E0">
        <w:t>initial</w:t>
      </w:r>
    </w:p>
    <w:p w14:paraId="2509871E" w14:textId="48F4D9D1" w:rsidR="000467A2" w:rsidRPr="00912A14" w:rsidRDefault="000467A2" w:rsidP="00F81E85"/>
    <w:p w14:paraId="79914CE2" w14:textId="77777777" w:rsidR="000467A2" w:rsidRPr="00912A14" w:rsidRDefault="000467A2" w:rsidP="000233C0">
      <w:pPr>
        <w:ind w:firstLine="720"/>
      </w:pPr>
    </w:p>
    <w:p w14:paraId="5826F3C6" w14:textId="77777777" w:rsidR="000467A2" w:rsidRDefault="000467A2" w:rsidP="00707353">
      <w:pPr>
        <w:rPr>
          <w:sz w:val="24"/>
        </w:rPr>
      </w:pPr>
    </w:p>
    <w:p w14:paraId="6962CDF7" w14:textId="0E84712C" w:rsidR="000467A2" w:rsidRDefault="000467A2">
      <w:pPr>
        <w:jc w:val="left"/>
        <w:rPr>
          <w:sz w:val="24"/>
        </w:rPr>
      </w:pPr>
      <w:r>
        <w:rPr>
          <w:sz w:val="24"/>
        </w:rPr>
        <w:br w:type="page"/>
      </w:r>
    </w:p>
    <w:p w14:paraId="09F662CE" w14:textId="77777777" w:rsidR="000467A2" w:rsidRDefault="000467A2" w:rsidP="00707353">
      <w:pPr>
        <w:rPr>
          <w:sz w:val="28"/>
        </w:rPr>
      </w:pPr>
    </w:p>
    <w:p w14:paraId="69B5C0F4" w14:textId="77777777" w:rsidR="00707353" w:rsidRDefault="00707353" w:rsidP="0003402B">
      <w:pPr>
        <w:outlineLvl w:val="0"/>
        <w:rPr>
          <w:rFonts w:eastAsia="Malgun Gothic"/>
        </w:rPr>
      </w:pPr>
      <w:r>
        <w:rPr>
          <w:rFonts w:eastAsia="Malgun Gothic"/>
        </w:rPr>
        <w:t>Interpretation of a Motion to Adopt</w:t>
      </w:r>
    </w:p>
    <w:p w14:paraId="7CB8429A" w14:textId="77777777" w:rsidR="00707353" w:rsidRDefault="00707353" w:rsidP="00707353">
      <w:pPr>
        <w:rPr>
          <w:rFonts w:eastAsia="Malgun Gothic"/>
          <w:lang w:eastAsia="ko-KR"/>
        </w:rPr>
      </w:pPr>
    </w:p>
    <w:p w14:paraId="43E018B6" w14:textId="77777777" w:rsidR="00707353" w:rsidRDefault="00707353" w:rsidP="0070735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FC4821">
        <w:rPr>
          <w:rFonts w:eastAsia="Malgun Gothic"/>
          <w:lang w:eastAsia="ko-KR"/>
        </w:rPr>
        <w:t>TGmc</w:t>
      </w:r>
      <w:proofErr w:type="spellEnd"/>
      <w:r>
        <w:rPr>
          <w:rFonts w:eastAsia="Malgun Gothic"/>
          <w:lang w:eastAsia="ko-KR"/>
        </w:rPr>
        <w:t xml:space="preserve"> Draft.  This introduction is not part of the adopted material.</w:t>
      </w:r>
    </w:p>
    <w:p w14:paraId="0720E73F" w14:textId="77777777" w:rsidR="00707353" w:rsidRDefault="00707353" w:rsidP="00707353">
      <w:pPr>
        <w:rPr>
          <w:rFonts w:eastAsia="Malgun Gothic"/>
          <w:lang w:eastAsia="ko-KR"/>
        </w:rPr>
      </w:pPr>
    </w:p>
    <w:p w14:paraId="1454094C" w14:textId="77777777" w:rsidR="00707353" w:rsidRDefault="00707353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FC4821"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6F55EEE" w14:textId="77777777" w:rsidR="00707353" w:rsidRDefault="00707353" w:rsidP="00707353">
      <w:pPr>
        <w:rPr>
          <w:rFonts w:eastAsia="Malgun Gothic"/>
          <w:lang w:eastAsia="ko-KR"/>
        </w:rPr>
      </w:pPr>
    </w:p>
    <w:p w14:paraId="3E47C4C0" w14:textId="77777777" w:rsidR="00707353" w:rsidRDefault="00FC4821" w:rsidP="00707353">
      <w:pPr>
        <w:rPr>
          <w:rFonts w:eastAsia="Malgun Gothic"/>
          <w:b/>
          <w:bCs/>
          <w:i/>
          <w:iCs/>
          <w:lang w:eastAsia="ko-KR"/>
        </w:rPr>
      </w:pP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Editor: Editing instructions preceded by “Instruction to Editor” are instructions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6253CFFE" w14:textId="77777777" w:rsidR="00707353" w:rsidRDefault="00707353" w:rsidP="00707353">
      <w:pPr>
        <w:pStyle w:val="T1"/>
        <w:spacing w:after="120"/>
        <w:jc w:val="left"/>
        <w:rPr>
          <w:b w:val="0"/>
          <w:sz w:val="22"/>
          <w:szCs w:val="22"/>
        </w:rPr>
      </w:pPr>
    </w:p>
    <w:p w14:paraId="445F1FBC" w14:textId="77777777" w:rsidR="00707353" w:rsidRDefault="00707353" w:rsidP="00707353">
      <w:pPr>
        <w:rPr>
          <w:sz w:val="24"/>
        </w:rPr>
      </w:pPr>
    </w:p>
    <w:p w14:paraId="10514EAF" w14:textId="77777777" w:rsidR="00707353" w:rsidRPr="00762366" w:rsidRDefault="00707353" w:rsidP="0003402B">
      <w:pPr>
        <w:outlineLvl w:val="0"/>
        <w:rPr>
          <w:b/>
          <w:sz w:val="48"/>
          <w:u w:val="single"/>
        </w:rPr>
      </w:pPr>
      <w:r>
        <w:rPr>
          <w:b/>
          <w:sz w:val="48"/>
          <w:u w:val="single"/>
        </w:rPr>
        <w:t>CID LIST</w:t>
      </w:r>
      <w:r w:rsidRPr="00762366">
        <w:rPr>
          <w:b/>
          <w:sz w:val="48"/>
          <w:u w:val="single"/>
        </w:rPr>
        <w:t>:</w:t>
      </w:r>
    </w:p>
    <w:p w14:paraId="1A444BD2" w14:textId="77777777" w:rsidR="00707353" w:rsidRDefault="00707353" w:rsidP="00707353">
      <w:pPr>
        <w:rPr>
          <w:sz w:val="24"/>
        </w:rPr>
      </w:pPr>
    </w:p>
    <w:p w14:paraId="148D0F11" w14:textId="77777777" w:rsidR="00DA09E0" w:rsidRDefault="00DA09E0" w:rsidP="00707353">
      <w:pPr>
        <w:rPr>
          <w:sz w:val="24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661"/>
        <w:gridCol w:w="974"/>
        <w:gridCol w:w="919"/>
        <w:gridCol w:w="611"/>
        <w:gridCol w:w="2253"/>
        <w:gridCol w:w="2160"/>
        <w:gridCol w:w="2250"/>
      </w:tblGrid>
      <w:tr w:rsidR="00DA09E0" w:rsidRPr="009806F2" w14:paraId="67884DF5" w14:textId="77777777" w:rsidTr="00DA09E0">
        <w:trPr>
          <w:trHeight w:val="506"/>
        </w:trPr>
        <w:tc>
          <w:tcPr>
            <w:tcW w:w="661" w:type="dxa"/>
          </w:tcPr>
          <w:p w14:paraId="6ECE4635" w14:textId="7323A770" w:rsidR="00DA09E0" w:rsidRPr="00DA09E0" w:rsidRDefault="00DA09E0" w:rsidP="00DA09E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A09E0">
              <w:rPr>
                <w:rFonts w:ascii="Arial" w:hAnsi="Arial" w:cs="Arial"/>
                <w:b/>
                <w:sz w:val="18"/>
                <w:szCs w:val="18"/>
                <w:lang w:val="en-US"/>
              </w:rPr>
              <w:t>CID</w:t>
            </w:r>
          </w:p>
        </w:tc>
        <w:tc>
          <w:tcPr>
            <w:tcW w:w="974" w:type="dxa"/>
          </w:tcPr>
          <w:p w14:paraId="7A6844C7" w14:textId="0F5B0694" w:rsidR="00DA09E0" w:rsidRPr="00DA09E0" w:rsidRDefault="00DA09E0" w:rsidP="00DA09E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A09E0">
              <w:rPr>
                <w:rFonts w:ascii="Arial" w:hAnsi="Arial" w:cs="Arial"/>
                <w:b/>
                <w:sz w:val="18"/>
                <w:szCs w:val="18"/>
                <w:lang w:val="en-US"/>
              </w:rPr>
              <w:t>Commenter</w:t>
            </w:r>
          </w:p>
        </w:tc>
        <w:tc>
          <w:tcPr>
            <w:tcW w:w="919" w:type="dxa"/>
          </w:tcPr>
          <w:p w14:paraId="0D238B4B" w14:textId="32181A42" w:rsidR="00DA09E0" w:rsidRPr="00DA09E0" w:rsidRDefault="00DA09E0" w:rsidP="00DA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A09E0">
              <w:rPr>
                <w:rFonts w:ascii="Arial" w:hAnsi="Arial" w:cs="Arial"/>
                <w:b/>
                <w:sz w:val="18"/>
                <w:szCs w:val="18"/>
              </w:rPr>
              <w:t>Page.Line</w:t>
            </w:r>
            <w:proofErr w:type="spellEnd"/>
          </w:p>
        </w:tc>
        <w:tc>
          <w:tcPr>
            <w:tcW w:w="611" w:type="dxa"/>
          </w:tcPr>
          <w:p w14:paraId="27A37F9C" w14:textId="5FDE79C0" w:rsidR="00DA09E0" w:rsidRPr="00DA09E0" w:rsidRDefault="00DA09E0" w:rsidP="00DA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9E0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2253" w:type="dxa"/>
          </w:tcPr>
          <w:p w14:paraId="46634276" w14:textId="1CAF3C02" w:rsidR="00DA09E0" w:rsidRPr="00DA09E0" w:rsidRDefault="00DA09E0" w:rsidP="00DA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9E0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  <w:tc>
          <w:tcPr>
            <w:tcW w:w="2160" w:type="dxa"/>
          </w:tcPr>
          <w:p w14:paraId="68F98AF2" w14:textId="35A4766F" w:rsidR="00DA09E0" w:rsidRPr="00DA09E0" w:rsidRDefault="00DA09E0" w:rsidP="00DA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9E0">
              <w:rPr>
                <w:rFonts w:ascii="Arial" w:hAnsi="Arial" w:cs="Arial"/>
                <w:b/>
                <w:sz w:val="18"/>
                <w:szCs w:val="18"/>
              </w:rPr>
              <w:t>Suggested change</w:t>
            </w:r>
          </w:p>
        </w:tc>
        <w:tc>
          <w:tcPr>
            <w:tcW w:w="2250" w:type="dxa"/>
          </w:tcPr>
          <w:p w14:paraId="48545D33" w14:textId="165DB49E" w:rsidR="00DA09E0" w:rsidRPr="00DA09E0" w:rsidRDefault="00DA09E0" w:rsidP="00DA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9E0">
              <w:rPr>
                <w:rFonts w:ascii="Arial" w:hAnsi="Arial" w:cs="Arial"/>
                <w:b/>
                <w:sz w:val="18"/>
                <w:szCs w:val="18"/>
              </w:rPr>
              <w:t>Proposed resolution</w:t>
            </w:r>
          </w:p>
        </w:tc>
      </w:tr>
      <w:tr w:rsidR="00CC793B" w:rsidRPr="009806F2" w14:paraId="7D063DA5" w14:textId="77777777" w:rsidTr="00DA09E0">
        <w:trPr>
          <w:trHeight w:val="1253"/>
        </w:trPr>
        <w:tc>
          <w:tcPr>
            <w:tcW w:w="661" w:type="dxa"/>
          </w:tcPr>
          <w:p w14:paraId="08CF304B" w14:textId="172FFAF8" w:rsidR="00CC793B" w:rsidRPr="009806F2" w:rsidRDefault="00CC793B" w:rsidP="00CC793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74" w:type="dxa"/>
          </w:tcPr>
          <w:p w14:paraId="0F7C5A95" w14:textId="26BBB737" w:rsidR="00CC793B" w:rsidRPr="009806F2" w:rsidRDefault="00CC793B" w:rsidP="00E54F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14:paraId="30ABB57C" w14:textId="0A707886" w:rsidR="00CC793B" w:rsidRPr="009806F2" w:rsidRDefault="00CC793B" w:rsidP="00CC79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</w:tcPr>
          <w:p w14:paraId="465E2818" w14:textId="17CC615B" w:rsidR="00CC793B" w:rsidRPr="009806F2" w:rsidRDefault="00CC793B" w:rsidP="00033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534F697" w14:textId="16BFAE23" w:rsidR="00CC793B" w:rsidRPr="009806F2" w:rsidRDefault="00CC793B" w:rsidP="004628C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BE4B879" w14:textId="52883288" w:rsidR="00CC793B" w:rsidRPr="009806F2" w:rsidRDefault="00CC793B" w:rsidP="004628C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085EDF3" w14:textId="4E075FA0" w:rsidR="00CC793B" w:rsidRPr="009806F2" w:rsidRDefault="00CC793B" w:rsidP="00CB4A3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2ACD43" w14:textId="77777777" w:rsidR="0003359A" w:rsidRDefault="0003359A">
      <w:pPr>
        <w:rPr>
          <w:sz w:val="24"/>
        </w:rPr>
      </w:pPr>
    </w:p>
    <w:p w14:paraId="58FAECD1" w14:textId="77777777" w:rsidR="000724E9" w:rsidRDefault="000724E9">
      <w:pPr>
        <w:rPr>
          <w:sz w:val="24"/>
        </w:rPr>
      </w:pPr>
    </w:p>
    <w:p w14:paraId="741D7F25" w14:textId="77777777" w:rsidR="006A74AF" w:rsidRDefault="006A74AF">
      <w:pPr>
        <w:rPr>
          <w:sz w:val="24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661"/>
        <w:gridCol w:w="905"/>
        <w:gridCol w:w="939"/>
        <w:gridCol w:w="753"/>
        <w:gridCol w:w="2160"/>
        <w:gridCol w:w="2160"/>
        <w:gridCol w:w="2250"/>
      </w:tblGrid>
      <w:tr w:rsidR="006A74AF" w:rsidRPr="000724E9" w14:paraId="2B12FD90" w14:textId="77777777" w:rsidTr="006A74AF">
        <w:trPr>
          <w:trHeight w:val="2550"/>
        </w:trPr>
        <w:tc>
          <w:tcPr>
            <w:tcW w:w="661" w:type="dxa"/>
            <w:hideMark/>
          </w:tcPr>
          <w:p w14:paraId="2E411B57" w14:textId="77777777" w:rsidR="006A74AF" w:rsidRPr="000724E9" w:rsidRDefault="006A74AF" w:rsidP="000724E9">
            <w:pPr>
              <w:jc w:val="right"/>
              <w:rPr>
                <w:rFonts w:ascii="Arial" w:hAnsi="Arial" w:cs="Arial"/>
                <w:highlight w:val="yellow"/>
                <w:lang w:val="en-US"/>
              </w:rPr>
            </w:pPr>
            <w:r w:rsidRPr="000724E9">
              <w:rPr>
                <w:rFonts w:ascii="Arial" w:hAnsi="Arial" w:cs="Arial"/>
                <w:highlight w:val="yellow"/>
                <w:lang w:val="en-US"/>
              </w:rPr>
              <w:t>7222</w:t>
            </w:r>
          </w:p>
        </w:tc>
        <w:tc>
          <w:tcPr>
            <w:tcW w:w="905" w:type="dxa"/>
            <w:hideMark/>
          </w:tcPr>
          <w:p w14:paraId="12C2A782" w14:textId="77777777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RISON, Mark</w:t>
            </w:r>
          </w:p>
        </w:tc>
        <w:tc>
          <w:tcPr>
            <w:tcW w:w="939" w:type="dxa"/>
            <w:hideMark/>
          </w:tcPr>
          <w:p w14:paraId="73B41FA2" w14:textId="77777777" w:rsidR="006A74AF" w:rsidRPr="000724E9" w:rsidRDefault="006A74AF" w:rsidP="000724E9">
            <w:pPr>
              <w:jc w:val="righ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1453.04</w:t>
            </w:r>
          </w:p>
        </w:tc>
        <w:tc>
          <w:tcPr>
            <w:tcW w:w="753" w:type="dxa"/>
            <w:hideMark/>
          </w:tcPr>
          <w:p w14:paraId="7447EEB2" w14:textId="0E1327EB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10.32.3</w:t>
            </w:r>
          </w:p>
        </w:tc>
        <w:tc>
          <w:tcPr>
            <w:tcW w:w="2160" w:type="dxa"/>
            <w:hideMark/>
          </w:tcPr>
          <w:p w14:paraId="7970B0B4" w14:textId="5226B886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 xml:space="preserve">What does "An HT </w:t>
            </w:r>
            <w:proofErr w:type="spellStart"/>
            <w:r w:rsidRPr="000724E9">
              <w:rPr>
                <w:rFonts w:ascii="Arial" w:hAnsi="Arial" w:cs="Arial"/>
                <w:lang w:val="en-US"/>
              </w:rPr>
              <w:t>beamformer</w:t>
            </w:r>
            <w:proofErr w:type="spellEnd"/>
            <w:r w:rsidRPr="000724E9">
              <w:rPr>
                <w:rFonts w:ascii="Arial" w:hAnsi="Arial" w:cs="Arial"/>
                <w:lang w:val="en-US"/>
              </w:rPr>
              <w:t xml:space="preserve"> may use the following worst-case parameters to estimate the duration of the expected frame that contains the feedback response: Basic HT-MCS, HT-Mixed Format, Supported Grouping." mean?  Also the cases are wrong</w:t>
            </w:r>
          </w:p>
        </w:tc>
        <w:tc>
          <w:tcPr>
            <w:tcW w:w="2160" w:type="dxa"/>
            <w:hideMark/>
          </w:tcPr>
          <w:p w14:paraId="7337F042" w14:textId="77777777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 xml:space="preserve">Change to "An HT </w:t>
            </w:r>
            <w:proofErr w:type="spellStart"/>
            <w:r w:rsidRPr="000724E9">
              <w:rPr>
                <w:rFonts w:ascii="Arial" w:hAnsi="Arial" w:cs="Arial"/>
                <w:lang w:val="en-US"/>
              </w:rPr>
              <w:t>beamformer</w:t>
            </w:r>
            <w:proofErr w:type="spellEnd"/>
            <w:r w:rsidRPr="000724E9">
              <w:rPr>
                <w:rFonts w:ascii="Arial" w:hAnsi="Arial" w:cs="Arial"/>
                <w:lang w:val="en-US"/>
              </w:rPr>
              <w:t xml:space="preserve"> may use the following worst-case parameters to estimate the duration of the expected frame that contains the feedback response: lowest rate in basic HT-MCS set, HT-mixed format, no grouping."</w:t>
            </w:r>
          </w:p>
        </w:tc>
        <w:tc>
          <w:tcPr>
            <w:tcW w:w="2250" w:type="dxa"/>
            <w:hideMark/>
          </w:tcPr>
          <w:p w14:paraId="44091261" w14:textId="3460EBD4" w:rsidR="006A74AF" w:rsidRPr="000724E9" w:rsidRDefault="00FE6E1A" w:rsidP="000724E9">
            <w:pPr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Accept</w:t>
            </w:r>
          </w:p>
        </w:tc>
      </w:tr>
      <w:tr w:rsidR="006A74AF" w:rsidRPr="000724E9" w14:paraId="4D4CA285" w14:textId="77777777" w:rsidTr="006A74AF">
        <w:trPr>
          <w:trHeight w:val="2295"/>
        </w:trPr>
        <w:tc>
          <w:tcPr>
            <w:tcW w:w="661" w:type="dxa"/>
            <w:hideMark/>
          </w:tcPr>
          <w:p w14:paraId="12964D7D" w14:textId="77777777" w:rsidR="006A74AF" w:rsidRPr="000724E9" w:rsidRDefault="006A74AF" w:rsidP="000724E9">
            <w:pPr>
              <w:jc w:val="right"/>
              <w:rPr>
                <w:rFonts w:ascii="Arial" w:hAnsi="Arial" w:cs="Arial"/>
                <w:highlight w:val="yellow"/>
                <w:lang w:val="en-US"/>
              </w:rPr>
            </w:pPr>
            <w:r w:rsidRPr="000724E9">
              <w:rPr>
                <w:rFonts w:ascii="Arial" w:hAnsi="Arial" w:cs="Arial"/>
                <w:highlight w:val="yellow"/>
                <w:lang w:val="en-US"/>
              </w:rPr>
              <w:t>7223</w:t>
            </w:r>
          </w:p>
        </w:tc>
        <w:tc>
          <w:tcPr>
            <w:tcW w:w="905" w:type="dxa"/>
            <w:hideMark/>
          </w:tcPr>
          <w:p w14:paraId="2B277586" w14:textId="77777777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RISON, Mark</w:t>
            </w:r>
          </w:p>
        </w:tc>
        <w:tc>
          <w:tcPr>
            <w:tcW w:w="939" w:type="dxa"/>
            <w:hideMark/>
          </w:tcPr>
          <w:p w14:paraId="3E73E143" w14:textId="77777777" w:rsidR="006A74AF" w:rsidRPr="000724E9" w:rsidRDefault="006A74AF" w:rsidP="000724E9">
            <w:pPr>
              <w:jc w:val="righ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1453.04</w:t>
            </w:r>
          </w:p>
        </w:tc>
        <w:tc>
          <w:tcPr>
            <w:tcW w:w="753" w:type="dxa"/>
            <w:hideMark/>
          </w:tcPr>
          <w:p w14:paraId="4CFEF743" w14:textId="60880A20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10.32.3</w:t>
            </w:r>
          </w:p>
        </w:tc>
        <w:tc>
          <w:tcPr>
            <w:tcW w:w="2160" w:type="dxa"/>
            <w:hideMark/>
          </w:tcPr>
          <w:p w14:paraId="121D547D" w14:textId="0F0D11CB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 xml:space="preserve">"An HT </w:t>
            </w:r>
            <w:proofErr w:type="spellStart"/>
            <w:r w:rsidRPr="000724E9">
              <w:rPr>
                <w:rFonts w:ascii="Arial" w:hAnsi="Arial" w:cs="Arial"/>
                <w:lang w:val="en-US"/>
              </w:rPr>
              <w:t>beamformer</w:t>
            </w:r>
            <w:proofErr w:type="spellEnd"/>
            <w:r w:rsidRPr="000724E9">
              <w:rPr>
                <w:rFonts w:ascii="Arial" w:hAnsi="Arial" w:cs="Arial"/>
                <w:lang w:val="en-US"/>
              </w:rPr>
              <w:t xml:space="preserve"> may use the following worst-case parameters to estimate the duration of the expected frame that contains the feedback response: Basic HT-MCS, HT-Mixed Format, </w:t>
            </w:r>
            <w:proofErr w:type="gramStart"/>
            <w:r w:rsidRPr="000724E9">
              <w:rPr>
                <w:rFonts w:ascii="Arial" w:hAnsi="Arial" w:cs="Arial"/>
                <w:lang w:val="en-US"/>
              </w:rPr>
              <w:t>Supported</w:t>
            </w:r>
            <w:proofErr w:type="gramEnd"/>
            <w:r w:rsidRPr="000724E9">
              <w:rPr>
                <w:rFonts w:ascii="Arial" w:hAnsi="Arial" w:cs="Arial"/>
                <w:lang w:val="en-US"/>
              </w:rPr>
              <w:t xml:space="preserve"> Grouping." -- what about a VHT </w:t>
            </w:r>
            <w:proofErr w:type="spellStart"/>
            <w:r w:rsidRPr="000724E9">
              <w:rPr>
                <w:rFonts w:ascii="Arial" w:hAnsi="Arial" w:cs="Arial"/>
                <w:lang w:val="en-US"/>
              </w:rPr>
              <w:t>beamformer</w:t>
            </w:r>
            <w:proofErr w:type="spellEnd"/>
          </w:p>
        </w:tc>
        <w:tc>
          <w:tcPr>
            <w:tcW w:w="2160" w:type="dxa"/>
            <w:hideMark/>
          </w:tcPr>
          <w:p w14:paraId="0A3F046C" w14:textId="77777777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 xml:space="preserve">Add an equivalent statement to the VHT BF </w:t>
            </w:r>
            <w:proofErr w:type="spellStart"/>
            <w:r w:rsidRPr="000724E9">
              <w:rPr>
                <w:rFonts w:ascii="Arial" w:hAnsi="Arial" w:cs="Arial"/>
                <w:lang w:val="en-US"/>
              </w:rPr>
              <w:t>subclause</w:t>
            </w:r>
            <w:proofErr w:type="spellEnd"/>
            <w:r w:rsidRPr="000724E9">
              <w:rPr>
                <w:rFonts w:ascii="Arial" w:hAnsi="Arial" w:cs="Arial"/>
                <w:lang w:val="en-US"/>
              </w:rPr>
              <w:t xml:space="preserve"> (10.34.5)</w:t>
            </w:r>
          </w:p>
        </w:tc>
        <w:tc>
          <w:tcPr>
            <w:tcW w:w="2250" w:type="dxa"/>
            <w:hideMark/>
          </w:tcPr>
          <w:p w14:paraId="4596D851" w14:textId="711A4704" w:rsidR="00A9400F" w:rsidRPr="00A9400F" w:rsidRDefault="00FE6E1A" w:rsidP="00A9400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val="en-US"/>
              </w:rPr>
            </w:pPr>
            <w:r w:rsidRPr="00A9400F">
              <w:rPr>
                <w:rFonts w:ascii="Arial" w:hAnsi="Arial" w:cs="Arial"/>
                <w:lang w:val="en-US"/>
              </w:rPr>
              <w:t>Revise – add the text – “</w:t>
            </w:r>
            <w:r w:rsidRPr="000724E9">
              <w:rPr>
                <w:rFonts w:ascii="Arial" w:hAnsi="Arial" w:cs="Arial"/>
                <w:lang w:val="en-US"/>
              </w:rPr>
              <w:t xml:space="preserve">A </w:t>
            </w:r>
            <w:r w:rsidRPr="00A9400F">
              <w:rPr>
                <w:rFonts w:ascii="Arial" w:hAnsi="Arial" w:cs="Arial"/>
                <w:lang w:val="en-US"/>
              </w:rPr>
              <w:t>V</w:t>
            </w:r>
            <w:r w:rsidRPr="000724E9">
              <w:rPr>
                <w:rFonts w:ascii="Arial" w:hAnsi="Arial" w:cs="Arial"/>
                <w:lang w:val="en-US"/>
              </w:rPr>
              <w:t xml:space="preserve">HT </w:t>
            </w:r>
            <w:proofErr w:type="spellStart"/>
            <w:r w:rsidRPr="000724E9">
              <w:rPr>
                <w:rFonts w:ascii="Arial" w:hAnsi="Arial" w:cs="Arial"/>
                <w:lang w:val="en-US"/>
              </w:rPr>
              <w:t>beamformer</w:t>
            </w:r>
            <w:proofErr w:type="spellEnd"/>
            <w:r w:rsidRPr="000724E9">
              <w:rPr>
                <w:rFonts w:ascii="Arial" w:hAnsi="Arial" w:cs="Arial"/>
                <w:lang w:val="en-US"/>
              </w:rPr>
              <w:t xml:space="preserve"> may use the following worst-case parameters to estimate the duration of the expected frame</w:t>
            </w:r>
            <w:r w:rsidR="00A9400F" w:rsidRPr="00A9400F">
              <w:rPr>
                <w:rFonts w:ascii="Arial" w:hAnsi="Arial" w:cs="Arial"/>
                <w:lang w:val="en-US"/>
              </w:rPr>
              <w:t>(s) that contain(s)</w:t>
            </w:r>
            <w:r w:rsidRPr="000724E9">
              <w:rPr>
                <w:rFonts w:ascii="Arial" w:hAnsi="Arial" w:cs="Arial"/>
                <w:lang w:val="en-US"/>
              </w:rPr>
              <w:t xml:space="preserve"> the feedback response</w:t>
            </w:r>
            <w:r w:rsidR="00A9400F" w:rsidRPr="00A9400F">
              <w:rPr>
                <w:rFonts w:ascii="Arial" w:hAnsi="Arial" w:cs="Arial"/>
                <w:lang w:val="en-US"/>
              </w:rPr>
              <w:t>(s)</w:t>
            </w:r>
            <w:r w:rsidRPr="000724E9">
              <w:rPr>
                <w:rFonts w:ascii="Arial" w:hAnsi="Arial" w:cs="Arial"/>
                <w:lang w:val="en-US"/>
              </w:rPr>
              <w:t xml:space="preserve">: lowest rate in basic </w:t>
            </w:r>
            <w:r w:rsidRPr="00A9400F">
              <w:rPr>
                <w:rFonts w:ascii="Arial" w:hAnsi="Arial" w:cs="Arial"/>
                <w:lang w:val="en-US"/>
              </w:rPr>
              <w:t>V</w:t>
            </w:r>
            <w:r w:rsidRPr="000724E9">
              <w:rPr>
                <w:rFonts w:ascii="Arial" w:hAnsi="Arial" w:cs="Arial"/>
                <w:lang w:val="en-US"/>
              </w:rPr>
              <w:t xml:space="preserve">HT-MCS set, </w:t>
            </w:r>
            <w:r w:rsidR="00A9400F" w:rsidRPr="00A9400F">
              <w:rPr>
                <w:rFonts w:ascii="Arial" w:hAnsi="Arial" w:cs="Arial"/>
                <w:lang w:val="en-US"/>
              </w:rPr>
              <w:t>no grouping</w:t>
            </w:r>
            <w:r w:rsidRPr="00A9400F">
              <w:rPr>
                <w:rFonts w:ascii="Arial" w:hAnsi="Arial" w:cs="Arial"/>
                <w:lang w:val="en-US"/>
              </w:rPr>
              <w:t>.”</w:t>
            </w:r>
            <w:r w:rsidR="00A9400F" w:rsidRPr="00A9400F">
              <w:rPr>
                <w:rFonts w:ascii="Arial" w:hAnsi="Arial" w:cs="Arial"/>
                <w:lang w:val="en-US"/>
              </w:rPr>
              <w:t xml:space="preserve"> Within </w:t>
            </w:r>
            <w:proofErr w:type="spellStart"/>
            <w:r w:rsidR="00A9400F" w:rsidRPr="00A9400F">
              <w:rPr>
                <w:rFonts w:ascii="Arial" w:hAnsi="Arial" w:cs="Arial"/>
                <w:lang w:val="en-US"/>
              </w:rPr>
              <w:t>subclause</w:t>
            </w:r>
            <w:proofErr w:type="spellEnd"/>
            <w:r w:rsidR="00A9400F" w:rsidRPr="00A9400F">
              <w:rPr>
                <w:rFonts w:ascii="Arial" w:hAnsi="Arial" w:cs="Arial"/>
                <w:lang w:val="en-US"/>
              </w:rPr>
              <w:t xml:space="preserve"> </w:t>
            </w:r>
            <w:r w:rsidR="00A9400F" w:rsidRPr="00A9400F">
              <w:rPr>
                <w:rFonts w:ascii="Arial" w:hAnsi="Arial" w:cs="Arial"/>
                <w:bCs/>
                <w:lang w:val="en-US"/>
              </w:rPr>
              <w:t xml:space="preserve">10.34.5.2 Rules for VHT </w:t>
            </w:r>
            <w:r w:rsidR="00A9400F" w:rsidRPr="00A9400F">
              <w:rPr>
                <w:rFonts w:ascii="Arial" w:hAnsi="Arial" w:cs="Arial"/>
                <w:bCs/>
                <w:lang w:val="en-US"/>
              </w:rPr>
              <w:lastRenderedPageBreak/>
              <w:t xml:space="preserve">sounding protocol sequences </w:t>
            </w:r>
            <w:r w:rsidR="00A9400F" w:rsidRPr="00A9400F">
              <w:rPr>
                <w:rFonts w:ascii="Arial" w:hAnsi="Arial" w:cs="Arial"/>
                <w:lang w:val="en-US"/>
              </w:rPr>
              <w:t xml:space="preserve">as a new paragraph, immediately following the paragraph that begins with “A VHT </w:t>
            </w:r>
            <w:proofErr w:type="spellStart"/>
            <w:r w:rsidR="00A9400F" w:rsidRPr="00A9400F">
              <w:rPr>
                <w:rFonts w:ascii="Arial" w:hAnsi="Arial" w:cs="Arial"/>
                <w:lang w:val="en-US"/>
              </w:rPr>
              <w:t>beamformer</w:t>
            </w:r>
            <w:proofErr w:type="spellEnd"/>
            <w:r w:rsidR="00A9400F" w:rsidRPr="00A9400F">
              <w:rPr>
                <w:rFonts w:ascii="Arial" w:hAnsi="Arial" w:cs="Arial"/>
                <w:lang w:val="en-US"/>
              </w:rPr>
              <w:t xml:space="preserve"> that transmits a VHT NDP Announcement frame with more than one STA Info field</w:t>
            </w:r>
          </w:p>
          <w:p w14:paraId="2E9961E0" w14:textId="7085072E" w:rsidR="006A74AF" w:rsidRPr="000724E9" w:rsidRDefault="00A9400F" w:rsidP="00A9400F">
            <w:pPr>
              <w:jc w:val="left"/>
              <w:rPr>
                <w:rFonts w:ascii="Arial" w:hAnsi="Arial" w:cs="Arial"/>
                <w:lang w:val="en-US"/>
              </w:rPr>
            </w:pPr>
            <w:r w:rsidRPr="00A9400F">
              <w:rPr>
                <w:rFonts w:ascii="Arial" w:hAnsi="Arial" w:cs="Arial"/>
                <w:lang w:val="en-US"/>
              </w:rPr>
              <w:t xml:space="preserve">should transmit any </w:t>
            </w:r>
            <w:proofErr w:type="spellStart"/>
            <w:r w:rsidRPr="00A9400F">
              <w:rPr>
                <w:rFonts w:ascii="Arial" w:hAnsi="Arial" w:cs="Arial"/>
                <w:lang w:val="en-US"/>
              </w:rPr>
              <w:t>Beamforming</w:t>
            </w:r>
            <w:proofErr w:type="spellEnd"/>
            <w:r w:rsidRPr="00A9400F">
              <w:rPr>
                <w:rFonts w:ascii="Arial" w:hAnsi="Arial" w:cs="Arial"/>
                <w:lang w:val="en-US"/>
              </w:rPr>
              <w:t xml:space="preserve"> Report Poll frames used to retrieve”</w:t>
            </w:r>
          </w:p>
        </w:tc>
      </w:tr>
      <w:tr w:rsidR="006A74AF" w:rsidRPr="000724E9" w14:paraId="503DAC06" w14:textId="77777777" w:rsidTr="006A74AF">
        <w:trPr>
          <w:trHeight w:val="2805"/>
        </w:trPr>
        <w:tc>
          <w:tcPr>
            <w:tcW w:w="661" w:type="dxa"/>
            <w:hideMark/>
          </w:tcPr>
          <w:p w14:paraId="64A7B593" w14:textId="77777777" w:rsidR="006A74AF" w:rsidRPr="000724E9" w:rsidRDefault="006A74AF" w:rsidP="000724E9">
            <w:pPr>
              <w:jc w:val="right"/>
              <w:rPr>
                <w:rFonts w:ascii="Arial" w:hAnsi="Arial" w:cs="Arial"/>
                <w:highlight w:val="yellow"/>
                <w:lang w:val="en-US"/>
              </w:rPr>
            </w:pPr>
            <w:r w:rsidRPr="000724E9">
              <w:rPr>
                <w:rFonts w:ascii="Arial" w:hAnsi="Arial" w:cs="Arial"/>
                <w:highlight w:val="yellow"/>
                <w:lang w:val="en-US"/>
              </w:rPr>
              <w:lastRenderedPageBreak/>
              <w:t>7762</w:t>
            </w:r>
          </w:p>
        </w:tc>
        <w:tc>
          <w:tcPr>
            <w:tcW w:w="905" w:type="dxa"/>
            <w:hideMark/>
          </w:tcPr>
          <w:p w14:paraId="10EDA22B" w14:textId="77777777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RISON, Mark</w:t>
            </w:r>
          </w:p>
        </w:tc>
        <w:tc>
          <w:tcPr>
            <w:tcW w:w="939" w:type="dxa"/>
            <w:hideMark/>
          </w:tcPr>
          <w:p w14:paraId="6593379E" w14:textId="77777777" w:rsidR="006A74AF" w:rsidRPr="000724E9" w:rsidRDefault="006A74AF" w:rsidP="000724E9">
            <w:pPr>
              <w:jc w:val="righ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1449.30</w:t>
            </w:r>
          </w:p>
        </w:tc>
        <w:tc>
          <w:tcPr>
            <w:tcW w:w="753" w:type="dxa"/>
            <w:hideMark/>
          </w:tcPr>
          <w:p w14:paraId="5EB85742" w14:textId="05913500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10.32.3</w:t>
            </w:r>
          </w:p>
        </w:tc>
        <w:tc>
          <w:tcPr>
            <w:tcW w:w="2160" w:type="dxa"/>
            <w:hideMark/>
          </w:tcPr>
          <w:p w14:paraId="29CB06CD" w14:textId="6D836FBA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 xml:space="preserve">"The procedures in this </w:t>
            </w:r>
            <w:proofErr w:type="spellStart"/>
            <w:r w:rsidRPr="000724E9">
              <w:rPr>
                <w:rFonts w:ascii="Arial" w:hAnsi="Arial" w:cs="Arial"/>
                <w:lang w:val="en-US"/>
              </w:rPr>
              <w:t>subclause</w:t>
            </w:r>
            <w:proofErr w:type="spellEnd"/>
            <w:r w:rsidRPr="000724E9">
              <w:rPr>
                <w:rFonts w:ascii="Arial" w:hAnsi="Arial" w:cs="Arial"/>
                <w:lang w:val="en-US"/>
              </w:rPr>
              <w:t xml:space="preserve"> apply only to HT and non-HT PPDUs for which the HT Control field, if</w:t>
            </w:r>
            <w:r w:rsidRPr="000724E9">
              <w:rPr>
                <w:rFonts w:ascii="Arial" w:hAnsi="Arial" w:cs="Arial"/>
                <w:lang w:val="en-US"/>
              </w:rPr>
              <w:br/>
              <w:t xml:space="preserve">present, is the HT variant HT Control field." -- is this sufficiently clear that the </w:t>
            </w:r>
            <w:proofErr w:type="spellStart"/>
            <w:r w:rsidRPr="000724E9">
              <w:rPr>
                <w:rFonts w:ascii="Arial" w:hAnsi="Arial" w:cs="Arial"/>
                <w:lang w:val="en-US"/>
              </w:rPr>
              <w:t>subclause</w:t>
            </w:r>
            <w:proofErr w:type="spellEnd"/>
            <w:r w:rsidRPr="000724E9">
              <w:rPr>
                <w:rFonts w:ascii="Arial" w:hAnsi="Arial" w:cs="Arial"/>
                <w:lang w:val="en-US"/>
              </w:rPr>
              <w:t xml:space="preserve"> is only for non-VHT STAs?  VHT STAs can sent HT variant HTCs, after all</w:t>
            </w:r>
          </w:p>
        </w:tc>
        <w:tc>
          <w:tcPr>
            <w:tcW w:w="2160" w:type="dxa"/>
            <w:hideMark/>
          </w:tcPr>
          <w:p w14:paraId="6CD0B25F" w14:textId="77777777" w:rsidR="006A74AF" w:rsidRPr="000724E9" w:rsidRDefault="006A74AF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As it says in the comment</w:t>
            </w:r>
          </w:p>
        </w:tc>
        <w:tc>
          <w:tcPr>
            <w:tcW w:w="2250" w:type="dxa"/>
            <w:hideMark/>
          </w:tcPr>
          <w:p w14:paraId="1D57E6CB" w14:textId="7F3E3CA8" w:rsidR="006A74AF" w:rsidRPr="000724E9" w:rsidRDefault="006571AB" w:rsidP="000724E9">
            <w:pPr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Reject – the </w:t>
            </w:r>
            <w:proofErr w:type="spellStart"/>
            <w:r>
              <w:rPr>
                <w:rFonts w:ascii="Arial" w:hAnsi="Arial" w:cs="Arial"/>
                <w:lang w:val="en-US"/>
              </w:rPr>
              <w:t>subclause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is not for HT STA, it is for any STA that supports </w:t>
            </w:r>
            <w:proofErr w:type="spellStart"/>
            <w:r>
              <w:rPr>
                <w:rFonts w:ascii="Arial" w:hAnsi="Arial" w:cs="Arial"/>
                <w:lang w:val="en-US"/>
              </w:rPr>
              <w:t>HTfunctionality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Currently, only HT and VHT STA can advertise support for +HTC, and both of these STA types can use the procedures in this </w:t>
            </w:r>
            <w:proofErr w:type="spellStart"/>
            <w:r>
              <w:rPr>
                <w:rFonts w:ascii="Arial" w:hAnsi="Arial" w:cs="Arial"/>
                <w:lang w:val="en-US"/>
              </w:rPr>
              <w:t>subclause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6571AB" w:rsidRPr="000724E9" w14:paraId="1716B657" w14:textId="77777777" w:rsidTr="006A74AF">
        <w:trPr>
          <w:trHeight w:val="2805"/>
        </w:trPr>
        <w:tc>
          <w:tcPr>
            <w:tcW w:w="661" w:type="dxa"/>
            <w:hideMark/>
          </w:tcPr>
          <w:p w14:paraId="68FD3772" w14:textId="77777777" w:rsidR="006571AB" w:rsidRPr="000724E9" w:rsidRDefault="006571AB" w:rsidP="000724E9">
            <w:pPr>
              <w:jc w:val="right"/>
              <w:rPr>
                <w:rFonts w:ascii="Arial" w:hAnsi="Arial" w:cs="Arial"/>
                <w:highlight w:val="yellow"/>
                <w:lang w:val="en-US"/>
              </w:rPr>
            </w:pPr>
            <w:r w:rsidRPr="000724E9">
              <w:rPr>
                <w:rFonts w:ascii="Arial" w:hAnsi="Arial" w:cs="Arial"/>
                <w:highlight w:val="yellow"/>
                <w:lang w:val="en-US"/>
              </w:rPr>
              <w:t>7763</w:t>
            </w:r>
          </w:p>
        </w:tc>
        <w:tc>
          <w:tcPr>
            <w:tcW w:w="905" w:type="dxa"/>
            <w:hideMark/>
          </w:tcPr>
          <w:p w14:paraId="55450560" w14:textId="77777777" w:rsidR="006571AB" w:rsidRPr="000724E9" w:rsidRDefault="006571AB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RISON, Mark</w:t>
            </w:r>
          </w:p>
        </w:tc>
        <w:tc>
          <w:tcPr>
            <w:tcW w:w="939" w:type="dxa"/>
            <w:hideMark/>
          </w:tcPr>
          <w:p w14:paraId="76FEE21D" w14:textId="77777777" w:rsidR="006571AB" w:rsidRPr="000724E9" w:rsidRDefault="006571AB" w:rsidP="000724E9">
            <w:pPr>
              <w:jc w:val="righ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1453.44</w:t>
            </w:r>
          </w:p>
        </w:tc>
        <w:tc>
          <w:tcPr>
            <w:tcW w:w="753" w:type="dxa"/>
            <w:hideMark/>
          </w:tcPr>
          <w:p w14:paraId="3C76EEB8" w14:textId="6F6EDE1E" w:rsidR="006571AB" w:rsidRPr="000724E9" w:rsidRDefault="006571AB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10.33.1</w:t>
            </w:r>
          </w:p>
        </w:tc>
        <w:tc>
          <w:tcPr>
            <w:tcW w:w="2160" w:type="dxa"/>
            <w:hideMark/>
          </w:tcPr>
          <w:p w14:paraId="260BE324" w14:textId="279CAE79" w:rsidR="006571AB" w:rsidRPr="000724E9" w:rsidRDefault="006571AB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 xml:space="preserve">"The procedures in this </w:t>
            </w:r>
            <w:proofErr w:type="spellStart"/>
            <w:r w:rsidRPr="000724E9">
              <w:rPr>
                <w:rFonts w:ascii="Arial" w:hAnsi="Arial" w:cs="Arial"/>
                <w:lang w:val="en-US"/>
              </w:rPr>
              <w:t>subclause</w:t>
            </w:r>
            <w:proofErr w:type="spellEnd"/>
            <w:r w:rsidRPr="000724E9">
              <w:rPr>
                <w:rFonts w:ascii="Arial" w:hAnsi="Arial" w:cs="Arial"/>
                <w:lang w:val="en-US"/>
              </w:rPr>
              <w:t xml:space="preserve"> apply only to HT and non-HT PPDUs for which the HT Control field, if</w:t>
            </w:r>
            <w:r w:rsidRPr="000724E9">
              <w:rPr>
                <w:rFonts w:ascii="Arial" w:hAnsi="Arial" w:cs="Arial"/>
                <w:lang w:val="en-US"/>
              </w:rPr>
              <w:br/>
              <w:t xml:space="preserve">present, is the HT variant HT Control field." -- is this sufficiently clear that the </w:t>
            </w:r>
            <w:proofErr w:type="spellStart"/>
            <w:r w:rsidRPr="000724E9">
              <w:rPr>
                <w:rFonts w:ascii="Arial" w:hAnsi="Arial" w:cs="Arial"/>
                <w:lang w:val="en-US"/>
              </w:rPr>
              <w:t>subclause</w:t>
            </w:r>
            <w:proofErr w:type="spellEnd"/>
            <w:r w:rsidRPr="000724E9">
              <w:rPr>
                <w:rFonts w:ascii="Arial" w:hAnsi="Arial" w:cs="Arial"/>
                <w:lang w:val="en-US"/>
              </w:rPr>
              <w:t xml:space="preserve"> is only for non-VHT STAs?  VHT STAs can sent HT variant HTCs, after all</w:t>
            </w:r>
          </w:p>
        </w:tc>
        <w:tc>
          <w:tcPr>
            <w:tcW w:w="2160" w:type="dxa"/>
            <w:hideMark/>
          </w:tcPr>
          <w:p w14:paraId="3115B3E5" w14:textId="77777777" w:rsidR="006571AB" w:rsidRPr="000724E9" w:rsidRDefault="006571AB" w:rsidP="000724E9">
            <w:pPr>
              <w:jc w:val="left"/>
              <w:rPr>
                <w:rFonts w:ascii="Arial" w:hAnsi="Arial" w:cs="Arial"/>
                <w:lang w:val="en-US"/>
              </w:rPr>
            </w:pPr>
            <w:r w:rsidRPr="000724E9">
              <w:rPr>
                <w:rFonts w:ascii="Arial" w:hAnsi="Arial" w:cs="Arial"/>
                <w:lang w:val="en-US"/>
              </w:rPr>
              <w:t>As it says in the comment</w:t>
            </w:r>
          </w:p>
        </w:tc>
        <w:tc>
          <w:tcPr>
            <w:tcW w:w="2250" w:type="dxa"/>
            <w:hideMark/>
          </w:tcPr>
          <w:p w14:paraId="28A32D89" w14:textId="7FBFFA4E" w:rsidR="006571AB" w:rsidRPr="000724E9" w:rsidRDefault="006571AB" w:rsidP="000724E9">
            <w:pPr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Reject – the </w:t>
            </w:r>
            <w:proofErr w:type="spellStart"/>
            <w:r>
              <w:rPr>
                <w:rFonts w:ascii="Arial" w:hAnsi="Arial" w:cs="Arial"/>
                <w:lang w:val="en-US"/>
              </w:rPr>
              <w:t>subclause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is not for HT STA, it is for any STA that supports </w:t>
            </w:r>
            <w:proofErr w:type="spellStart"/>
            <w:r>
              <w:rPr>
                <w:rFonts w:ascii="Arial" w:hAnsi="Arial" w:cs="Arial"/>
                <w:lang w:val="en-US"/>
              </w:rPr>
              <w:t>HTfunctionality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Currently, only HT and VHT STA can advertise support for +HTC, and both of these STA types can use the procedures in this </w:t>
            </w:r>
            <w:proofErr w:type="spellStart"/>
            <w:r>
              <w:rPr>
                <w:rFonts w:ascii="Arial" w:hAnsi="Arial" w:cs="Arial"/>
                <w:lang w:val="en-US"/>
              </w:rPr>
              <w:t>subclause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2D5BE8F7" w14:textId="77777777" w:rsidR="000724E9" w:rsidRDefault="000724E9">
      <w:pPr>
        <w:rPr>
          <w:sz w:val="24"/>
        </w:rPr>
      </w:pPr>
    </w:p>
    <w:p w14:paraId="3A0519CE" w14:textId="77777777" w:rsidR="000724E9" w:rsidRDefault="000724E9">
      <w:pPr>
        <w:rPr>
          <w:sz w:val="24"/>
        </w:rPr>
      </w:pPr>
    </w:p>
    <w:p w14:paraId="6C8E8938" w14:textId="77777777" w:rsidR="008856DB" w:rsidRDefault="008856DB" w:rsidP="00C1395F">
      <w:pPr>
        <w:rPr>
          <w:sz w:val="24"/>
        </w:rPr>
      </w:pPr>
    </w:p>
    <w:p w14:paraId="333313F8" w14:textId="77777777" w:rsidR="008856DB" w:rsidRPr="00707353" w:rsidRDefault="008856DB" w:rsidP="00C1395F">
      <w:pPr>
        <w:rPr>
          <w:sz w:val="24"/>
        </w:rPr>
      </w:pPr>
    </w:p>
    <w:p w14:paraId="19C5E3DE" w14:textId="77777777" w:rsidR="00F43E74" w:rsidRPr="00F43E74" w:rsidRDefault="00F43E74" w:rsidP="0003402B">
      <w:pPr>
        <w:outlineLvl w:val="0"/>
        <w:rPr>
          <w:b/>
          <w:sz w:val="40"/>
          <w:u w:val="single"/>
        </w:rPr>
      </w:pPr>
      <w:r w:rsidRPr="00F43E74">
        <w:rPr>
          <w:b/>
          <w:sz w:val="40"/>
          <w:u w:val="single"/>
        </w:rPr>
        <w:t>Discussion:</w:t>
      </w:r>
    </w:p>
    <w:p w14:paraId="57C36EE6" w14:textId="77777777" w:rsidR="00F43E74" w:rsidRPr="00F32443" w:rsidRDefault="00F43E74"/>
    <w:p w14:paraId="465570E2" w14:textId="0CC558A5" w:rsidR="0042741B" w:rsidRDefault="00973DC8">
      <w:r>
        <w:t>IEEE 802.11 specifies EVM requirements</w:t>
      </w:r>
      <w:r w:rsidR="00DF48E6" w:rsidRPr="00F32443">
        <w:t xml:space="preserve"> </w:t>
      </w:r>
      <w:r>
        <w:t>to which transmitters are built</w:t>
      </w:r>
      <w:r w:rsidR="0042741B">
        <w:t>. Having such a specification provides information to implementers as to how to design their receivers in order to meet the specified m</w:t>
      </w:r>
      <w:r>
        <w:t xml:space="preserve">inimum receiver sensitivity specifications </w:t>
      </w:r>
      <w:r w:rsidR="0042741B">
        <w:t>given the maximum EVM specification from a compliant transmitter. But t</w:t>
      </w:r>
      <w:r>
        <w:t xml:space="preserve">he IEEE 802.11 values for EVM and minimum receiver sensitivity are conservative. Many </w:t>
      </w:r>
      <w:r w:rsidR="0042741B">
        <w:t xml:space="preserve">modern </w:t>
      </w:r>
      <w:r>
        <w:t>receivers can operate with larger EVM</w:t>
      </w:r>
      <w:r w:rsidR="009510AC">
        <w:t xml:space="preserve"> magnitude</w:t>
      </w:r>
      <w:r>
        <w:t xml:space="preserve"> than what is </w:t>
      </w:r>
      <w:r w:rsidR="0042741B">
        <w:t xml:space="preserve">currently </w:t>
      </w:r>
      <w:r>
        <w:t xml:space="preserve">specified. An increase in link performance and resulting increase in system performance can be achieved if </w:t>
      </w:r>
      <w:r w:rsidR="0042741B">
        <w:t>the EVM specification were to be relaxed. However, a transmitter currently has no way of knowing whether any given receiver can handle an EVM that is greater than the current specification. This presentation proposes such a mechanism.</w:t>
      </w:r>
    </w:p>
    <w:p w14:paraId="5AD5CFFC" w14:textId="77777777" w:rsidR="00973DC8" w:rsidRDefault="00973DC8"/>
    <w:p w14:paraId="6AF95B6D" w14:textId="77777777" w:rsidR="00987D3E" w:rsidRDefault="00987D3E" w:rsidP="00987D3E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lang w:val="en-US"/>
        </w:rPr>
      </w:pPr>
    </w:p>
    <w:p w14:paraId="55165F54" w14:textId="0FAD64CF" w:rsidR="001C75C1" w:rsidRDefault="001C75C1" w:rsidP="009510AC">
      <w:pPr>
        <w:jc w:val="left"/>
        <w:rPr>
          <w:rFonts w:ascii="TimesNewRomanPSMT" w:hAnsi="TimesNewRomanPSMT" w:cs="TimesNewRomanPSMT"/>
          <w:lang w:val="en-US"/>
        </w:rPr>
      </w:pPr>
    </w:p>
    <w:p w14:paraId="5654057C" w14:textId="77777777" w:rsidR="001C75C1" w:rsidRPr="00707353" w:rsidRDefault="001C75C1" w:rsidP="001C75C1">
      <w:pPr>
        <w:rPr>
          <w:sz w:val="24"/>
        </w:rPr>
      </w:pPr>
    </w:p>
    <w:p w14:paraId="494A76C4" w14:textId="77777777" w:rsidR="00707353" w:rsidRDefault="00707353" w:rsidP="0003402B">
      <w:pPr>
        <w:outlineLvl w:val="0"/>
        <w:rPr>
          <w:b/>
          <w:sz w:val="48"/>
          <w:u w:val="single"/>
        </w:rPr>
      </w:pPr>
      <w:r>
        <w:rPr>
          <w:b/>
          <w:sz w:val="48"/>
          <w:u w:val="single"/>
        </w:rPr>
        <w:t>Proposed changes</w:t>
      </w:r>
    </w:p>
    <w:p w14:paraId="48BB2175" w14:textId="77777777" w:rsidR="00F43E74" w:rsidRPr="00707353" w:rsidRDefault="00F43E74" w:rsidP="00F43E74">
      <w:pPr>
        <w:rPr>
          <w:sz w:val="24"/>
        </w:rPr>
      </w:pPr>
    </w:p>
    <w:p w14:paraId="0CEE7099" w14:textId="4C92583C" w:rsidR="00DD569C" w:rsidRDefault="00E26BAD" w:rsidP="00F43E74">
      <w:pPr>
        <w:rPr>
          <w:sz w:val="24"/>
        </w:rPr>
      </w:pPr>
      <w:r>
        <w:rPr>
          <w:sz w:val="24"/>
        </w:rPr>
        <w:t xml:space="preserve">The proposed changes </w:t>
      </w:r>
      <w:r w:rsidR="00DF48E6">
        <w:rPr>
          <w:sz w:val="24"/>
        </w:rPr>
        <w:t xml:space="preserve">add a </w:t>
      </w:r>
      <w:r w:rsidR="009510AC">
        <w:rPr>
          <w:sz w:val="24"/>
        </w:rPr>
        <w:t xml:space="preserve">new element and action frame and </w:t>
      </w:r>
      <w:proofErr w:type="spellStart"/>
      <w:r w:rsidR="009510AC">
        <w:rPr>
          <w:sz w:val="24"/>
        </w:rPr>
        <w:t>behavioral</w:t>
      </w:r>
      <w:proofErr w:type="spellEnd"/>
      <w:r w:rsidR="009510AC">
        <w:rPr>
          <w:sz w:val="24"/>
        </w:rPr>
        <w:t xml:space="preserve"> language to describe the use of </w:t>
      </w:r>
      <w:r w:rsidR="00DD569C">
        <w:rPr>
          <w:sz w:val="24"/>
        </w:rPr>
        <w:t>the</w:t>
      </w:r>
      <w:r w:rsidR="009510AC">
        <w:rPr>
          <w:sz w:val="24"/>
        </w:rPr>
        <w:t xml:space="preserve"> new items</w:t>
      </w:r>
      <w:r w:rsidR="0032228A">
        <w:rPr>
          <w:sz w:val="24"/>
        </w:rPr>
        <w:t xml:space="preserve"> for requesting changes in the </w:t>
      </w:r>
      <w:r w:rsidR="00AD0961">
        <w:rPr>
          <w:sz w:val="24"/>
        </w:rPr>
        <w:t>Transmit Power</w:t>
      </w:r>
      <w:r w:rsidR="0032228A">
        <w:rPr>
          <w:sz w:val="24"/>
        </w:rPr>
        <w:t xml:space="preserve"> of a</w:t>
      </w:r>
      <w:r w:rsidR="00DD569C">
        <w:rPr>
          <w:sz w:val="24"/>
        </w:rPr>
        <w:t xml:space="preserve"> link between two</w:t>
      </w:r>
      <w:r w:rsidR="0032228A">
        <w:rPr>
          <w:sz w:val="24"/>
        </w:rPr>
        <w:t xml:space="preserve"> STA</w:t>
      </w:r>
      <w:r w:rsidR="00DD569C">
        <w:rPr>
          <w:sz w:val="24"/>
        </w:rPr>
        <w:t>.</w:t>
      </w:r>
    </w:p>
    <w:p w14:paraId="592D4250" w14:textId="77777777" w:rsidR="00E26BAD" w:rsidRDefault="00E26BAD" w:rsidP="00F43E74">
      <w:pPr>
        <w:rPr>
          <w:sz w:val="24"/>
        </w:rPr>
      </w:pPr>
    </w:p>
    <w:p w14:paraId="7D7D832A" w14:textId="77777777" w:rsidR="009510AC" w:rsidRDefault="009510AC" w:rsidP="009510AC">
      <w:pPr>
        <w:rPr>
          <w:sz w:val="24"/>
          <w:szCs w:val="24"/>
        </w:rPr>
      </w:pPr>
    </w:p>
    <w:p w14:paraId="531DD9D8" w14:textId="77777777" w:rsidR="009510AC" w:rsidRPr="008706C6" w:rsidRDefault="009510AC" w:rsidP="009510AC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2EE87D6D" w14:textId="77777777" w:rsidR="00FE6E1A" w:rsidRPr="00FE6E1A" w:rsidRDefault="00FE6E1A" w:rsidP="009510AC">
      <w:pPr>
        <w:keepNext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sz w:val="24"/>
          <w:lang w:val="en-US"/>
        </w:rPr>
      </w:pPr>
      <w:r w:rsidRPr="00FE6E1A">
        <w:rPr>
          <w:rFonts w:ascii="Arial-BoldMT" w:hAnsi="Arial-BoldMT" w:cs="Arial-BoldMT"/>
          <w:b/>
          <w:bCs/>
          <w:sz w:val="24"/>
          <w:lang w:val="en-US"/>
        </w:rPr>
        <w:t xml:space="preserve">10.32.3 Explicit feedback </w:t>
      </w:r>
      <w:proofErr w:type="spellStart"/>
      <w:r w:rsidRPr="00FE6E1A">
        <w:rPr>
          <w:rFonts w:ascii="Arial-BoldMT" w:hAnsi="Arial-BoldMT" w:cs="Arial-BoldMT"/>
          <w:b/>
          <w:bCs/>
          <w:sz w:val="24"/>
          <w:lang w:val="en-US"/>
        </w:rPr>
        <w:t>beamforming</w:t>
      </w:r>
      <w:proofErr w:type="spellEnd"/>
    </w:p>
    <w:p w14:paraId="62E4E818" w14:textId="77777777" w:rsidR="009510AC" w:rsidRDefault="009510AC" w:rsidP="009510AC">
      <w:pPr>
        <w:keepNext/>
        <w:rPr>
          <w:b/>
          <w:i/>
          <w:sz w:val="24"/>
          <w:szCs w:val="24"/>
        </w:rPr>
      </w:pPr>
    </w:p>
    <w:p w14:paraId="73840F3B" w14:textId="664BD4AE" w:rsidR="009510AC" w:rsidRPr="00FE6E1A" w:rsidRDefault="009510AC" w:rsidP="00FE6E1A">
      <w:pPr>
        <w:keepNext/>
        <w:rPr>
          <w:b/>
          <w:i/>
        </w:rPr>
      </w:pPr>
      <w:proofErr w:type="spellStart"/>
      <w:r w:rsidRPr="00347D79">
        <w:rPr>
          <w:b/>
          <w:i/>
        </w:rPr>
        <w:t>TGmc</w:t>
      </w:r>
      <w:proofErr w:type="spellEnd"/>
      <w:r w:rsidRPr="00347D79">
        <w:rPr>
          <w:b/>
          <w:i/>
        </w:rPr>
        <w:t xml:space="preserve"> editor: </w:t>
      </w:r>
      <w:r w:rsidR="00FE6E1A">
        <w:rPr>
          <w:b/>
          <w:i/>
        </w:rPr>
        <w:t>modify the text as shown:</w:t>
      </w:r>
    </w:p>
    <w:p w14:paraId="4FFAD374" w14:textId="77777777" w:rsidR="00FE6E1A" w:rsidRDefault="00FE6E1A" w:rsidP="00707353">
      <w:pPr>
        <w:rPr>
          <w:sz w:val="24"/>
          <w:szCs w:val="24"/>
        </w:rPr>
      </w:pPr>
    </w:p>
    <w:p w14:paraId="537A2A6C" w14:textId="33654AFE" w:rsidR="00B60C3C" w:rsidRPr="00FE6E1A" w:rsidRDefault="00FE6E1A" w:rsidP="00FE6E1A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lang w:val="en-US"/>
        </w:rPr>
      </w:pPr>
      <w:r w:rsidRPr="00FE6E1A">
        <w:rPr>
          <w:rFonts w:ascii="TimesNewRomanPSMT" w:hAnsi="TimesNewRomanPSMT" w:cs="TimesNewRomanPSMT"/>
          <w:sz w:val="24"/>
          <w:lang w:val="en-US"/>
        </w:rPr>
        <w:t xml:space="preserve">An HT </w:t>
      </w:r>
      <w:proofErr w:type="spellStart"/>
      <w:r w:rsidRPr="00FE6E1A">
        <w:rPr>
          <w:rFonts w:ascii="TimesNewRomanPSMT" w:hAnsi="TimesNewRomanPSMT" w:cs="TimesNewRomanPSMT"/>
          <w:sz w:val="24"/>
          <w:lang w:val="en-US"/>
        </w:rPr>
        <w:t>beamformer</w:t>
      </w:r>
      <w:proofErr w:type="spellEnd"/>
      <w:r w:rsidRPr="00FE6E1A">
        <w:rPr>
          <w:rFonts w:ascii="TimesNewRomanPSMT" w:hAnsi="TimesNewRomanPSMT" w:cs="TimesNewRomanPSMT"/>
          <w:sz w:val="24"/>
          <w:lang w:val="en-US"/>
        </w:rPr>
        <w:t xml:space="preserve"> may use the following worst-case parameters to estimate the duration of the expected frame that contains the feedback response: Basic HT-MCS, HT-Mixed Format, </w:t>
      </w:r>
      <w:proofErr w:type="gramStart"/>
      <w:r w:rsidRPr="00FE6E1A">
        <w:rPr>
          <w:rFonts w:ascii="TimesNewRomanPSMT" w:hAnsi="TimesNewRomanPSMT" w:cs="TimesNewRomanPSMT"/>
          <w:sz w:val="24"/>
          <w:lang w:val="en-US"/>
        </w:rPr>
        <w:t>Supported</w:t>
      </w:r>
      <w:proofErr w:type="gramEnd"/>
      <w:r w:rsidRPr="00FE6E1A">
        <w:rPr>
          <w:rFonts w:ascii="TimesNewRomanPSMT" w:hAnsi="TimesNewRomanPSMT" w:cs="TimesNewRomanPSMT"/>
          <w:sz w:val="24"/>
          <w:lang w:val="en-US"/>
        </w:rPr>
        <w:t xml:space="preserve"> Grouping.</w:t>
      </w:r>
    </w:p>
    <w:p w14:paraId="785BC43B" w14:textId="77777777" w:rsidR="009510AC" w:rsidRDefault="009510AC" w:rsidP="00707353">
      <w:pPr>
        <w:rPr>
          <w:sz w:val="24"/>
          <w:szCs w:val="24"/>
        </w:rPr>
      </w:pPr>
    </w:p>
    <w:p w14:paraId="68EC8D1C" w14:textId="77777777" w:rsidR="00DD569C" w:rsidRDefault="00DD569C" w:rsidP="00E65901">
      <w:pPr>
        <w:rPr>
          <w:sz w:val="24"/>
          <w:szCs w:val="24"/>
        </w:rPr>
      </w:pPr>
    </w:p>
    <w:p w14:paraId="2AA685C1" w14:textId="77777777" w:rsidR="00736672" w:rsidRPr="00AE0FD0" w:rsidRDefault="00736672" w:rsidP="00FD7824">
      <w:pPr>
        <w:rPr>
          <w:rFonts w:ascii="TimesNewRomanPSMT" w:hAnsi="TimesNewRomanPSMT" w:cs="TimesNewRomanPSMT"/>
          <w:lang w:val="en-US"/>
        </w:rPr>
      </w:pPr>
    </w:p>
    <w:p w14:paraId="5F099AEE" w14:textId="2E1474AD" w:rsidR="00AC378B" w:rsidRPr="00AE0FD0" w:rsidRDefault="00AC378B" w:rsidP="00FD7824">
      <w:pPr>
        <w:rPr>
          <w:b/>
          <w:i/>
          <w:lang w:val="en-US"/>
        </w:rPr>
      </w:pPr>
      <w:proofErr w:type="spellStart"/>
      <w:r w:rsidRPr="00AE0FD0">
        <w:rPr>
          <w:b/>
          <w:i/>
          <w:lang w:val="en-US"/>
        </w:rPr>
        <w:t>TGmc</w:t>
      </w:r>
      <w:proofErr w:type="spellEnd"/>
      <w:r w:rsidRPr="00AE0FD0">
        <w:rPr>
          <w:b/>
          <w:i/>
          <w:lang w:val="en-US"/>
        </w:rPr>
        <w:t xml:space="preserve"> editor: add the following new MIB variable</w:t>
      </w:r>
      <w:r w:rsidR="007E2117" w:rsidRPr="00AE0FD0">
        <w:rPr>
          <w:b/>
          <w:i/>
          <w:lang w:val="en-US"/>
        </w:rPr>
        <w:t>s</w:t>
      </w:r>
      <w:r w:rsidRPr="00AE0FD0">
        <w:rPr>
          <w:b/>
          <w:i/>
          <w:lang w:val="en-US"/>
        </w:rPr>
        <w:t xml:space="preserve"> to the dot11StationConfig group and add corresponding value</w:t>
      </w:r>
      <w:r w:rsidR="007E2117" w:rsidRPr="00AE0FD0">
        <w:rPr>
          <w:b/>
          <w:i/>
          <w:lang w:val="en-US"/>
        </w:rPr>
        <w:t>s</w:t>
      </w:r>
      <w:r w:rsidRPr="00AE0FD0">
        <w:rPr>
          <w:b/>
          <w:i/>
          <w:lang w:val="en-US"/>
        </w:rPr>
        <w:t xml:space="preserve"> in the group’s SEQUENCE definition</w:t>
      </w:r>
      <w:r w:rsidR="003003EF" w:rsidRPr="00AE0FD0">
        <w:rPr>
          <w:b/>
          <w:i/>
          <w:lang w:val="en-US"/>
        </w:rPr>
        <w:t xml:space="preserve"> and add appropriate entr</w:t>
      </w:r>
      <w:r w:rsidR="007E2117" w:rsidRPr="00AE0FD0">
        <w:rPr>
          <w:b/>
          <w:i/>
          <w:lang w:val="en-US"/>
        </w:rPr>
        <w:t>ies</w:t>
      </w:r>
      <w:r w:rsidR="003003EF" w:rsidRPr="00AE0FD0">
        <w:rPr>
          <w:b/>
          <w:i/>
          <w:lang w:val="en-US"/>
        </w:rPr>
        <w:t xml:space="preserve"> to the dot11VHTMACAdditions Object-group</w:t>
      </w:r>
      <w:r w:rsidRPr="00AE0FD0">
        <w:rPr>
          <w:b/>
          <w:i/>
          <w:lang w:val="en-US"/>
        </w:rPr>
        <w:t>:</w:t>
      </w:r>
    </w:p>
    <w:p w14:paraId="4E9FAAB3" w14:textId="77777777" w:rsidR="00AC378B" w:rsidRPr="00AE0FD0" w:rsidRDefault="00AC378B" w:rsidP="00AC378B">
      <w:pPr>
        <w:rPr>
          <w:lang w:val="en-US"/>
        </w:rPr>
      </w:pPr>
    </w:p>
    <w:p w14:paraId="5E646EA4" w14:textId="77777777" w:rsidR="00AC378B" w:rsidRDefault="00AC378B" w:rsidP="0003402B">
      <w:pPr>
        <w:outlineLvl w:val="0"/>
        <w:rPr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>C.3 MIB Detail</w:t>
      </w:r>
    </w:p>
    <w:p w14:paraId="4DF56CB5" w14:textId="77777777" w:rsidR="00AC378B" w:rsidRDefault="00AC378B" w:rsidP="00AC378B">
      <w:pPr>
        <w:rPr>
          <w:rFonts w:ascii="TimesNewRomanPSMT" w:hAnsi="TimesNewRomanPSMT" w:cs="TimesNewRomanPSMT"/>
          <w:sz w:val="30"/>
          <w:lang w:val="en-US"/>
        </w:rPr>
      </w:pPr>
    </w:p>
    <w:p w14:paraId="635FEA26" w14:textId="29A3B245" w:rsidR="00002460" w:rsidRPr="006C7278" w:rsidRDefault="00002460" w:rsidP="00AE0FD0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16"/>
          <w:lang w:val="en-US"/>
        </w:rPr>
      </w:pPr>
      <w:proofErr w:type="gramStart"/>
      <w:r w:rsidRPr="006C7278">
        <w:rPr>
          <w:rFonts w:ascii="Courier New" w:hAnsi="Courier New" w:cs="Courier New"/>
          <w:szCs w:val="16"/>
          <w:lang w:val="en-US"/>
        </w:rPr>
        <w:t>dot11</w:t>
      </w:r>
      <w:r w:rsidR="006C7278" w:rsidRPr="006C7278">
        <w:rPr>
          <w:rFonts w:ascii="Courier New" w:hAnsi="Courier New" w:cs="Courier New"/>
          <w:szCs w:val="16"/>
          <w:lang w:val="en-US"/>
        </w:rPr>
        <w:t>LinkTransmitPowerOptionImplemented</w:t>
      </w:r>
      <w:proofErr w:type="gramEnd"/>
      <w:r w:rsidRPr="006C7278">
        <w:rPr>
          <w:rFonts w:ascii="Courier New" w:hAnsi="Courier New" w:cs="Courier New"/>
          <w:szCs w:val="16"/>
          <w:lang w:val="en-US"/>
        </w:rPr>
        <w:t xml:space="preserve"> OBJECT-TYPE</w:t>
      </w:r>
    </w:p>
    <w:p w14:paraId="71A6A385" w14:textId="77777777" w:rsidR="00002460" w:rsidRPr="006C7278" w:rsidRDefault="00002460" w:rsidP="00AE0FD0">
      <w:pPr>
        <w:autoSpaceDE w:val="0"/>
        <w:autoSpaceDN w:val="0"/>
        <w:adjustRightInd w:val="0"/>
        <w:ind w:firstLine="720"/>
        <w:jc w:val="left"/>
        <w:rPr>
          <w:rFonts w:ascii="Courier New" w:hAnsi="Courier New" w:cs="Courier New"/>
          <w:szCs w:val="16"/>
          <w:lang w:val="en-US"/>
        </w:rPr>
      </w:pPr>
      <w:r w:rsidRPr="006C7278">
        <w:rPr>
          <w:rFonts w:ascii="Courier New" w:hAnsi="Courier New" w:cs="Courier New"/>
          <w:szCs w:val="16"/>
          <w:lang w:val="en-US"/>
        </w:rPr>
        <w:t xml:space="preserve">SYNTAX </w:t>
      </w:r>
      <w:proofErr w:type="spellStart"/>
      <w:r w:rsidRPr="006C7278">
        <w:rPr>
          <w:rFonts w:ascii="Courier New" w:hAnsi="Courier New" w:cs="Courier New"/>
          <w:szCs w:val="16"/>
          <w:lang w:val="en-US"/>
        </w:rPr>
        <w:t>Truthvalue</w:t>
      </w:r>
      <w:proofErr w:type="spellEnd"/>
    </w:p>
    <w:p w14:paraId="20DC1EDA" w14:textId="77777777" w:rsidR="00002460" w:rsidRPr="006C7278" w:rsidRDefault="00002460" w:rsidP="00AE0FD0">
      <w:pPr>
        <w:autoSpaceDE w:val="0"/>
        <w:autoSpaceDN w:val="0"/>
        <w:adjustRightInd w:val="0"/>
        <w:ind w:firstLine="720"/>
        <w:jc w:val="left"/>
        <w:rPr>
          <w:rFonts w:ascii="Courier New" w:hAnsi="Courier New" w:cs="Courier New"/>
          <w:szCs w:val="16"/>
          <w:lang w:val="en-US"/>
        </w:rPr>
      </w:pPr>
      <w:r w:rsidRPr="006C7278">
        <w:rPr>
          <w:rFonts w:ascii="Courier New" w:hAnsi="Courier New" w:cs="Courier New"/>
          <w:szCs w:val="16"/>
          <w:lang w:val="en-US"/>
        </w:rPr>
        <w:t>MAX-ACCESS read-only</w:t>
      </w:r>
    </w:p>
    <w:p w14:paraId="37985C80" w14:textId="77777777" w:rsidR="00002460" w:rsidRPr="006C7278" w:rsidRDefault="00002460" w:rsidP="00AE0FD0">
      <w:pPr>
        <w:autoSpaceDE w:val="0"/>
        <w:autoSpaceDN w:val="0"/>
        <w:adjustRightInd w:val="0"/>
        <w:ind w:firstLine="720"/>
        <w:jc w:val="left"/>
        <w:rPr>
          <w:rFonts w:ascii="Courier New" w:hAnsi="Courier New" w:cs="Courier New"/>
          <w:szCs w:val="16"/>
          <w:lang w:val="en-US"/>
        </w:rPr>
      </w:pPr>
      <w:r w:rsidRPr="006C7278">
        <w:rPr>
          <w:rFonts w:ascii="Courier New" w:hAnsi="Courier New" w:cs="Courier New"/>
          <w:szCs w:val="16"/>
          <w:lang w:val="en-US"/>
        </w:rPr>
        <w:t>STATUS current</w:t>
      </w:r>
    </w:p>
    <w:p w14:paraId="6B216307" w14:textId="77777777" w:rsidR="00002460" w:rsidRPr="006C7278" w:rsidRDefault="00002460" w:rsidP="00AE0FD0">
      <w:pPr>
        <w:autoSpaceDE w:val="0"/>
        <w:autoSpaceDN w:val="0"/>
        <w:adjustRightInd w:val="0"/>
        <w:ind w:firstLine="720"/>
        <w:jc w:val="left"/>
        <w:rPr>
          <w:rFonts w:ascii="Courier New" w:hAnsi="Courier New" w:cs="Courier New"/>
          <w:szCs w:val="16"/>
          <w:lang w:val="en-US"/>
        </w:rPr>
      </w:pPr>
      <w:r w:rsidRPr="006C7278">
        <w:rPr>
          <w:rFonts w:ascii="Courier New" w:hAnsi="Courier New" w:cs="Courier New"/>
          <w:szCs w:val="16"/>
          <w:lang w:val="en-US"/>
        </w:rPr>
        <w:t>DESCRIPTION</w:t>
      </w:r>
    </w:p>
    <w:p w14:paraId="7AE0FD26" w14:textId="77777777" w:rsidR="00002460" w:rsidRPr="006C7278" w:rsidRDefault="00002460" w:rsidP="00AE0FD0">
      <w:pPr>
        <w:autoSpaceDE w:val="0"/>
        <w:autoSpaceDN w:val="0"/>
        <w:adjustRightInd w:val="0"/>
        <w:ind w:left="720" w:firstLine="720"/>
        <w:jc w:val="left"/>
        <w:rPr>
          <w:rFonts w:ascii="Courier New" w:hAnsi="Courier New" w:cs="Courier New"/>
          <w:szCs w:val="16"/>
          <w:lang w:val="en-US"/>
        </w:rPr>
      </w:pPr>
      <w:r w:rsidRPr="006C7278">
        <w:rPr>
          <w:rFonts w:ascii="Courier New" w:hAnsi="Courier New" w:cs="Courier New"/>
          <w:szCs w:val="16"/>
          <w:lang w:val="en-US"/>
        </w:rPr>
        <w:t>"This is a capability variable.</w:t>
      </w:r>
    </w:p>
    <w:p w14:paraId="245C9384" w14:textId="77777777" w:rsidR="00002460" w:rsidRPr="006C7278" w:rsidRDefault="00002460" w:rsidP="00AE0FD0">
      <w:pPr>
        <w:autoSpaceDE w:val="0"/>
        <w:autoSpaceDN w:val="0"/>
        <w:adjustRightInd w:val="0"/>
        <w:ind w:left="720" w:firstLine="720"/>
        <w:jc w:val="left"/>
        <w:rPr>
          <w:rFonts w:ascii="Courier New" w:hAnsi="Courier New" w:cs="Courier New"/>
          <w:szCs w:val="16"/>
          <w:lang w:val="en-US"/>
        </w:rPr>
      </w:pPr>
      <w:r w:rsidRPr="006C7278">
        <w:rPr>
          <w:rFonts w:ascii="Courier New" w:hAnsi="Courier New" w:cs="Courier New"/>
          <w:szCs w:val="16"/>
          <w:lang w:val="en-US"/>
        </w:rPr>
        <w:t>Its value is determined by device capabilities.</w:t>
      </w:r>
    </w:p>
    <w:p w14:paraId="19F6B5A7" w14:textId="77777777" w:rsidR="006C7278" w:rsidRPr="006C7278" w:rsidRDefault="00002460" w:rsidP="00AE0FD0">
      <w:pPr>
        <w:jc w:val="left"/>
        <w:rPr>
          <w:rFonts w:ascii="Courier New" w:hAnsi="Courier New" w:cs="Courier New"/>
          <w:szCs w:val="16"/>
          <w:lang w:val="en-US"/>
        </w:rPr>
      </w:pPr>
      <w:r w:rsidRPr="006C7278">
        <w:rPr>
          <w:rFonts w:ascii="Courier New" w:hAnsi="Courier New" w:cs="Courier New"/>
          <w:szCs w:val="16"/>
          <w:lang w:val="en-US"/>
        </w:rPr>
        <w:t xml:space="preserve">This attribute, when true, indicates that the IEEE 802.11 </w:t>
      </w:r>
      <w:r w:rsidR="006C7278" w:rsidRPr="006C7278">
        <w:rPr>
          <w:rFonts w:ascii="Courier New" w:hAnsi="Courier New" w:cs="Courier New"/>
          <w:szCs w:val="16"/>
          <w:lang w:val="en-US"/>
        </w:rPr>
        <w:t xml:space="preserve">Link Transmit Power option is implemented. </w:t>
      </w:r>
    </w:p>
    <w:p w14:paraId="5DFA3E3F" w14:textId="77777777" w:rsidR="00002460" w:rsidRPr="006C7278" w:rsidRDefault="00002460" w:rsidP="00AE0FD0">
      <w:pPr>
        <w:jc w:val="left"/>
        <w:rPr>
          <w:rFonts w:ascii="Courier New" w:hAnsi="Courier New" w:cs="Courier New"/>
          <w:szCs w:val="16"/>
          <w:lang w:val="en-US"/>
        </w:rPr>
      </w:pPr>
    </w:p>
    <w:p w14:paraId="6432E840" w14:textId="77777777" w:rsidR="00002460" w:rsidRPr="006C7278" w:rsidRDefault="00002460" w:rsidP="0003402B">
      <w:pPr>
        <w:autoSpaceDE w:val="0"/>
        <w:autoSpaceDN w:val="0"/>
        <w:adjustRightInd w:val="0"/>
        <w:ind w:firstLine="720"/>
        <w:jc w:val="left"/>
        <w:outlineLvl w:val="0"/>
        <w:rPr>
          <w:rFonts w:ascii="Courier New" w:hAnsi="Courier New" w:cs="Courier New"/>
          <w:szCs w:val="16"/>
          <w:lang w:val="en-US"/>
        </w:rPr>
      </w:pPr>
      <w:r w:rsidRPr="006C7278">
        <w:rPr>
          <w:rFonts w:ascii="Courier New" w:hAnsi="Courier New" w:cs="Courier New"/>
          <w:szCs w:val="16"/>
          <w:lang w:val="en-US"/>
        </w:rPr>
        <w:t xml:space="preserve">DEFVAL </w:t>
      </w:r>
      <w:proofErr w:type="gramStart"/>
      <w:r w:rsidRPr="006C7278">
        <w:rPr>
          <w:rFonts w:ascii="Courier New" w:hAnsi="Courier New" w:cs="Courier New"/>
          <w:szCs w:val="16"/>
          <w:lang w:val="en-US"/>
        </w:rPr>
        <w:t>{ false</w:t>
      </w:r>
      <w:proofErr w:type="gramEnd"/>
      <w:r w:rsidRPr="006C7278">
        <w:rPr>
          <w:rFonts w:ascii="Courier New" w:hAnsi="Courier New" w:cs="Courier New"/>
          <w:szCs w:val="16"/>
          <w:lang w:val="en-US"/>
        </w:rPr>
        <w:t xml:space="preserve"> }</w:t>
      </w:r>
    </w:p>
    <w:p w14:paraId="1004D8A3" w14:textId="77777777" w:rsidR="00002460" w:rsidRPr="006C7278" w:rsidRDefault="00002460" w:rsidP="00AE0FD0">
      <w:pPr>
        <w:ind w:firstLine="720"/>
        <w:jc w:val="left"/>
        <w:rPr>
          <w:rFonts w:ascii="Courier New" w:hAnsi="Courier New" w:cs="Courier New"/>
          <w:szCs w:val="16"/>
          <w:lang w:val="en-US"/>
        </w:rPr>
      </w:pPr>
      <w:proofErr w:type="gramStart"/>
      <w:r w:rsidRPr="006C7278">
        <w:rPr>
          <w:rFonts w:ascii="Courier New" w:hAnsi="Courier New" w:cs="Courier New"/>
          <w:szCs w:val="16"/>
          <w:lang w:val="en-US"/>
        </w:rPr>
        <w:t>::</w:t>
      </w:r>
      <w:proofErr w:type="gramEnd"/>
      <w:r w:rsidRPr="006C7278">
        <w:rPr>
          <w:rFonts w:ascii="Courier New" w:hAnsi="Courier New" w:cs="Courier New"/>
          <w:szCs w:val="16"/>
          <w:lang w:val="en-US"/>
        </w:rPr>
        <w:t>= { dot11StationConfigEntry &lt;ANA&gt; }</w:t>
      </w:r>
    </w:p>
    <w:p w14:paraId="3F2C40A3" w14:textId="77777777" w:rsidR="00AC378B" w:rsidRDefault="00AC378B">
      <w:pPr>
        <w:jc w:val="left"/>
        <w:rPr>
          <w:rFonts w:ascii="TimesNewRomanPSMT" w:hAnsi="TimesNewRomanPSMT" w:cs="TimesNewRomanPSMT"/>
          <w:lang w:val="en-US"/>
        </w:rPr>
      </w:pPr>
    </w:p>
    <w:p w14:paraId="3F2DA19A" w14:textId="77777777" w:rsidR="00CA09B2" w:rsidRPr="00747FFC" w:rsidRDefault="00CA09B2"/>
    <w:sectPr w:rsidR="00CA09B2" w:rsidRPr="00747FFC" w:rsidSect="0037729F">
      <w:headerReference w:type="default" r:id="rId9"/>
      <w:footerReference w:type="default" r:id="rId10"/>
      <w:pgSz w:w="12240" w:h="15840" w:code="1"/>
      <w:pgMar w:top="1077" w:right="73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30384" w14:textId="77777777" w:rsidR="003C32CC" w:rsidRDefault="003C32CC">
      <w:r>
        <w:separator/>
      </w:r>
    </w:p>
  </w:endnote>
  <w:endnote w:type="continuationSeparator" w:id="0">
    <w:p w14:paraId="248D7C04" w14:textId="77777777" w:rsidR="003C32CC" w:rsidRDefault="003C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E2FA" w14:textId="77777777" w:rsidR="00A9400F" w:rsidRDefault="00A9400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41A4F">
      <w:rPr>
        <w:noProof/>
      </w:rPr>
      <w:t>1</w:t>
    </w:r>
    <w:r>
      <w:fldChar w:fldCharType="end"/>
    </w:r>
    <w:r>
      <w:tab/>
    </w:r>
    <w:fldSimple w:instr=" COMMENTS  \* MERGEFORMAT ">
      <w:r>
        <w:t>Matthew Fischer, Broadcom</w:t>
      </w:r>
    </w:fldSimple>
  </w:p>
  <w:p w14:paraId="043469C4" w14:textId="77777777" w:rsidR="00A9400F" w:rsidRDefault="00A940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D9B40" w14:textId="77777777" w:rsidR="003C32CC" w:rsidRDefault="003C32CC">
      <w:r>
        <w:separator/>
      </w:r>
    </w:p>
  </w:footnote>
  <w:footnote w:type="continuationSeparator" w:id="0">
    <w:p w14:paraId="730EBB8C" w14:textId="77777777" w:rsidR="003C32CC" w:rsidRDefault="003C3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8AF55" w14:textId="77777777" w:rsidR="00A9400F" w:rsidRDefault="00A9400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41A4F">
        <w:t>March 2016</w:t>
      </w:r>
    </w:fldSimple>
    <w:r>
      <w:tab/>
    </w:r>
    <w:r>
      <w:tab/>
    </w:r>
    <w:fldSimple w:instr=" TITLE  \* MERGEFORMAT ">
      <w:r w:rsidR="00641A4F">
        <w:t>doc.: IEEE 802.11-16/0724r0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nzo Wentink">
    <w15:presenceInfo w15:providerId="Windows Live" w15:userId="8a35a65d9ea4b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02285"/>
    <w:rsid w:val="00002460"/>
    <w:rsid w:val="000063A9"/>
    <w:rsid w:val="00006D28"/>
    <w:rsid w:val="00007960"/>
    <w:rsid w:val="000116E7"/>
    <w:rsid w:val="00012564"/>
    <w:rsid w:val="000157C1"/>
    <w:rsid w:val="000233C0"/>
    <w:rsid w:val="00023710"/>
    <w:rsid w:val="00023A54"/>
    <w:rsid w:val="00031828"/>
    <w:rsid w:val="0003359A"/>
    <w:rsid w:val="0003402B"/>
    <w:rsid w:val="00034FC4"/>
    <w:rsid w:val="0004604E"/>
    <w:rsid w:val="000467A2"/>
    <w:rsid w:val="000514C0"/>
    <w:rsid w:val="000668AF"/>
    <w:rsid w:val="000724E9"/>
    <w:rsid w:val="00075B43"/>
    <w:rsid w:val="00080CEC"/>
    <w:rsid w:val="00083F34"/>
    <w:rsid w:val="00085109"/>
    <w:rsid w:val="0008547C"/>
    <w:rsid w:val="000866D2"/>
    <w:rsid w:val="000877BA"/>
    <w:rsid w:val="00097313"/>
    <w:rsid w:val="000A1423"/>
    <w:rsid w:val="000A1B02"/>
    <w:rsid w:val="000A1C21"/>
    <w:rsid w:val="000A2A02"/>
    <w:rsid w:val="000A4F77"/>
    <w:rsid w:val="000A54B6"/>
    <w:rsid w:val="000A6CEA"/>
    <w:rsid w:val="000C1CC8"/>
    <w:rsid w:val="000C2DAE"/>
    <w:rsid w:val="000C4A03"/>
    <w:rsid w:val="000C7354"/>
    <w:rsid w:val="000C73A2"/>
    <w:rsid w:val="000C7929"/>
    <w:rsid w:val="000D0E9D"/>
    <w:rsid w:val="000D125E"/>
    <w:rsid w:val="000D5468"/>
    <w:rsid w:val="000E4910"/>
    <w:rsid w:val="000E51ED"/>
    <w:rsid w:val="000F203A"/>
    <w:rsid w:val="000F4089"/>
    <w:rsid w:val="001001D6"/>
    <w:rsid w:val="001004FB"/>
    <w:rsid w:val="001010F1"/>
    <w:rsid w:val="00112989"/>
    <w:rsid w:val="001207D1"/>
    <w:rsid w:val="00120ECA"/>
    <w:rsid w:val="00121EC4"/>
    <w:rsid w:val="00123E9B"/>
    <w:rsid w:val="00125824"/>
    <w:rsid w:val="00130702"/>
    <w:rsid w:val="00130712"/>
    <w:rsid w:val="00134DA7"/>
    <w:rsid w:val="0013710B"/>
    <w:rsid w:val="00140B4B"/>
    <w:rsid w:val="00141B3A"/>
    <w:rsid w:val="001427F4"/>
    <w:rsid w:val="00143051"/>
    <w:rsid w:val="00145251"/>
    <w:rsid w:val="001472F2"/>
    <w:rsid w:val="001552E7"/>
    <w:rsid w:val="001568E5"/>
    <w:rsid w:val="00157537"/>
    <w:rsid w:val="0016206F"/>
    <w:rsid w:val="00164C04"/>
    <w:rsid w:val="00166890"/>
    <w:rsid w:val="001701B3"/>
    <w:rsid w:val="00173D75"/>
    <w:rsid w:val="00177A65"/>
    <w:rsid w:val="00181748"/>
    <w:rsid w:val="00184899"/>
    <w:rsid w:val="00184C82"/>
    <w:rsid w:val="0019479E"/>
    <w:rsid w:val="001947A1"/>
    <w:rsid w:val="00194BA5"/>
    <w:rsid w:val="00195151"/>
    <w:rsid w:val="0019796D"/>
    <w:rsid w:val="001A3BD9"/>
    <w:rsid w:val="001A6AE0"/>
    <w:rsid w:val="001A6E81"/>
    <w:rsid w:val="001B2318"/>
    <w:rsid w:val="001B345C"/>
    <w:rsid w:val="001C0196"/>
    <w:rsid w:val="001C34F3"/>
    <w:rsid w:val="001C461A"/>
    <w:rsid w:val="001C4E48"/>
    <w:rsid w:val="001C7291"/>
    <w:rsid w:val="001C75C1"/>
    <w:rsid w:val="001D5195"/>
    <w:rsid w:val="001D594F"/>
    <w:rsid w:val="001D723B"/>
    <w:rsid w:val="001E5FF1"/>
    <w:rsid w:val="001E7C0C"/>
    <w:rsid w:val="001F03AA"/>
    <w:rsid w:val="001F1C19"/>
    <w:rsid w:val="001F6520"/>
    <w:rsid w:val="00215CA6"/>
    <w:rsid w:val="0021630B"/>
    <w:rsid w:val="002222E6"/>
    <w:rsid w:val="00223A4A"/>
    <w:rsid w:val="00227AAE"/>
    <w:rsid w:val="00230EE3"/>
    <w:rsid w:val="002354CD"/>
    <w:rsid w:val="00241023"/>
    <w:rsid w:val="002422E2"/>
    <w:rsid w:val="0024231A"/>
    <w:rsid w:val="00243F45"/>
    <w:rsid w:val="002455A7"/>
    <w:rsid w:val="00246161"/>
    <w:rsid w:val="00246E03"/>
    <w:rsid w:val="00247141"/>
    <w:rsid w:val="002571A5"/>
    <w:rsid w:val="002606E2"/>
    <w:rsid w:val="00262DC6"/>
    <w:rsid w:val="00272008"/>
    <w:rsid w:val="00274B20"/>
    <w:rsid w:val="0027683B"/>
    <w:rsid w:val="00276CD7"/>
    <w:rsid w:val="002802AD"/>
    <w:rsid w:val="0028218E"/>
    <w:rsid w:val="0028433A"/>
    <w:rsid w:val="002845C5"/>
    <w:rsid w:val="0029020B"/>
    <w:rsid w:val="00291637"/>
    <w:rsid w:val="00296069"/>
    <w:rsid w:val="00297605"/>
    <w:rsid w:val="002A45C3"/>
    <w:rsid w:val="002B4980"/>
    <w:rsid w:val="002C2631"/>
    <w:rsid w:val="002C48F1"/>
    <w:rsid w:val="002C5B52"/>
    <w:rsid w:val="002D1014"/>
    <w:rsid w:val="002D1E26"/>
    <w:rsid w:val="002D44BE"/>
    <w:rsid w:val="002D5401"/>
    <w:rsid w:val="002D5BAC"/>
    <w:rsid w:val="002E63B6"/>
    <w:rsid w:val="002E669B"/>
    <w:rsid w:val="002F476A"/>
    <w:rsid w:val="002F640E"/>
    <w:rsid w:val="003003EF"/>
    <w:rsid w:val="00304918"/>
    <w:rsid w:val="003065AC"/>
    <w:rsid w:val="00316E3F"/>
    <w:rsid w:val="003173AC"/>
    <w:rsid w:val="00317C55"/>
    <w:rsid w:val="0032228A"/>
    <w:rsid w:val="003229C4"/>
    <w:rsid w:val="00324011"/>
    <w:rsid w:val="00327FBB"/>
    <w:rsid w:val="003356B0"/>
    <w:rsid w:val="00336A56"/>
    <w:rsid w:val="00336E33"/>
    <w:rsid w:val="0034337C"/>
    <w:rsid w:val="00345A26"/>
    <w:rsid w:val="00347A11"/>
    <w:rsid w:val="00347D79"/>
    <w:rsid w:val="00350157"/>
    <w:rsid w:val="00350BC5"/>
    <w:rsid w:val="003615BB"/>
    <w:rsid w:val="003629C6"/>
    <w:rsid w:val="00365AB2"/>
    <w:rsid w:val="00366485"/>
    <w:rsid w:val="003666D0"/>
    <w:rsid w:val="003719F7"/>
    <w:rsid w:val="003723E9"/>
    <w:rsid w:val="00372B65"/>
    <w:rsid w:val="00373E64"/>
    <w:rsid w:val="00376794"/>
    <w:rsid w:val="0037729F"/>
    <w:rsid w:val="003813A5"/>
    <w:rsid w:val="0038355C"/>
    <w:rsid w:val="003852D4"/>
    <w:rsid w:val="003871EA"/>
    <w:rsid w:val="00390F34"/>
    <w:rsid w:val="00396C7A"/>
    <w:rsid w:val="003A5EF4"/>
    <w:rsid w:val="003A6ED7"/>
    <w:rsid w:val="003B3AAB"/>
    <w:rsid w:val="003B3C74"/>
    <w:rsid w:val="003B4C96"/>
    <w:rsid w:val="003B6407"/>
    <w:rsid w:val="003B6F0A"/>
    <w:rsid w:val="003B7F20"/>
    <w:rsid w:val="003C0173"/>
    <w:rsid w:val="003C1BB0"/>
    <w:rsid w:val="003C32CC"/>
    <w:rsid w:val="003C5A13"/>
    <w:rsid w:val="003D04D5"/>
    <w:rsid w:val="003D0584"/>
    <w:rsid w:val="003D12C0"/>
    <w:rsid w:val="003D1FB6"/>
    <w:rsid w:val="003D379B"/>
    <w:rsid w:val="003D44AB"/>
    <w:rsid w:val="003E4B85"/>
    <w:rsid w:val="003E4CF6"/>
    <w:rsid w:val="003E4FCC"/>
    <w:rsid w:val="003E6FF5"/>
    <w:rsid w:val="003F4736"/>
    <w:rsid w:val="003F772E"/>
    <w:rsid w:val="00403303"/>
    <w:rsid w:val="004057FB"/>
    <w:rsid w:val="00405B42"/>
    <w:rsid w:val="00407432"/>
    <w:rsid w:val="004119B2"/>
    <w:rsid w:val="00413108"/>
    <w:rsid w:val="0042486D"/>
    <w:rsid w:val="0042741B"/>
    <w:rsid w:val="00430B64"/>
    <w:rsid w:val="0043588D"/>
    <w:rsid w:val="0043609A"/>
    <w:rsid w:val="0043676F"/>
    <w:rsid w:val="00440E46"/>
    <w:rsid w:val="00442037"/>
    <w:rsid w:val="00443293"/>
    <w:rsid w:val="00445012"/>
    <w:rsid w:val="00456321"/>
    <w:rsid w:val="0045716B"/>
    <w:rsid w:val="00457C96"/>
    <w:rsid w:val="004606FE"/>
    <w:rsid w:val="004628C1"/>
    <w:rsid w:val="004637F9"/>
    <w:rsid w:val="00463FAC"/>
    <w:rsid w:val="0046647B"/>
    <w:rsid w:val="0047247E"/>
    <w:rsid w:val="00480F67"/>
    <w:rsid w:val="00483649"/>
    <w:rsid w:val="00485230"/>
    <w:rsid w:val="00492D7B"/>
    <w:rsid w:val="0049423D"/>
    <w:rsid w:val="004A6152"/>
    <w:rsid w:val="004A7BBE"/>
    <w:rsid w:val="004C5DEB"/>
    <w:rsid w:val="004D315C"/>
    <w:rsid w:val="004D3EA5"/>
    <w:rsid w:val="004D548F"/>
    <w:rsid w:val="004E50B1"/>
    <w:rsid w:val="004F5BDB"/>
    <w:rsid w:val="00501856"/>
    <w:rsid w:val="0050796A"/>
    <w:rsid w:val="0051238A"/>
    <w:rsid w:val="005138F2"/>
    <w:rsid w:val="005177D6"/>
    <w:rsid w:val="00520BF9"/>
    <w:rsid w:val="0052169E"/>
    <w:rsid w:val="00523A96"/>
    <w:rsid w:val="00532614"/>
    <w:rsid w:val="00534707"/>
    <w:rsid w:val="00540004"/>
    <w:rsid w:val="00543618"/>
    <w:rsid w:val="005502BC"/>
    <w:rsid w:val="00551335"/>
    <w:rsid w:val="00552567"/>
    <w:rsid w:val="00552EF4"/>
    <w:rsid w:val="005545FE"/>
    <w:rsid w:val="0055645B"/>
    <w:rsid w:val="005613C7"/>
    <w:rsid w:val="00561A71"/>
    <w:rsid w:val="005628F9"/>
    <w:rsid w:val="0056426B"/>
    <w:rsid w:val="00565E8E"/>
    <w:rsid w:val="00570654"/>
    <w:rsid w:val="00571209"/>
    <w:rsid w:val="005747EC"/>
    <w:rsid w:val="00585966"/>
    <w:rsid w:val="0058622C"/>
    <w:rsid w:val="0059447E"/>
    <w:rsid w:val="0059488E"/>
    <w:rsid w:val="00595AD1"/>
    <w:rsid w:val="00595FFF"/>
    <w:rsid w:val="005A3827"/>
    <w:rsid w:val="005A53EE"/>
    <w:rsid w:val="005B08FF"/>
    <w:rsid w:val="005B43F0"/>
    <w:rsid w:val="005B6E32"/>
    <w:rsid w:val="005B6F91"/>
    <w:rsid w:val="005B73C7"/>
    <w:rsid w:val="005C12FF"/>
    <w:rsid w:val="005D462E"/>
    <w:rsid w:val="005D6E92"/>
    <w:rsid w:val="005E15EB"/>
    <w:rsid w:val="005E2249"/>
    <w:rsid w:val="005F1103"/>
    <w:rsid w:val="005F2D71"/>
    <w:rsid w:val="005F3E18"/>
    <w:rsid w:val="005F7624"/>
    <w:rsid w:val="00601E00"/>
    <w:rsid w:val="0060259C"/>
    <w:rsid w:val="00603ADF"/>
    <w:rsid w:val="0060405C"/>
    <w:rsid w:val="00605D2C"/>
    <w:rsid w:val="00606344"/>
    <w:rsid w:val="00611B42"/>
    <w:rsid w:val="00611F10"/>
    <w:rsid w:val="00613E6A"/>
    <w:rsid w:val="0061515C"/>
    <w:rsid w:val="00616D3C"/>
    <w:rsid w:val="0062023B"/>
    <w:rsid w:val="00620B9D"/>
    <w:rsid w:val="00621753"/>
    <w:rsid w:val="0062440B"/>
    <w:rsid w:val="00627676"/>
    <w:rsid w:val="006277EA"/>
    <w:rsid w:val="00627CA8"/>
    <w:rsid w:val="00632668"/>
    <w:rsid w:val="00633925"/>
    <w:rsid w:val="00633DE9"/>
    <w:rsid w:val="006361BF"/>
    <w:rsid w:val="00641A4F"/>
    <w:rsid w:val="006458E6"/>
    <w:rsid w:val="00645E5F"/>
    <w:rsid w:val="00646CD3"/>
    <w:rsid w:val="00652648"/>
    <w:rsid w:val="00653CB6"/>
    <w:rsid w:val="00653FA7"/>
    <w:rsid w:val="006571AB"/>
    <w:rsid w:val="0066104F"/>
    <w:rsid w:val="00662FBE"/>
    <w:rsid w:val="00670D6E"/>
    <w:rsid w:val="006715F9"/>
    <w:rsid w:val="00672E7B"/>
    <w:rsid w:val="0067377C"/>
    <w:rsid w:val="00675226"/>
    <w:rsid w:val="0067586C"/>
    <w:rsid w:val="00683487"/>
    <w:rsid w:val="00684532"/>
    <w:rsid w:val="00694631"/>
    <w:rsid w:val="00695B08"/>
    <w:rsid w:val="00697A28"/>
    <w:rsid w:val="006A43A0"/>
    <w:rsid w:val="006A74AF"/>
    <w:rsid w:val="006B319C"/>
    <w:rsid w:val="006B6EE3"/>
    <w:rsid w:val="006C0727"/>
    <w:rsid w:val="006C0A8B"/>
    <w:rsid w:val="006C21CC"/>
    <w:rsid w:val="006C4D68"/>
    <w:rsid w:val="006C70B8"/>
    <w:rsid w:val="006C7278"/>
    <w:rsid w:val="006C73C5"/>
    <w:rsid w:val="006D0989"/>
    <w:rsid w:val="006D368A"/>
    <w:rsid w:val="006E145F"/>
    <w:rsid w:val="006E5468"/>
    <w:rsid w:val="006E621A"/>
    <w:rsid w:val="00701DD0"/>
    <w:rsid w:val="007024C0"/>
    <w:rsid w:val="007051ED"/>
    <w:rsid w:val="00706767"/>
    <w:rsid w:val="00707353"/>
    <w:rsid w:val="00707B83"/>
    <w:rsid w:val="007114AC"/>
    <w:rsid w:val="00711D56"/>
    <w:rsid w:val="00721427"/>
    <w:rsid w:val="00723995"/>
    <w:rsid w:val="007249EC"/>
    <w:rsid w:val="00725BCF"/>
    <w:rsid w:val="00725D79"/>
    <w:rsid w:val="007339B4"/>
    <w:rsid w:val="00736672"/>
    <w:rsid w:val="00743B40"/>
    <w:rsid w:val="00745546"/>
    <w:rsid w:val="00745BEA"/>
    <w:rsid w:val="00745F37"/>
    <w:rsid w:val="00747FFC"/>
    <w:rsid w:val="007507C2"/>
    <w:rsid w:val="007555D4"/>
    <w:rsid w:val="00760587"/>
    <w:rsid w:val="00765ACA"/>
    <w:rsid w:val="00770572"/>
    <w:rsid w:val="00772239"/>
    <w:rsid w:val="007842C0"/>
    <w:rsid w:val="00784AEC"/>
    <w:rsid w:val="00790ED5"/>
    <w:rsid w:val="00792DD7"/>
    <w:rsid w:val="00796F0E"/>
    <w:rsid w:val="007978C3"/>
    <w:rsid w:val="007A597A"/>
    <w:rsid w:val="007A695F"/>
    <w:rsid w:val="007B1557"/>
    <w:rsid w:val="007B774A"/>
    <w:rsid w:val="007B7B45"/>
    <w:rsid w:val="007C350D"/>
    <w:rsid w:val="007C3D94"/>
    <w:rsid w:val="007C495A"/>
    <w:rsid w:val="007C594F"/>
    <w:rsid w:val="007D0C74"/>
    <w:rsid w:val="007D357C"/>
    <w:rsid w:val="007D4537"/>
    <w:rsid w:val="007D516C"/>
    <w:rsid w:val="007D69A9"/>
    <w:rsid w:val="007D7989"/>
    <w:rsid w:val="007E1992"/>
    <w:rsid w:val="007E2117"/>
    <w:rsid w:val="007E4A43"/>
    <w:rsid w:val="007F0296"/>
    <w:rsid w:val="007F3359"/>
    <w:rsid w:val="007F3B59"/>
    <w:rsid w:val="00801CE7"/>
    <w:rsid w:val="0080294D"/>
    <w:rsid w:val="00807014"/>
    <w:rsid w:val="00812BC1"/>
    <w:rsid w:val="00813B60"/>
    <w:rsid w:val="00816187"/>
    <w:rsid w:val="00816B39"/>
    <w:rsid w:val="0083158A"/>
    <w:rsid w:val="00831AC1"/>
    <w:rsid w:val="00833E00"/>
    <w:rsid w:val="008406A5"/>
    <w:rsid w:val="0084122C"/>
    <w:rsid w:val="00842242"/>
    <w:rsid w:val="0084388E"/>
    <w:rsid w:val="00844539"/>
    <w:rsid w:val="0084504C"/>
    <w:rsid w:val="00853BA4"/>
    <w:rsid w:val="008603AE"/>
    <w:rsid w:val="00862461"/>
    <w:rsid w:val="008625C9"/>
    <w:rsid w:val="00865683"/>
    <w:rsid w:val="0087007A"/>
    <w:rsid w:val="008706C6"/>
    <w:rsid w:val="0087074F"/>
    <w:rsid w:val="00871FBC"/>
    <w:rsid w:val="008738EE"/>
    <w:rsid w:val="00873B6C"/>
    <w:rsid w:val="008754F2"/>
    <w:rsid w:val="008761BF"/>
    <w:rsid w:val="0088183E"/>
    <w:rsid w:val="00882DF9"/>
    <w:rsid w:val="008856DB"/>
    <w:rsid w:val="008902F8"/>
    <w:rsid w:val="0089536C"/>
    <w:rsid w:val="008955B8"/>
    <w:rsid w:val="00895B0D"/>
    <w:rsid w:val="008A0926"/>
    <w:rsid w:val="008A1803"/>
    <w:rsid w:val="008A71FE"/>
    <w:rsid w:val="008B0056"/>
    <w:rsid w:val="008B2109"/>
    <w:rsid w:val="008B3724"/>
    <w:rsid w:val="008B381A"/>
    <w:rsid w:val="008B50C3"/>
    <w:rsid w:val="008C1888"/>
    <w:rsid w:val="008C1CA4"/>
    <w:rsid w:val="008C3EA0"/>
    <w:rsid w:val="008C436B"/>
    <w:rsid w:val="008C5F26"/>
    <w:rsid w:val="008C5F95"/>
    <w:rsid w:val="008C6626"/>
    <w:rsid w:val="008C6B76"/>
    <w:rsid w:val="008D2F49"/>
    <w:rsid w:val="008E4C09"/>
    <w:rsid w:val="008E4FEA"/>
    <w:rsid w:val="008F0EC0"/>
    <w:rsid w:val="008F100F"/>
    <w:rsid w:val="008F345A"/>
    <w:rsid w:val="008F4561"/>
    <w:rsid w:val="008F60D8"/>
    <w:rsid w:val="008F6E73"/>
    <w:rsid w:val="00902E40"/>
    <w:rsid w:val="00905AD2"/>
    <w:rsid w:val="009072A5"/>
    <w:rsid w:val="00911B75"/>
    <w:rsid w:val="00912A14"/>
    <w:rsid w:val="00912F58"/>
    <w:rsid w:val="0091545F"/>
    <w:rsid w:val="00917819"/>
    <w:rsid w:val="009307D5"/>
    <w:rsid w:val="00931A27"/>
    <w:rsid w:val="009339FC"/>
    <w:rsid w:val="00937AEB"/>
    <w:rsid w:val="00937B18"/>
    <w:rsid w:val="0094515A"/>
    <w:rsid w:val="009510AC"/>
    <w:rsid w:val="00951D4F"/>
    <w:rsid w:val="00954F4E"/>
    <w:rsid w:val="009658DD"/>
    <w:rsid w:val="00973DC8"/>
    <w:rsid w:val="00973F3C"/>
    <w:rsid w:val="00975107"/>
    <w:rsid w:val="009761A1"/>
    <w:rsid w:val="009806F2"/>
    <w:rsid w:val="009825CC"/>
    <w:rsid w:val="00983AB1"/>
    <w:rsid w:val="009849FA"/>
    <w:rsid w:val="00987B2B"/>
    <w:rsid w:val="00987D3E"/>
    <w:rsid w:val="00987D68"/>
    <w:rsid w:val="00991B94"/>
    <w:rsid w:val="00992A00"/>
    <w:rsid w:val="0099396A"/>
    <w:rsid w:val="00993AD0"/>
    <w:rsid w:val="00995A00"/>
    <w:rsid w:val="00997C08"/>
    <w:rsid w:val="00997C98"/>
    <w:rsid w:val="009A2163"/>
    <w:rsid w:val="009A6AA9"/>
    <w:rsid w:val="009B000B"/>
    <w:rsid w:val="009B571D"/>
    <w:rsid w:val="009C4C0C"/>
    <w:rsid w:val="009D31F9"/>
    <w:rsid w:val="009D55A8"/>
    <w:rsid w:val="009D7785"/>
    <w:rsid w:val="009E0C6E"/>
    <w:rsid w:val="009E0E21"/>
    <w:rsid w:val="009E18D4"/>
    <w:rsid w:val="009E1B1D"/>
    <w:rsid w:val="009E2545"/>
    <w:rsid w:val="009F18BC"/>
    <w:rsid w:val="009F303D"/>
    <w:rsid w:val="009F41C5"/>
    <w:rsid w:val="00A019C0"/>
    <w:rsid w:val="00A256D4"/>
    <w:rsid w:val="00A31D4F"/>
    <w:rsid w:val="00A33767"/>
    <w:rsid w:val="00A37479"/>
    <w:rsid w:val="00A41AC6"/>
    <w:rsid w:val="00A46833"/>
    <w:rsid w:val="00A534F5"/>
    <w:rsid w:val="00A6195E"/>
    <w:rsid w:val="00A62095"/>
    <w:rsid w:val="00A6365B"/>
    <w:rsid w:val="00A64816"/>
    <w:rsid w:val="00A679D6"/>
    <w:rsid w:val="00A7026C"/>
    <w:rsid w:val="00A7084B"/>
    <w:rsid w:val="00A7247D"/>
    <w:rsid w:val="00A76BD9"/>
    <w:rsid w:val="00A776E8"/>
    <w:rsid w:val="00A8063F"/>
    <w:rsid w:val="00A85BD1"/>
    <w:rsid w:val="00A86869"/>
    <w:rsid w:val="00A87BC4"/>
    <w:rsid w:val="00A90E05"/>
    <w:rsid w:val="00A9400F"/>
    <w:rsid w:val="00A944EF"/>
    <w:rsid w:val="00A9730C"/>
    <w:rsid w:val="00AA427C"/>
    <w:rsid w:val="00AA5392"/>
    <w:rsid w:val="00AA7CE9"/>
    <w:rsid w:val="00AB0AF0"/>
    <w:rsid w:val="00AB3E56"/>
    <w:rsid w:val="00AC29D8"/>
    <w:rsid w:val="00AC35CF"/>
    <w:rsid w:val="00AC378B"/>
    <w:rsid w:val="00AC54B5"/>
    <w:rsid w:val="00AC57F2"/>
    <w:rsid w:val="00AD0961"/>
    <w:rsid w:val="00AD0F4B"/>
    <w:rsid w:val="00AE0FD0"/>
    <w:rsid w:val="00AE26A4"/>
    <w:rsid w:val="00AE2B40"/>
    <w:rsid w:val="00AE2E8E"/>
    <w:rsid w:val="00AE4BED"/>
    <w:rsid w:val="00AF4066"/>
    <w:rsid w:val="00B033BD"/>
    <w:rsid w:val="00B12F02"/>
    <w:rsid w:val="00B13237"/>
    <w:rsid w:val="00B14C7F"/>
    <w:rsid w:val="00B173DB"/>
    <w:rsid w:val="00B17953"/>
    <w:rsid w:val="00B20276"/>
    <w:rsid w:val="00B23D30"/>
    <w:rsid w:val="00B25414"/>
    <w:rsid w:val="00B2763D"/>
    <w:rsid w:val="00B30CDF"/>
    <w:rsid w:val="00B31A17"/>
    <w:rsid w:val="00B34522"/>
    <w:rsid w:val="00B34E23"/>
    <w:rsid w:val="00B363BA"/>
    <w:rsid w:val="00B470B0"/>
    <w:rsid w:val="00B473A9"/>
    <w:rsid w:val="00B50A7D"/>
    <w:rsid w:val="00B54297"/>
    <w:rsid w:val="00B576FB"/>
    <w:rsid w:val="00B5772C"/>
    <w:rsid w:val="00B60C3C"/>
    <w:rsid w:val="00B62948"/>
    <w:rsid w:val="00B62A25"/>
    <w:rsid w:val="00B740C9"/>
    <w:rsid w:val="00B74D7F"/>
    <w:rsid w:val="00B83EA9"/>
    <w:rsid w:val="00B84A86"/>
    <w:rsid w:val="00B91B56"/>
    <w:rsid w:val="00B94C9C"/>
    <w:rsid w:val="00B9534A"/>
    <w:rsid w:val="00BA0B2C"/>
    <w:rsid w:val="00BA277E"/>
    <w:rsid w:val="00BB1E74"/>
    <w:rsid w:val="00BB2201"/>
    <w:rsid w:val="00BB2538"/>
    <w:rsid w:val="00BB4976"/>
    <w:rsid w:val="00BC168C"/>
    <w:rsid w:val="00BC2F74"/>
    <w:rsid w:val="00BC4192"/>
    <w:rsid w:val="00BC4E00"/>
    <w:rsid w:val="00BC739A"/>
    <w:rsid w:val="00BD018C"/>
    <w:rsid w:val="00BD0331"/>
    <w:rsid w:val="00BD0D26"/>
    <w:rsid w:val="00BD1802"/>
    <w:rsid w:val="00BD544B"/>
    <w:rsid w:val="00BE6861"/>
    <w:rsid w:val="00BE68C2"/>
    <w:rsid w:val="00BF3019"/>
    <w:rsid w:val="00BF52A7"/>
    <w:rsid w:val="00BF7951"/>
    <w:rsid w:val="00C11491"/>
    <w:rsid w:val="00C1395F"/>
    <w:rsid w:val="00C22C75"/>
    <w:rsid w:val="00C238A9"/>
    <w:rsid w:val="00C32DA5"/>
    <w:rsid w:val="00C331F6"/>
    <w:rsid w:val="00C41331"/>
    <w:rsid w:val="00C515F4"/>
    <w:rsid w:val="00C5367F"/>
    <w:rsid w:val="00C539B8"/>
    <w:rsid w:val="00C6450D"/>
    <w:rsid w:val="00C6622A"/>
    <w:rsid w:val="00C77FFA"/>
    <w:rsid w:val="00C80619"/>
    <w:rsid w:val="00C9300F"/>
    <w:rsid w:val="00C963D4"/>
    <w:rsid w:val="00CA09B2"/>
    <w:rsid w:val="00CB4A36"/>
    <w:rsid w:val="00CC2541"/>
    <w:rsid w:val="00CC4382"/>
    <w:rsid w:val="00CC6BBE"/>
    <w:rsid w:val="00CC793B"/>
    <w:rsid w:val="00CD02F9"/>
    <w:rsid w:val="00CD3C8A"/>
    <w:rsid w:val="00CD62B7"/>
    <w:rsid w:val="00CD6CB0"/>
    <w:rsid w:val="00CE1C87"/>
    <w:rsid w:val="00CE5780"/>
    <w:rsid w:val="00CF500F"/>
    <w:rsid w:val="00CF793C"/>
    <w:rsid w:val="00CF7EE0"/>
    <w:rsid w:val="00D0301B"/>
    <w:rsid w:val="00D113A2"/>
    <w:rsid w:val="00D1533A"/>
    <w:rsid w:val="00D154ED"/>
    <w:rsid w:val="00D16A29"/>
    <w:rsid w:val="00D205FB"/>
    <w:rsid w:val="00D20B5A"/>
    <w:rsid w:val="00D238F8"/>
    <w:rsid w:val="00D26EEE"/>
    <w:rsid w:val="00D3696C"/>
    <w:rsid w:val="00D3717A"/>
    <w:rsid w:val="00D435E7"/>
    <w:rsid w:val="00D454F7"/>
    <w:rsid w:val="00D53E2A"/>
    <w:rsid w:val="00D56243"/>
    <w:rsid w:val="00D64487"/>
    <w:rsid w:val="00D66B72"/>
    <w:rsid w:val="00D6793D"/>
    <w:rsid w:val="00D70C3A"/>
    <w:rsid w:val="00D71026"/>
    <w:rsid w:val="00D71E5A"/>
    <w:rsid w:val="00D7439B"/>
    <w:rsid w:val="00D74F54"/>
    <w:rsid w:val="00D811B6"/>
    <w:rsid w:val="00D826E7"/>
    <w:rsid w:val="00D82B84"/>
    <w:rsid w:val="00D82C36"/>
    <w:rsid w:val="00D833C5"/>
    <w:rsid w:val="00D8485A"/>
    <w:rsid w:val="00D8626C"/>
    <w:rsid w:val="00D87FAD"/>
    <w:rsid w:val="00D96B45"/>
    <w:rsid w:val="00DA036E"/>
    <w:rsid w:val="00DA09E0"/>
    <w:rsid w:val="00DA6BB3"/>
    <w:rsid w:val="00DB241A"/>
    <w:rsid w:val="00DB55D1"/>
    <w:rsid w:val="00DC2D83"/>
    <w:rsid w:val="00DC5667"/>
    <w:rsid w:val="00DC5A7B"/>
    <w:rsid w:val="00DC5B91"/>
    <w:rsid w:val="00DD1716"/>
    <w:rsid w:val="00DD2E11"/>
    <w:rsid w:val="00DD569C"/>
    <w:rsid w:val="00DD6BDA"/>
    <w:rsid w:val="00DD7FC9"/>
    <w:rsid w:val="00DE72B7"/>
    <w:rsid w:val="00DE7A69"/>
    <w:rsid w:val="00DF04C9"/>
    <w:rsid w:val="00DF48E6"/>
    <w:rsid w:val="00DF7432"/>
    <w:rsid w:val="00DF771E"/>
    <w:rsid w:val="00E010A0"/>
    <w:rsid w:val="00E01240"/>
    <w:rsid w:val="00E05D1A"/>
    <w:rsid w:val="00E17BA0"/>
    <w:rsid w:val="00E17C8D"/>
    <w:rsid w:val="00E21BF3"/>
    <w:rsid w:val="00E2467B"/>
    <w:rsid w:val="00E26019"/>
    <w:rsid w:val="00E2607D"/>
    <w:rsid w:val="00E26A66"/>
    <w:rsid w:val="00E26BAD"/>
    <w:rsid w:val="00E2734A"/>
    <w:rsid w:val="00E33E50"/>
    <w:rsid w:val="00E42835"/>
    <w:rsid w:val="00E437AD"/>
    <w:rsid w:val="00E43B74"/>
    <w:rsid w:val="00E47280"/>
    <w:rsid w:val="00E54F44"/>
    <w:rsid w:val="00E56DB3"/>
    <w:rsid w:val="00E62396"/>
    <w:rsid w:val="00E63D5C"/>
    <w:rsid w:val="00E65901"/>
    <w:rsid w:val="00E73CB0"/>
    <w:rsid w:val="00E73ECD"/>
    <w:rsid w:val="00E769CE"/>
    <w:rsid w:val="00E802E4"/>
    <w:rsid w:val="00E808D4"/>
    <w:rsid w:val="00E81CA2"/>
    <w:rsid w:val="00E8296C"/>
    <w:rsid w:val="00E90413"/>
    <w:rsid w:val="00E90A8C"/>
    <w:rsid w:val="00E92376"/>
    <w:rsid w:val="00E927C2"/>
    <w:rsid w:val="00E97C45"/>
    <w:rsid w:val="00EA10B7"/>
    <w:rsid w:val="00EA2B7A"/>
    <w:rsid w:val="00EA2E71"/>
    <w:rsid w:val="00EA5893"/>
    <w:rsid w:val="00EA5E89"/>
    <w:rsid w:val="00EB67E3"/>
    <w:rsid w:val="00EB68EA"/>
    <w:rsid w:val="00EC01F8"/>
    <w:rsid w:val="00ED233A"/>
    <w:rsid w:val="00ED2F6D"/>
    <w:rsid w:val="00EE7F02"/>
    <w:rsid w:val="00EF4DED"/>
    <w:rsid w:val="00EF5C95"/>
    <w:rsid w:val="00F00DE1"/>
    <w:rsid w:val="00F022DF"/>
    <w:rsid w:val="00F02D07"/>
    <w:rsid w:val="00F0558D"/>
    <w:rsid w:val="00F13ECE"/>
    <w:rsid w:val="00F178BD"/>
    <w:rsid w:val="00F22F9D"/>
    <w:rsid w:val="00F263E3"/>
    <w:rsid w:val="00F32443"/>
    <w:rsid w:val="00F334AF"/>
    <w:rsid w:val="00F338E4"/>
    <w:rsid w:val="00F37FE6"/>
    <w:rsid w:val="00F43E74"/>
    <w:rsid w:val="00F445DC"/>
    <w:rsid w:val="00F47EC6"/>
    <w:rsid w:val="00F50A90"/>
    <w:rsid w:val="00F521A2"/>
    <w:rsid w:val="00F61B58"/>
    <w:rsid w:val="00F66BCB"/>
    <w:rsid w:val="00F67C25"/>
    <w:rsid w:val="00F73A48"/>
    <w:rsid w:val="00F7504F"/>
    <w:rsid w:val="00F81E85"/>
    <w:rsid w:val="00F828D0"/>
    <w:rsid w:val="00F84D6F"/>
    <w:rsid w:val="00F976C3"/>
    <w:rsid w:val="00FA2D08"/>
    <w:rsid w:val="00FA3D5A"/>
    <w:rsid w:val="00FB0CCE"/>
    <w:rsid w:val="00FB21A5"/>
    <w:rsid w:val="00FB47AF"/>
    <w:rsid w:val="00FB5FB1"/>
    <w:rsid w:val="00FB7D11"/>
    <w:rsid w:val="00FC4821"/>
    <w:rsid w:val="00FD16D7"/>
    <w:rsid w:val="00FD349B"/>
    <w:rsid w:val="00FD359E"/>
    <w:rsid w:val="00FD415A"/>
    <w:rsid w:val="00FD7824"/>
    <w:rsid w:val="00FD79AA"/>
    <w:rsid w:val="00FE05A8"/>
    <w:rsid w:val="00FE0A39"/>
    <w:rsid w:val="00FE0E70"/>
    <w:rsid w:val="00FE5360"/>
    <w:rsid w:val="00FE54CB"/>
    <w:rsid w:val="00FE6E1A"/>
    <w:rsid w:val="00FF01FA"/>
    <w:rsid w:val="00FF361E"/>
    <w:rsid w:val="00FF3B17"/>
    <w:rsid w:val="00FF3B93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FC"/>
    <w:pPr>
      <w:jc w:val="both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FC"/>
    <w:pPr>
      <w:jc w:val="both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ischer@broadco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802.11-16/0742r0</vt:lpstr>
    </vt:vector>
  </TitlesOfParts>
  <Company>Some Company</Company>
  <LinksUpToDate>false</LinksUpToDate>
  <CharactersWithSpaces>5524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802.11-16/0724r0</dc:title>
  <dc:subject>Submission</dc:subject>
  <dc:creator>Matthew Fischer</dc:creator>
  <cp:keywords>March 2016</cp:keywords>
  <dc:description>Matthew Fischer, Broadcom</dc:description>
  <cp:lastModifiedBy>Matthew Fischer</cp:lastModifiedBy>
  <cp:revision>4</cp:revision>
  <cp:lastPrinted>2014-07-05T01:59:00Z</cp:lastPrinted>
  <dcterms:created xsi:type="dcterms:W3CDTF">2016-05-18T23:28:00Z</dcterms:created>
  <dcterms:modified xsi:type="dcterms:W3CDTF">2016-05-18T23:29:00Z</dcterms:modified>
</cp:coreProperties>
</file>