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440"/>
        <w:gridCol w:w="3159"/>
        <w:gridCol w:w="1791"/>
        <w:gridCol w:w="1571"/>
      </w:tblGrid>
      <w:tr w:rsidR="00CA09B2" w:rsidTr="00A525F0">
        <w:trPr>
          <w:trHeight w:val="485"/>
          <w:jc w:val="center"/>
        </w:trPr>
        <w:tc>
          <w:tcPr>
            <w:tcW w:w="9576" w:type="dxa"/>
            <w:gridSpan w:val="5"/>
            <w:vAlign w:val="bottom"/>
          </w:tcPr>
          <w:p w:rsidR="00CA09B2" w:rsidRDefault="004412DD" w:rsidP="001B65F8">
            <w:pPr>
              <w:pStyle w:val="T2"/>
            </w:pPr>
            <w:r>
              <w:t xml:space="preserve">Resolution </w:t>
            </w:r>
            <w:r w:rsidR="00B8750A">
              <w:t>f</w:t>
            </w:r>
            <w:r w:rsidR="00A3365A">
              <w:t xml:space="preserve">or </w:t>
            </w:r>
            <w:r w:rsidR="001B65F8">
              <w:t>miscellaneous</w:t>
            </w:r>
            <w:r w:rsidR="00182A48">
              <w:t xml:space="preserve"> comments</w:t>
            </w:r>
            <w:r w:rsidR="008B773F">
              <w:t xml:space="preserve"> in SB1</w:t>
            </w:r>
          </w:p>
        </w:tc>
      </w:tr>
      <w:tr w:rsidR="00CA09B2" w:rsidTr="00A525F0">
        <w:trPr>
          <w:trHeight w:val="359"/>
          <w:jc w:val="center"/>
        </w:trPr>
        <w:tc>
          <w:tcPr>
            <w:tcW w:w="9576" w:type="dxa"/>
            <w:gridSpan w:val="5"/>
            <w:vAlign w:val="center"/>
          </w:tcPr>
          <w:p w:rsidR="00CA09B2" w:rsidRPr="00977061" w:rsidRDefault="00CA09B2" w:rsidP="00D418B2">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3A0823">
              <w:rPr>
                <w:b w:val="0"/>
                <w:sz w:val="24"/>
                <w:szCs w:val="24"/>
              </w:rPr>
              <w:t>6</w:t>
            </w:r>
            <w:r w:rsidR="00965FF9" w:rsidRPr="00977061">
              <w:rPr>
                <w:b w:val="0"/>
                <w:sz w:val="24"/>
                <w:szCs w:val="24"/>
              </w:rPr>
              <w:t>-</w:t>
            </w:r>
            <w:r w:rsidR="00D418B2">
              <w:rPr>
                <w:b w:val="0"/>
                <w:sz w:val="24"/>
                <w:szCs w:val="24"/>
              </w:rPr>
              <w:t>04</w:t>
            </w:r>
            <w:r w:rsidR="00965FF9" w:rsidRPr="00977061">
              <w:rPr>
                <w:b w:val="0"/>
                <w:sz w:val="24"/>
                <w:szCs w:val="24"/>
              </w:rPr>
              <w:t>-</w:t>
            </w:r>
            <w:r w:rsidR="00C24D95">
              <w:rPr>
                <w:b w:val="0"/>
                <w:sz w:val="24"/>
                <w:szCs w:val="24"/>
              </w:rPr>
              <w:t>2</w:t>
            </w:r>
            <w:r w:rsidR="001B65F8">
              <w:rPr>
                <w:b w:val="0"/>
                <w:sz w:val="24"/>
                <w:szCs w:val="24"/>
              </w:rPr>
              <w:t>7</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CE7D0D">
        <w:trPr>
          <w:jc w:val="center"/>
        </w:trPr>
        <w:tc>
          <w:tcPr>
            <w:tcW w:w="1615"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440"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159"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CE7D0D">
        <w:trPr>
          <w:jc w:val="center"/>
        </w:trPr>
        <w:tc>
          <w:tcPr>
            <w:tcW w:w="1615"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440"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159"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747F02" w:rsidP="00A525F0">
            <w:pPr>
              <w:pStyle w:val="T2"/>
              <w:spacing w:after="0"/>
              <w:ind w:left="0" w:right="0"/>
              <w:jc w:val="left"/>
              <w:rPr>
                <w:b w:val="0"/>
                <w:sz w:val="22"/>
                <w:szCs w:val="22"/>
              </w:rPr>
            </w:pPr>
            <w:hyperlink r:id="rId8" w:history="1">
              <w:r w:rsidR="00143796" w:rsidRPr="00A40969">
                <w:rPr>
                  <w:rStyle w:val="Hyperlink"/>
                  <w:b w:val="0"/>
                  <w:sz w:val="22"/>
                  <w:szCs w:val="22"/>
                </w:rPr>
                <w:t>edward.ks.au@huawei.com</w:t>
              </w:r>
            </w:hyperlink>
            <w:r w:rsidR="00143796">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8218AB" w:rsidRDefault="008E79F9"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 xml:space="preserve">This submission presents proposed resolution </w:t>
      </w:r>
      <w:r w:rsidR="00A25BB0">
        <w:rPr>
          <w:rFonts w:ascii="Times New Roman" w:hAnsi="Times New Roman"/>
          <w:b w:val="0"/>
          <w:i w:val="0"/>
          <w:sz w:val="24"/>
          <w:szCs w:val="24"/>
        </w:rPr>
        <w:t>to</w:t>
      </w:r>
      <w:r>
        <w:rPr>
          <w:rFonts w:ascii="Times New Roman" w:hAnsi="Times New Roman"/>
          <w:b w:val="0"/>
          <w:i w:val="0"/>
          <w:sz w:val="24"/>
          <w:szCs w:val="24"/>
        </w:rPr>
        <w:t xml:space="preserve"> </w:t>
      </w:r>
      <w:r w:rsidR="00993C91">
        <w:rPr>
          <w:rFonts w:ascii="Times New Roman" w:hAnsi="Times New Roman"/>
          <w:b w:val="0"/>
          <w:i w:val="0"/>
          <w:sz w:val="24"/>
          <w:szCs w:val="24"/>
        </w:rPr>
        <w:t>CID</w:t>
      </w:r>
      <w:r w:rsidR="00D418B2">
        <w:rPr>
          <w:rFonts w:ascii="Times New Roman" w:hAnsi="Times New Roman"/>
          <w:b w:val="0"/>
          <w:i w:val="0"/>
          <w:sz w:val="24"/>
          <w:szCs w:val="24"/>
        </w:rPr>
        <w:t xml:space="preserve">s </w:t>
      </w:r>
      <w:r w:rsidR="007D0D85">
        <w:rPr>
          <w:rFonts w:ascii="Times New Roman" w:hAnsi="Times New Roman"/>
          <w:b w:val="0"/>
          <w:i w:val="0"/>
          <w:sz w:val="24"/>
          <w:szCs w:val="24"/>
        </w:rPr>
        <w:t>7633, 7134</w:t>
      </w:r>
      <w:r w:rsidR="0074789E">
        <w:rPr>
          <w:rFonts w:ascii="Times New Roman" w:hAnsi="Times New Roman"/>
          <w:b w:val="0"/>
          <w:i w:val="0"/>
          <w:sz w:val="24"/>
          <w:szCs w:val="24"/>
        </w:rPr>
        <w:t>, and 7135</w:t>
      </w:r>
      <w:r>
        <w:rPr>
          <w:rFonts w:ascii="Times New Roman" w:hAnsi="Times New Roman"/>
          <w:b w:val="0"/>
          <w:i w:val="0"/>
          <w:sz w:val="24"/>
          <w:szCs w:val="24"/>
        </w:rPr>
        <w:t>.</w:t>
      </w:r>
      <w:r w:rsidR="00FB63FF" w:rsidRPr="00A525F0">
        <w:rPr>
          <w:rFonts w:ascii="Times New Roman" w:hAnsi="Times New Roman"/>
          <w:b w:val="0"/>
          <w:i w:val="0"/>
          <w:sz w:val="24"/>
          <w:szCs w:val="24"/>
        </w:rPr>
        <w:t xml:space="preserve"> </w:t>
      </w:r>
      <w:r w:rsidR="00A525F0" w:rsidRPr="00A525F0">
        <w:rPr>
          <w:rFonts w:ascii="Times New Roman" w:hAnsi="Times New Roman"/>
          <w:b w:val="0"/>
          <w:i w:val="0"/>
          <w:sz w:val="24"/>
          <w:szCs w:val="24"/>
        </w:rPr>
        <w:t xml:space="preserve"> </w:t>
      </w:r>
      <w:r w:rsidR="007F6921">
        <w:rPr>
          <w:rFonts w:ascii="Times New Roman" w:hAnsi="Times New Roman"/>
          <w:b w:val="0"/>
          <w:i w:val="0"/>
          <w:sz w:val="24"/>
          <w:szCs w:val="24"/>
        </w:rPr>
        <w:t xml:space="preserve">Changes indicated by </w:t>
      </w:r>
      <w:r w:rsidR="00FB63FF" w:rsidRPr="00A525F0">
        <w:rPr>
          <w:rFonts w:ascii="Times New Roman" w:hAnsi="Times New Roman"/>
          <w:b w:val="0"/>
          <w:i w:val="0"/>
          <w:sz w:val="24"/>
          <w:szCs w:val="24"/>
        </w:rPr>
        <w:t>instructions.</w:t>
      </w:r>
    </w:p>
    <w:p w:rsidR="008218AB" w:rsidRDefault="008218AB" w:rsidP="00222194">
      <w:pPr>
        <w:pStyle w:val="Heading5"/>
        <w:spacing w:before="60"/>
        <w:jc w:val="both"/>
        <w:rPr>
          <w:rFonts w:ascii="Times New Roman" w:hAnsi="Times New Roman"/>
          <w:b w:val="0"/>
          <w:i w:val="0"/>
          <w:sz w:val="24"/>
          <w:szCs w:val="24"/>
        </w:rPr>
      </w:pPr>
    </w:p>
    <w:p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rsidR="00C24D95" w:rsidRPr="00C24D95" w:rsidRDefault="008218AB" w:rsidP="00C24D95">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rsidR="002152A4" w:rsidRDefault="002152A4" w:rsidP="002152A4"/>
    <w:p w:rsidR="00977061" w:rsidRDefault="00977061" w:rsidP="00977061"/>
    <w:p w:rsidR="00B67992" w:rsidRDefault="00B67992">
      <w:pPr>
        <w:rPr>
          <w:b/>
          <w:bCs/>
          <w:iCs/>
          <w:u w:val="single"/>
        </w:rPr>
      </w:pPr>
      <w:r>
        <w:rPr>
          <w:i/>
          <w:u w:val="single"/>
        </w:rPr>
        <w:br w:type="page"/>
      </w:r>
    </w:p>
    <w:p w:rsidR="007F2FDA" w:rsidRPr="001E491B" w:rsidRDefault="007F2FDA" w:rsidP="007F2FDA"/>
    <w:tbl>
      <w:tblPr>
        <w:tblW w:w="4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349"/>
        <w:gridCol w:w="720"/>
        <w:gridCol w:w="720"/>
        <w:gridCol w:w="3060"/>
        <w:gridCol w:w="3343"/>
      </w:tblGrid>
      <w:tr w:rsidR="00D318D9" w:rsidRPr="001E491B" w:rsidTr="00E62654">
        <w:trPr>
          <w:trHeight w:val="340"/>
          <w:jc w:val="center"/>
        </w:trPr>
        <w:tc>
          <w:tcPr>
            <w:tcW w:w="380"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r w:rsidRPr="001E491B">
              <w:t>CID</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jc w:val="center"/>
            </w:pPr>
            <w:r w:rsidRPr="001E491B">
              <w:t>Clause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jc w:val="center"/>
            </w:pPr>
            <w:r w:rsidRPr="001E491B">
              <w:t>Page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jc w:val="center"/>
              <w:rPr>
                <w:color w:val="000000"/>
              </w:rPr>
            </w:pPr>
            <w:r w:rsidRPr="001E491B">
              <w:rPr>
                <w:color w:val="000000"/>
              </w:rPr>
              <w:t>Line</w:t>
            </w:r>
          </w:p>
        </w:tc>
        <w:tc>
          <w:tcPr>
            <w:tcW w:w="1538"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pPr>
              <w:rPr>
                <w:color w:val="000000"/>
              </w:rPr>
            </w:pPr>
            <w:r w:rsidRPr="001E491B">
              <w:rPr>
                <w:color w:val="000000"/>
              </w:rPr>
              <w:t>Comment</w:t>
            </w:r>
          </w:p>
        </w:tc>
        <w:tc>
          <w:tcPr>
            <w:tcW w:w="1681" w:type="pct"/>
            <w:tcBorders>
              <w:top w:val="single" w:sz="4" w:space="0" w:color="auto"/>
              <w:left w:val="single" w:sz="4" w:space="0" w:color="auto"/>
              <w:bottom w:val="single" w:sz="4" w:space="0" w:color="auto"/>
              <w:right w:val="single" w:sz="4" w:space="0" w:color="auto"/>
            </w:tcBorders>
            <w:shd w:val="clear" w:color="auto" w:fill="auto"/>
            <w:hideMark/>
          </w:tcPr>
          <w:p w:rsidR="00B76A2F" w:rsidRPr="001E491B" w:rsidRDefault="00B76A2F" w:rsidP="00B76A2F">
            <w:r w:rsidRPr="001E491B">
              <w:t>Proposed Change</w:t>
            </w:r>
          </w:p>
        </w:tc>
      </w:tr>
      <w:tr w:rsidR="000476E2" w:rsidRPr="001E491B" w:rsidTr="00E62654">
        <w:trPr>
          <w:trHeight w:val="1223"/>
          <w:jc w:val="center"/>
        </w:trPr>
        <w:tc>
          <w:tcPr>
            <w:tcW w:w="380" w:type="pct"/>
            <w:shd w:val="clear" w:color="auto" w:fill="auto"/>
          </w:tcPr>
          <w:p w:rsidR="000476E2" w:rsidRPr="001E491B" w:rsidRDefault="004C1F1E" w:rsidP="00557BB0">
            <w:r>
              <w:t>7633</w:t>
            </w:r>
          </w:p>
        </w:tc>
        <w:tc>
          <w:tcPr>
            <w:tcW w:w="678" w:type="pct"/>
            <w:shd w:val="clear" w:color="auto" w:fill="auto"/>
          </w:tcPr>
          <w:p w:rsidR="000476E2" w:rsidRPr="001E491B" w:rsidRDefault="000476E2" w:rsidP="00AA2A8B">
            <w:pPr>
              <w:jc w:val="center"/>
            </w:pPr>
          </w:p>
        </w:tc>
        <w:tc>
          <w:tcPr>
            <w:tcW w:w="362" w:type="pct"/>
            <w:shd w:val="clear" w:color="auto" w:fill="auto"/>
          </w:tcPr>
          <w:p w:rsidR="000476E2" w:rsidRPr="001E491B" w:rsidRDefault="000476E2" w:rsidP="00B76A2F">
            <w:pPr>
              <w:jc w:val="center"/>
            </w:pPr>
          </w:p>
        </w:tc>
        <w:tc>
          <w:tcPr>
            <w:tcW w:w="362" w:type="pct"/>
            <w:shd w:val="clear" w:color="auto" w:fill="auto"/>
          </w:tcPr>
          <w:p w:rsidR="000476E2" w:rsidRPr="001E491B" w:rsidRDefault="000476E2" w:rsidP="00B76A2F">
            <w:pPr>
              <w:jc w:val="center"/>
            </w:pPr>
          </w:p>
        </w:tc>
        <w:tc>
          <w:tcPr>
            <w:tcW w:w="1538" w:type="pct"/>
            <w:shd w:val="clear" w:color="auto" w:fill="auto"/>
          </w:tcPr>
          <w:p w:rsidR="000476E2" w:rsidRPr="001E491B" w:rsidRDefault="004C1F1E" w:rsidP="00D318D9">
            <w:r w:rsidRPr="004C1F1E">
              <w:t>There are half a dozen instances of "with a valid FCS".  These should be removed, as it is implicit that if a frame has an invalid FCS you haven't received anything (otherwise you'd have to pepper every second line of the spec with "with a valid FCS"!)</w:t>
            </w:r>
          </w:p>
        </w:tc>
        <w:tc>
          <w:tcPr>
            <w:tcW w:w="1681" w:type="pct"/>
            <w:shd w:val="clear" w:color="auto" w:fill="auto"/>
          </w:tcPr>
          <w:p w:rsidR="000476E2" w:rsidRPr="001E491B" w:rsidRDefault="004C1F1E" w:rsidP="00C73433">
            <w:r w:rsidRPr="004C1F1E">
              <w:t>Delete all 5 instances of "with a valid FCS"</w:t>
            </w:r>
          </w:p>
        </w:tc>
      </w:tr>
    </w:tbl>
    <w:p w:rsidR="007F2FDA" w:rsidRPr="001E491B" w:rsidRDefault="007F2FDA" w:rsidP="007F2FDA">
      <w:pPr>
        <w:rPr>
          <w:b/>
          <w:i/>
        </w:rPr>
      </w:pPr>
    </w:p>
    <w:p w:rsidR="00534998" w:rsidRPr="001E491B" w:rsidRDefault="00534998" w:rsidP="001E491B">
      <w:pPr>
        <w:spacing w:after="240"/>
        <w:jc w:val="both"/>
        <w:rPr>
          <w:b/>
          <w:i/>
        </w:rPr>
      </w:pPr>
      <w:r w:rsidRPr="001E491B">
        <w:rPr>
          <w:b/>
          <w:i/>
        </w:rPr>
        <w:t>Discussion:</w:t>
      </w:r>
    </w:p>
    <w:p w:rsidR="00C63A4C" w:rsidRDefault="00E662F8" w:rsidP="004A513C">
      <w:pPr>
        <w:jc w:val="both"/>
      </w:pPr>
      <w:r>
        <w:t>At line 824.51 in D5.3, there are two instances of “with a valid FCS”:</w:t>
      </w:r>
    </w:p>
    <w:p w:rsidR="00DC39A9" w:rsidRDefault="00DC39A9" w:rsidP="004A513C">
      <w:pPr>
        <w:jc w:val="both"/>
      </w:pPr>
    </w:p>
    <w:p w:rsidR="00780CF1" w:rsidRDefault="00DC39A9" w:rsidP="004A513C">
      <w:pPr>
        <w:jc w:val="both"/>
      </w:pPr>
      <w:r w:rsidRPr="00DC39A9">
        <w:rPr>
          <w:noProof/>
        </w:rPr>
        <w:drawing>
          <wp:inline distT="0" distB="0" distL="0" distR="0">
            <wp:extent cx="6400800" cy="10732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073221"/>
                    </a:xfrm>
                    <a:prstGeom prst="rect">
                      <a:avLst/>
                    </a:prstGeom>
                    <a:noFill/>
                    <a:ln>
                      <a:noFill/>
                    </a:ln>
                  </pic:spPr>
                </pic:pic>
              </a:graphicData>
            </a:graphic>
          </wp:inline>
        </w:drawing>
      </w:r>
    </w:p>
    <w:p w:rsidR="00DC39A9" w:rsidRDefault="00DC39A9" w:rsidP="00D47DA9">
      <w:pPr>
        <w:spacing w:line="276" w:lineRule="auto"/>
        <w:jc w:val="both"/>
      </w:pPr>
    </w:p>
    <w:p w:rsidR="00854BED" w:rsidRDefault="00854BED" w:rsidP="00D47DA9">
      <w:pPr>
        <w:spacing w:line="276" w:lineRule="auto"/>
        <w:jc w:val="both"/>
      </w:pPr>
      <w:r>
        <w:t xml:space="preserve">For the first instance, </w:t>
      </w:r>
      <w:r w:rsidR="00D47DA9">
        <w:t>it emphasizes “with a valid FCS” for the following encoding:</w:t>
      </w:r>
    </w:p>
    <w:p w:rsidR="00D47DA9" w:rsidRDefault="00D47DA9" w:rsidP="00D47DA9">
      <w:pPr>
        <w:tabs>
          <w:tab w:val="left" w:pos="450"/>
        </w:tabs>
        <w:spacing w:line="276" w:lineRule="auto"/>
        <w:jc w:val="both"/>
      </w:pPr>
      <w:r>
        <w:t xml:space="preserve">[1] </w:t>
      </w:r>
      <w:r>
        <w:tab/>
        <w:t>With a valid FCS, the Multicast Rate field is non-zero;</w:t>
      </w:r>
    </w:p>
    <w:p w:rsidR="00D47DA9" w:rsidRDefault="00D47DA9" w:rsidP="00D47DA9">
      <w:pPr>
        <w:tabs>
          <w:tab w:val="left" w:pos="450"/>
        </w:tabs>
        <w:spacing w:line="276" w:lineRule="auto"/>
        <w:jc w:val="both"/>
      </w:pPr>
      <w:r>
        <w:t xml:space="preserve">[2] </w:t>
      </w:r>
      <w:r>
        <w:tab/>
        <w:t>Without a valid FCS, the Multicast Rate field is zero.</w:t>
      </w:r>
    </w:p>
    <w:p w:rsidR="00854BED" w:rsidRDefault="00854BED" w:rsidP="00D47DA9">
      <w:pPr>
        <w:tabs>
          <w:tab w:val="left" w:pos="450"/>
        </w:tabs>
        <w:spacing w:line="276" w:lineRule="auto"/>
        <w:jc w:val="both"/>
      </w:pPr>
    </w:p>
    <w:p w:rsidR="00854BED" w:rsidRDefault="00854BED" w:rsidP="00D47DA9">
      <w:pPr>
        <w:tabs>
          <w:tab w:val="left" w:pos="450"/>
        </w:tabs>
        <w:spacing w:line="276" w:lineRule="auto"/>
        <w:jc w:val="both"/>
      </w:pPr>
      <w:r>
        <w:t>For the second instance, i</w:t>
      </w:r>
      <w:r w:rsidR="00E662F8">
        <w:t>s there any difference with the following two</w:t>
      </w:r>
      <w:r w:rsidR="00D17AAB">
        <w:t xml:space="preserve"> sentences?</w:t>
      </w:r>
    </w:p>
    <w:p w:rsidR="00E662F8" w:rsidRDefault="00D17AAB" w:rsidP="00D47DA9">
      <w:pPr>
        <w:tabs>
          <w:tab w:val="left" w:pos="360"/>
          <w:tab w:val="left" w:pos="450"/>
        </w:tabs>
        <w:spacing w:line="276" w:lineRule="auto"/>
        <w:ind w:left="450" w:hanging="450"/>
        <w:jc w:val="both"/>
      </w:pPr>
      <w:r>
        <w:t>[1]</w:t>
      </w:r>
      <w:r>
        <w:tab/>
      </w:r>
      <w:r w:rsidR="00D47DA9">
        <w:tab/>
      </w:r>
      <w:r w:rsidR="00E662F8">
        <w:t>The Multicast Rate field is 0 by the STA to indicate that it has not received a group addressed frame with a valid FCS during the measurement period;</w:t>
      </w:r>
    </w:p>
    <w:p w:rsidR="00E662F8" w:rsidRDefault="00D17AAB" w:rsidP="00D47DA9">
      <w:pPr>
        <w:tabs>
          <w:tab w:val="left" w:pos="360"/>
          <w:tab w:val="left" w:pos="450"/>
        </w:tabs>
        <w:spacing w:line="276" w:lineRule="auto"/>
        <w:ind w:left="450" w:hanging="450"/>
        <w:jc w:val="both"/>
      </w:pPr>
      <w:r>
        <w:t xml:space="preserve">[2] </w:t>
      </w:r>
      <w:r w:rsidR="00D47DA9">
        <w:tab/>
      </w:r>
      <w:r w:rsidR="00D47DA9">
        <w:tab/>
      </w:r>
      <w:r w:rsidR="00E662F8">
        <w:t>The Multicast Rate field is 0 by the STA to indicate that it has not received a group addressed frame during the measurement period;</w:t>
      </w:r>
    </w:p>
    <w:p w:rsidR="00C44D3E" w:rsidRDefault="00C44D3E" w:rsidP="00D47DA9">
      <w:pPr>
        <w:spacing w:line="276" w:lineRule="auto"/>
        <w:jc w:val="both"/>
      </w:pPr>
      <w:r>
        <w:t xml:space="preserve">Yes, the Multicast Rate field of the Multicast Diagnostics report is not needed if the STA has not received a group addressed frame.  </w:t>
      </w:r>
    </w:p>
    <w:p w:rsidR="00C44D3E" w:rsidRDefault="00C44D3E" w:rsidP="00D47DA9">
      <w:pPr>
        <w:spacing w:line="276" w:lineRule="auto"/>
        <w:jc w:val="both"/>
      </w:pPr>
    </w:p>
    <w:p w:rsidR="00E662F8" w:rsidRDefault="00E662F8" w:rsidP="004A513C">
      <w:pPr>
        <w:jc w:val="both"/>
      </w:pPr>
    </w:p>
    <w:p w:rsidR="00801BDC" w:rsidRDefault="00801BDC">
      <w:r>
        <w:br w:type="page"/>
      </w:r>
    </w:p>
    <w:p w:rsidR="00DC39A9" w:rsidRDefault="00DC39A9" w:rsidP="004A513C">
      <w:pPr>
        <w:jc w:val="both"/>
      </w:pPr>
      <w:r>
        <w:lastRenderedPageBreak/>
        <w:t>At line 3188.53 in D5.3</w:t>
      </w:r>
      <w:r w:rsidR="00F75879">
        <w:t>, there are another two instances of “</w:t>
      </w:r>
      <w:r w:rsidR="004829C2">
        <w:t xml:space="preserve">with </w:t>
      </w:r>
      <w:r w:rsidR="00F75879">
        <w:t>a valid FCS” wi</w:t>
      </w:r>
      <w:r w:rsidR="00121F3E">
        <w:t>th the same contents:</w:t>
      </w:r>
    </w:p>
    <w:p w:rsidR="00DC39A9" w:rsidRDefault="00DC39A9" w:rsidP="004A513C">
      <w:pPr>
        <w:jc w:val="both"/>
      </w:pPr>
    </w:p>
    <w:p w:rsidR="00DC39A9" w:rsidRDefault="00DC39A9" w:rsidP="004A513C">
      <w:pPr>
        <w:jc w:val="both"/>
      </w:pPr>
      <w:r w:rsidRPr="00DC39A9">
        <w:rPr>
          <w:noProof/>
        </w:rPr>
        <w:drawing>
          <wp:inline distT="0" distB="0" distL="0" distR="0">
            <wp:extent cx="6400800" cy="18256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825677"/>
                    </a:xfrm>
                    <a:prstGeom prst="rect">
                      <a:avLst/>
                    </a:prstGeom>
                    <a:noFill/>
                    <a:ln>
                      <a:noFill/>
                    </a:ln>
                  </pic:spPr>
                </pic:pic>
              </a:graphicData>
            </a:graphic>
          </wp:inline>
        </w:drawing>
      </w:r>
    </w:p>
    <w:p w:rsidR="000F0E00" w:rsidRDefault="00DC39A9" w:rsidP="00C120C7">
      <w:pPr>
        <w:jc w:val="both"/>
        <w:rPr>
          <w:b/>
          <w:i/>
        </w:rPr>
      </w:pPr>
      <w:r w:rsidRPr="00DC39A9">
        <w:rPr>
          <w:b/>
          <w:i/>
          <w:noProof/>
        </w:rPr>
        <w:drawing>
          <wp:inline distT="0" distB="0" distL="0" distR="0">
            <wp:extent cx="6400800" cy="10307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030778"/>
                    </a:xfrm>
                    <a:prstGeom prst="rect">
                      <a:avLst/>
                    </a:prstGeom>
                    <a:noFill/>
                    <a:ln>
                      <a:noFill/>
                    </a:ln>
                  </pic:spPr>
                </pic:pic>
              </a:graphicData>
            </a:graphic>
          </wp:inline>
        </w:drawing>
      </w:r>
    </w:p>
    <w:p w:rsidR="00DC39A9" w:rsidRDefault="00DC39A9" w:rsidP="00C120C7">
      <w:pPr>
        <w:jc w:val="both"/>
        <w:rPr>
          <w:b/>
          <w:i/>
        </w:rPr>
      </w:pPr>
    </w:p>
    <w:p w:rsidR="00230439" w:rsidRDefault="00230439" w:rsidP="00230439">
      <w:pPr>
        <w:jc w:val="both"/>
      </w:pPr>
      <w:r>
        <w:t>At line 1593.38</w:t>
      </w:r>
      <w:r w:rsidR="004829C2">
        <w:t xml:space="preserve"> in D5.3, there is another instance of “with a valid FCS”:</w:t>
      </w:r>
    </w:p>
    <w:p w:rsidR="00230439" w:rsidRDefault="00230439" w:rsidP="00C120C7">
      <w:pPr>
        <w:jc w:val="both"/>
        <w:rPr>
          <w:b/>
          <w:i/>
        </w:rPr>
      </w:pPr>
    </w:p>
    <w:p w:rsidR="00230439" w:rsidRDefault="00230439" w:rsidP="00C120C7">
      <w:pPr>
        <w:jc w:val="both"/>
        <w:rPr>
          <w:b/>
          <w:i/>
        </w:rPr>
      </w:pPr>
      <w:r w:rsidRPr="00230439">
        <w:rPr>
          <w:b/>
          <w:i/>
          <w:noProof/>
        </w:rPr>
        <w:drawing>
          <wp:inline distT="0" distB="0" distL="0" distR="0">
            <wp:extent cx="6400800" cy="5643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564302"/>
                    </a:xfrm>
                    <a:prstGeom prst="rect">
                      <a:avLst/>
                    </a:prstGeom>
                    <a:noFill/>
                    <a:ln>
                      <a:noFill/>
                    </a:ln>
                  </pic:spPr>
                </pic:pic>
              </a:graphicData>
            </a:graphic>
          </wp:inline>
        </w:drawing>
      </w:r>
    </w:p>
    <w:p w:rsidR="0008396B" w:rsidRDefault="0008396B" w:rsidP="00C120C7">
      <w:pPr>
        <w:jc w:val="both"/>
        <w:rPr>
          <w:b/>
        </w:rPr>
      </w:pPr>
    </w:p>
    <w:p w:rsidR="004E3016" w:rsidRPr="004829C2" w:rsidRDefault="004829C2" w:rsidP="004E3016">
      <w:pPr>
        <w:jc w:val="both"/>
      </w:pPr>
      <w:r w:rsidRPr="004829C2">
        <w:t xml:space="preserve">This instance of “with a valid FCS” </w:t>
      </w:r>
      <w:r w:rsidR="00513C3E">
        <w:t xml:space="preserve">is redundant.  </w:t>
      </w:r>
      <w:r w:rsidR="00D74DE7">
        <w:t xml:space="preserve">Proposed solution here is to replace “with a valid FCS and BSSID or SSID” with “with a </w:t>
      </w:r>
      <w:r w:rsidR="00CD3C2E">
        <w:t>valid BSSIF or SSID”</w:t>
      </w:r>
      <w:r w:rsidR="004E3016">
        <w:t xml:space="preserve"> because it is mentioned in 11.1.3.7 that the STAs in an infrastructure network or PBSS shall use information that is not in the CF Parameter Set element in received Beacon frames, DMG Beacon frames, or Announce frames </w:t>
      </w:r>
      <w:r w:rsidR="004E3016" w:rsidRPr="004E3016">
        <w:rPr>
          <w:i/>
        </w:rPr>
        <w:t>only if the BSSID field is equal to the MAC address currently in use by the STA contained in the AP of the BSS</w:t>
      </w:r>
      <w:r w:rsidR="004E3016">
        <w:t xml:space="preserve"> or to the MAC address currently in use by the PCP of the PBSS(11ad).</w:t>
      </w:r>
    </w:p>
    <w:p w:rsidR="00DC39A9" w:rsidRDefault="00DC39A9" w:rsidP="00C120C7">
      <w:pPr>
        <w:jc w:val="both"/>
        <w:rPr>
          <w:b/>
          <w:i/>
        </w:rPr>
      </w:pPr>
    </w:p>
    <w:p w:rsidR="00C120C7" w:rsidRPr="00C23795" w:rsidRDefault="00C23795" w:rsidP="00C120C7">
      <w:pPr>
        <w:jc w:val="both"/>
        <w:rPr>
          <w:b/>
          <w:i/>
        </w:rPr>
      </w:pPr>
      <w:r w:rsidRPr="00C23795">
        <w:rPr>
          <w:b/>
          <w:i/>
        </w:rPr>
        <w:t>Resolution:</w:t>
      </w:r>
    </w:p>
    <w:p w:rsidR="006E33C3" w:rsidRPr="001E491B" w:rsidRDefault="006E33C3" w:rsidP="00C120C7">
      <w:pPr>
        <w:jc w:val="both"/>
      </w:pPr>
    </w:p>
    <w:p w:rsidR="00BD2934" w:rsidRDefault="00BD2934">
      <w:pPr>
        <w:rPr>
          <w:b/>
          <w:bCs/>
          <w:iCs/>
          <w:u w:val="single"/>
        </w:rPr>
      </w:pPr>
      <w:r>
        <w:rPr>
          <w:b/>
          <w:bCs/>
          <w:iCs/>
          <w:u w:val="single"/>
        </w:rPr>
        <w:br w:type="page"/>
      </w:r>
    </w:p>
    <w:tbl>
      <w:tblPr>
        <w:tblW w:w="4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361"/>
        <w:gridCol w:w="720"/>
        <w:gridCol w:w="720"/>
        <w:gridCol w:w="3060"/>
        <w:gridCol w:w="3343"/>
      </w:tblGrid>
      <w:tr w:rsidR="00BD2934" w:rsidRPr="001E491B" w:rsidTr="00F304A2">
        <w:trPr>
          <w:trHeight w:val="340"/>
          <w:jc w:val="center"/>
        </w:trPr>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BD2934" w:rsidRPr="001E491B" w:rsidRDefault="00BD2934" w:rsidP="00531C83">
            <w:r w:rsidRPr="001E491B">
              <w:lastRenderedPageBreak/>
              <w:t>CID</w:t>
            </w:r>
          </w:p>
        </w:tc>
        <w:tc>
          <w:tcPr>
            <w:tcW w:w="684" w:type="pct"/>
            <w:tcBorders>
              <w:top w:val="single" w:sz="4" w:space="0" w:color="auto"/>
              <w:left w:val="single" w:sz="4" w:space="0" w:color="auto"/>
              <w:bottom w:val="single" w:sz="4" w:space="0" w:color="auto"/>
              <w:right w:val="single" w:sz="4" w:space="0" w:color="auto"/>
            </w:tcBorders>
            <w:shd w:val="clear" w:color="auto" w:fill="auto"/>
            <w:hideMark/>
          </w:tcPr>
          <w:p w:rsidR="00BD2934" w:rsidRPr="001E491B" w:rsidRDefault="00BD2934" w:rsidP="00531C83">
            <w:pPr>
              <w:jc w:val="center"/>
            </w:pPr>
            <w:r w:rsidRPr="001E491B">
              <w:t>Clause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BD2934" w:rsidRPr="001E491B" w:rsidRDefault="00BD2934" w:rsidP="00531C83">
            <w:pPr>
              <w:jc w:val="center"/>
            </w:pPr>
            <w:r w:rsidRPr="001E491B">
              <w:t>Page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BD2934" w:rsidRPr="001E491B" w:rsidRDefault="00BD2934" w:rsidP="00531C83">
            <w:pPr>
              <w:jc w:val="center"/>
              <w:rPr>
                <w:color w:val="000000"/>
              </w:rPr>
            </w:pPr>
            <w:r w:rsidRPr="001E491B">
              <w:rPr>
                <w:color w:val="000000"/>
              </w:rPr>
              <w:t>Line</w:t>
            </w:r>
          </w:p>
        </w:tc>
        <w:tc>
          <w:tcPr>
            <w:tcW w:w="1538" w:type="pct"/>
            <w:tcBorders>
              <w:top w:val="single" w:sz="4" w:space="0" w:color="auto"/>
              <w:left w:val="single" w:sz="4" w:space="0" w:color="auto"/>
              <w:bottom w:val="single" w:sz="4" w:space="0" w:color="auto"/>
              <w:right w:val="single" w:sz="4" w:space="0" w:color="auto"/>
            </w:tcBorders>
            <w:shd w:val="clear" w:color="auto" w:fill="auto"/>
            <w:hideMark/>
          </w:tcPr>
          <w:p w:rsidR="00BD2934" w:rsidRPr="001E491B" w:rsidRDefault="00BD2934" w:rsidP="00531C83">
            <w:pPr>
              <w:rPr>
                <w:color w:val="000000"/>
              </w:rPr>
            </w:pPr>
            <w:r w:rsidRPr="001E491B">
              <w:rPr>
                <w:color w:val="000000"/>
              </w:rPr>
              <w:t>Comment</w:t>
            </w:r>
          </w:p>
        </w:tc>
        <w:tc>
          <w:tcPr>
            <w:tcW w:w="1680" w:type="pct"/>
            <w:tcBorders>
              <w:top w:val="single" w:sz="4" w:space="0" w:color="auto"/>
              <w:left w:val="single" w:sz="4" w:space="0" w:color="auto"/>
              <w:bottom w:val="single" w:sz="4" w:space="0" w:color="auto"/>
              <w:right w:val="single" w:sz="4" w:space="0" w:color="auto"/>
            </w:tcBorders>
            <w:shd w:val="clear" w:color="auto" w:fill="auto"/>
            <w:hideMark/>
          </w:tcPr>
          <w:p w:rsidR="00BD2934" w:rsidRPr="001E491B" w:rsidRDefault="00BD2934" w:rsidP="00531C83">
            <w:r w:rsidRPr="001E491B">
              <w:t>Proposed Change</w:t>
            </w:r>
          </w:p>
        </w:tc>
      </w:tr>
      <w:tr w:rsidR="00BD2934" w:rsidRPr="001E491B" w:rsidTr="00F304A2">
        <w:trPr>
          <w:trHeight w:val="1223"/>
          <w:jc w:val="center"/>
        </w:trPr>
        <w:tc>
          <w:tcPr>
            <w:tcW w:w="374" w:type="pct"/>
            <w:shd w:val="clear" w:color="auto" w:fill="auto"/>
          </w:tcPr>
          <w:p w:rsidR="00BD2934" w:rsidRPr="001E491B" w:rsidRDefault="00F304A2" w:rsidP="00531C83">
            <w:r>
              <w:t>7134</w:t>
            </w:r>
          </w:p>
        </w:tc>
        <w:tc>
          <w:tcPr>
            <w:tcW w:w="684" w:type="pct"/>
            <w:shd w:val="clear" w:color="auto" w:fill="auto"/>
          </w:tcPr>
          <w:p w:rsidR="00BD2934" w:rsidRPr="001E491B" w:rsidRDefault="007978DD" w:rsidP="00531C83">
            <w:pPr>
              <w:jc w:val="center"/>
            </w:pPr>
            <w:r>
              <w:t>21.2.5.2</w:t>
            </w:r>
          </w:p>
        </w:tc>
        <w:tc>
          <w:tcPr>
            <w:tcW w:w="362" w:type="pct"/>
            <w:shd w:val="clear" w:color="auto" w:fill="auto"/>
          </w:tcPr>
          <w:p w:rsidR="00BD2934" w:rsidRPr="001E491B" w:rsidRDefault="002E06C1" w:rsidP="00531C83">
            <w:pPr>
              <w:jc w:val="center"/>
            </w:pPr>
            <w:r>
              <w:t>2504</w:t>
            </w:r>
          </w:p>
        </w:tc>
        <w:tc>
          <w:tcPr>
            <w:tcW w:w="362" w:type="pct"/>
            <w:shd w:val="clear" w:color="auto" w:fill="auto"/>
          </w:tcPr>
          <w:p w:rsidR="00BD2934" w:rsidRPr="001E491B" w:rsidRDefault="007978DD" w:rsidP="00531C83">
            <w:pPr>
              <w:jc w:val="center"/>
            </w:pPr>
            <w:r>
              <w:t>27</w:t>
            </w:r>
          </w:p>
        </w:tc>
        <w:tc>
          <w:tcPr>
            <w:tcW w:w="1538" w:type="pct"/>
            <w:shd w:val="clear" w:color="auto" w:fill="auto"/>
          </w:tcPr>
          <w:p w:rsidR="00BD2934" w:rsidRPr="001E491B" w:rsidRDefault="002E06C1" w:rsidP="00531C83">
            <w:r w:rsidRPr="002E06C1">
              <w:t xml:space="preserve">The approved comment resolution that inserted the new first para in this </w:t>
            </w:r>
            <w:proofErr w:type="spellStart"/>
            <w:r w:rsidRPr="002E06C1">
              <w:t>subclause</w:t>
            </w:r>
            <w:proofErr w:type="spellEnd"/>
            <w:r w:rsidRPr="002E06C1">
              <w:t xml:space="preserve"> called for it to be inserted later in the </w:t>
            </w:r>
            <w:proofErr w:type="spellStart"/>
            <w:r w:rsidRPr="002E06C1">
              <w:t>subclause</w:t>
            </w:r>
            <w:proofErr w:type="spellEnd"/>
            <w:r w:rsidRPr="002E06C1">
              <w:t>.</w:t>
            </w:r>
          </w:p>
        </w:tc>
        <w:tc>
          <w:tcPr>
            <w:tcW w:w="1680" w:type="pct"/>
            <w:shd w:val="clear" w:color="auto" w:fill="auto"/>
          </w:tcPr>
          <w:p w:rsidR="00BD2934" w:rsidRPr="001E491B" w:rsidRDefault="007978DD" w:rsidP="00531C83">
            <w:r w:rsidRPr="007978DD">
              <w:t xml:space="preserve">Determine if the new first para needs to be moved to a better location in this </w:t>
            </w:r>
            <w:proofErr w:type="spellStart"/>
            <w:r w:rsidRPr="007978DD">
              <w:t>subclause</w:t>
            </w:r>
            <w:proofErr w:type="spellEnd"/>
            <w:r w:rsidRPr="007978DD">
              <w:t>.</w:t>
            </w:r>
          </w:p>
        </w:tc>
      </w:tr>
    </w:tbl>
    <w:p w:rsidR="00182A48" w:rsidRDefault="00182A48">
      <w:pPr>
        <w:rPr>
          <w:b/>
          <w:bCs/>
          <w:iCs/>
          <w:u w:val="single"/>
        </w:rPr>
      </w:pPr>
    </w:p>
    <w:p w:rsidR="007978DD" w:rsidRPr="001E491B" w:rsidRDefault="007978DD" w:rsidP="007978DD">
      <w:pPr>
        <w:spacing w:after="240"/>
        <w:jc w:val="both"/>
        <w:rPr>
          <w:b/>
          <w:i/>
        </w:rPr>
      </w:pPr>
      <w:r w:rsidRPr="001E491B">
        <w:rPr>
          <w:b/>
          <w:i/>
        </w:rPr>
        <w:t>Discussion:</w:t>
      </w:r>
    </w:p>
    <w:p w:rsidR="007978DD" w:rsidRDefault="007978DD" w:rsidP="007978DD">
      <w:pPr>
        <w:jc w:val="both"/>
      </w:pPr>
      <w:r>
        <w:t>At line 2504.27 in D5.0:</w:t>
      </w:r>
    </w:p>
    <w:p w:rsidR="007978DD" w:rsidRDefault="007978DD" w:rsidP="007978DD">
      <w:pPr>
        <w:jc w:val="both"/>
      </w:pPr>
    </w:p>
    <w:p w:rsidR="007978DD" w:rsidRDefault="00A17BE6" w:rsidP="007978DD">
      <w:pPr>
        <w:jc w:val="both"/>
      </w:pPr>
      <w:r w:rsidRPr="00A17BE6">
        <w:rPr>
          <w:noProof/>
        </w:rPr>
        <w:drawing>
          <wp:inline distT="0" distB="0" distL="0" distR="0">
            <wp:extent cx="6400800" cy="12062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1206230"/>
                    </a:xfrm>
                    <a:prstGeom prst="rect">
                      <a:avLst/>
                    </a:prstGeom>
                    <a:noFill/>
                    <a:ln>
                      <a:noFill/>
                    </a:ln>
                  </pic:spPr>
                </pic:pic>
              </a:graphicData>
            </a:graphic>
          </wp:inline>
        </w:drawing>
      </w:r>
    </w:p>
    <w:p w:rsidR="007978DD" w:rsidRDefault="007978DD">
      <w:pPr>
        <w:rPr>
          <w:b/>
          <w:bCs/>
          <w:iCs/>
          <w:u w:val="single"/>
        </w:rPr>
      </w:pPr>
    </w:p>
    <w:p w:rsidR="008B7684" w:rsidRDefault="009A6236">
      <w:pPr>
        <w:rPr>
          <w:bCs/>
          <w:iCs/>
        </w:rPr>
      </w:pPr>
      <w:r>
        <w:rPr>
          <w:bCs/>
          <w:iCs/>
        </w:rPr>
        <w:t>It has been resolved by CID 7404</w:t>
      </w:r>
      <w:r w:rsidR="00D75B23">
        <w:rPr>
          <w:bCs/>
          <w:iCs/>
        </w:rPr>
        <w:t>.</w:t>
      </w:r>
    </w:p>
    <w:p w:rsidR="00D75B23" w:rsidRDefault="00D75B23">
      <w:pPr>
        <w:rPr>
          <w:bCs/>
          <w:iCs/>
        </w:rPr>
      </w:pPr>
    </w:p>
    <w:p w:rsidR="00D75B23" w:rsidRPr="001E491B" w:rsidRDefault="00D75B23" w:rsidP="00D75B23">
      <w:pPr>
        <w:spacing w:after="240"/>
        <w:jc w:val="both"/>
        <w:rPr>
          <w:b/>
          <w:i/>
        </w:rPr>
      </w:pPr>
      <w:r>
        <w:rPr>
          <w:b/>
          <w:i/>
        </w:rPr>
        <w:t>Resolution:</w:t>
      </w:r>
    </w:p>
    <w:p w:rsidR="000E44ED" w:rsidRDefault="00D75B23" w:rsidP="000E44ED">
      <w:pPr>
        <w:jc w:val="both"/>
      </w:pPr>
      <w:r>
        <w:t xml:space="preserve">Revised.  </w:t>
      </w:r>
    </w:p>
    <w:p w:rsidR="000E44ED" w:rsidRDefault="000E44ED" w:rsidP="000E44ED">
      <w:pPr>
        <w:jc w:val="both"/>
      </w:pPr>
    </w:p>
    <w:p w:rsidR="00D75B23" w:rsidRDefault="000E44ED" w:rsidP="000E44ED">
      <w:pPr>
        <w:jc w:val="both"/>
      </w:pPr>
      <w:r>
        <w:t>Incorporate the changes for CID 7404 in doc 11-16/291r1, changing "21-7</w:t>
      </w:r>
      <w:r w:rsidR="00AF5A17">
        <w:t>" to "21-2".</w:t>
      </w:r>
      <w:r>
        <w:t xml:space="preserve"> This makes the effective change, but by making changes in 19.2.5 and 21.2.5.2.</w:t>
      </w:r>
      <w:r w:rsidR="00AF5A17">
        <w:t xml:space="preserve">  </w:t>
      </w:r>
      <w:r>
        <w:t>Note: CID 7408 has the same resolution.</w:t>
      </w:r>
    </w:p>
    <w:p w:rsidR="00D75B23" w:rsidRDefault="00D75B23">
      <w:pPr>
        <w:rPr>
          <w:bCs/>
          <w:iCs/>
        </w:rPr>
      </w:pPr>
    </w:p>
    <w:p w:rsidR="00B80C13" w:rsidRDefault="00B80C13">
      <w:pPr>
        <w:rPr>
          <w:bCs/>
          <w:iCs/>
        </w:rPr>
      </w:pPr>
      <w:r>
        <w:rPr>
          <w:bCs/>
          <w:iCs/>
        </w:rPr>
        <w:br w:type="page"/>
      </w:r>
    </w:p>
    <w:p w:rsidR="008B7684" w:rsidRDefault="008B7684">
      <w:pPr>
        <w:rPr>
          <w:bCs/>
          <w:iCs/>
        </w:rPr>
      </w:pPr>
    </w:p>
    <w:tbl>
      <w:tblPr>
        <w:tblW w:w="4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361"/>
        <w:gridCol w:w="720"/>
        <w:gridCol w:w="720"/>
        <w:gridCol w:w="3060"/>
        <w:gridCol w:w="3343"/>
      </w:tblGrid>
      <w:tr w:rsidR="00B80C13" w:rsidRPr="001E491B" w:rsidTr="00531C83">
        <w:trPr>
          <w:trHeight w:val="340"/>
          <w:jc w:val="center"/>
        </w:trPr>
        <w:tc>
          <w:tcPr>
            <w:tcW w:w="374" w:type="pct"/>
            <w:tcBorders>
              <w:top w:val="single" w:sz="4" w:space="0" w:color="auto"/>
              <w:left w:val="single" w:sz="4" w:space="0" w:color="auto"/>
              <w:bottom w:val="single" w:sz="4" w:space="0" w:color="auto"/>
              <w:right w:val="single" w:sz="4" w:space="0" w:color="auto"/>
            </w:tcBorders>
            <w:shd w:val="clear" w:color="auto" w:fill="auto"/>
            <w:hideMark/>
          </w:tcPr>
          <w:p w:rsidR="00B80C13" w:rsidRPr="001E491B" w:rsidRDefault="00B80C13" w:rsidP="00531C83">
            <w:r w:rsidRPr="001E491B">
              <w:t>CID</w:t>
            </w:r>
          </w:p>
        </w:tc>
        <w:tc>
          <w:tcPr>
            <w:tcW w:w="684" w:type="pct"/>
            <w:tcBorders>
              <w:top w:val="single" w:sz="4" w:space="0" w:color="auto"/>
              <w:left w:val="single" w:sz="4" w:space="0" w:color="auto"/>
              <w:bottom w:val="single" w:sz="4" w:space="0" w:color="auto"/>
              <w:right w:val="single" w:sz="4" w:space="0" w:color="auto"/>
            </w:tcBorders>
            <w:shd w:val="clear" w:color="auto" w:fill="auto"/>
            <w:hideMark/>
          </w:tcPr>
          <w:p w:rsidR="00B80C13" w:rsidRPr="001E491B" w:rsidRDefault="00B80C13" w:rsidP="00531C83">
            <w:pPr>
              <w:jc w:val="center"/>
            </w:pPr>
            <w:r w:rsidRPr="001E491B">
              <w:t>Clause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B80C13" w:rsidRPr="001E491B" w:rsidRDefault="00B80C13" w:rsidP="00531C83">
            <w:pPr>
              <w:jc w:val="center"/>
            </w:pPr>
            <w:r w:rsidRPr="001E491B">
              <w:t>Page</w:t>
            </w:r>
          </w:p>
        </w:tc>
        <w:tc>
          <w:tcPr>
            <w:tcW w:w="362" w:type="pct"/>
            <w:tcBorders>
              <w:top w:val="single" w:sz="4" w:space="0" w:color="auto"/>
              <w:left w:val="single" w:sz="4" w:space="0" w:color="auto"/>
              <w:bottom w:val="single" w:sz="4" w:space="0" w:color="auto"/>
              <w:right w:val="single" w:sz="4" w:space="0" w:color="auto"/>
            </w:tcBorders>
            <w:shd w:val="clear" w:color="auto" w:fill="auto"/>
            <w:hideMark/>
          </w:tcPr>
          <w:p w:rsidR="00B80C13" w:rsidRPr="001E491B" w:rsidRDefault="00B80C13" w:rsidP="00531C83">
            <w:pPr>
              <w:jc w:val="center"/>
              <w:rPr>
                <w:color w:val="000000"/>
              </w:rPr>
            </w:pPr>
            <w:r w:rsidRPr="001E491B">
              <w:rPr>
                <w:color w:val="000000"/>
              </w:rPr>
              <w:t>Line</w:t>
            </w:r>
          </w:p>
        </w:tc>
        <w:tc>
          <w:tcPr>
            <w:tcW w:w="1538" w:type="pct"/>
            <w:tcBorders>
              <w:top w:val="single" w:sz="4" w:space="0" w:color="auto"/>
              <w:left w:val="single" w:sz="4" w:space="0" w:color="auto"/>
              <w:bottom w:val="single" w:sz="4" w:space="0" w:color="auto"/>
              <w:right w:val="single" w:sz="4" w:space="0" w:color="auto"/>
            </w:tcBorders>
            <w:shd w:val="clear" w:color="auto" w:fill="auto"/>
            <w:hideMark/>
          </w:tcPr>
          <w:p w:rsidR="00B80C13" w:rsidRPr="001E491B" w:rsidRDefault="00B80C13" w:rsidP="00531C83">
            <w:pPr>
              <w:rPr>
                <w:color w:val="000000"/>
              </w:rPr>
            </w:pPr>
            <w:r w:rsidRPr="001E491B">
              <w:rPr>
                <w:color w:val="000000"/>
              </w:rPr>
              <w:t>Comment</w:t>
            </w:r>
          </w:p>
        </w:tc>
        <w:tc>
          <w:tcPr>
            <w:tcW w:w="1680" w:type="pct"/>
            <w:tcBorders>
              <w:top w:val="single" w:sz="4" w:space="0" w:color="auto"/>
              <w:left w:val="single" w:sz="4" w:space="0" w:color="auto"/>
              <w:bottom w:val="single" w:sz="4" w:space="0" w:color="auto"/>
              <w:right w:val="single" w:sz="4" w:space="0" w:color="auto"/>
            </w:tcBorders>
            <w:shd w:val="clear" w:color="auto" w:fill="auto"/>
            <w:hideMark/>
          </w:tcPr>
          <w:p w:rsidR="00B80C13" w:rsidRPr="001E491B" w:rsidRDefault="00B80C13" w:rsidP="00531C83">
            <w:r w:rsidRPr="001E491B">
              <w:t>Proposed Change</w:t>
            </w:r>
          </w:p>
        </w:tc>
      </w:tr>
      <w:tr w:rsidR="00B80C13" w:rsidRPr="001E491B" w:rsidTr="00531C83">
        <w:trPr>
          <w:trHeight w:val="1223"/>
          <w:jc w:val="center"/>
        </w:trPr>
        <w:tc>
          <w:tcPr>
            <w:tcW w:w="374" w:type="pct"/>
            <w:shd w:val="clear" w:color="auto" w:fill="auto"/>
          </w:tcPr>
          <w:p w:rsidR="00B80C13" w:rsidRPr="001E491B" w:rsidRDefault="00B80C13" w:rsidP="00531C83">
            <w:r>
              <w:t>7135</w:t>
            </w:r>
          </w:p>
        </w:tc>
        <w:tc>
          <w:tcPr>
            <w:tcW w:w="684" w:type="pct"/>
            <w:shd w:val="clear" w:color="auto" w:fill="auto"/>
          </w:tcPr>
          <w:p w:rsidR="00B80C13" w:rsidRPr="001E491B" w:rsidRDefault="00B80C13" w:rsidP="00531C83">
            <w:pPr>
              <w:jc w:val="center"/>
            </w:pPr>
            <w:r>
              <w:t>21.2.5.2</w:t>
            </w:r>
          </w:p>
        </w:tc>
        <w:tc>
          <w:tcPr>
            <w:tcW w:w="362" w:type="pct"/>
            <w:shd w:val="clear" w:color="auto" w:fill="auto"/>
          </w:tcPr>
          <w:p w:rsidR="00B80C13" w:rsidRPr="001E491B" w:rsidRDefault="00B80C13" w:rsidP="00531C83">
            <w:pPr>
              <w:jc w:val="center"/>
            </w:pPr>
            <w:r>
              <w:t>2504</w:t>
            </w:r>
          </w:p>
        </w:tc>
        <w:tc>
          <w:tcPr>
            <w:tcW w:w="362" w:type="pct"/>
            <w:shd w:val="clear" w:color="auto" w:fill="auto"/>
          </w:tcPr>
          <w:p w:rsidR="00B80C13" w:rsidRPr="001E491B" w:rsidRDefault="00B80C13" w:rsidP="00531C83">
            <w:pPr>
              <w:jc w:val="center"/>
            </w:pPr>
            <w:r>
              <w:t>31</w:t>
            </w:r>
          </w:p>
        </w:tc>
        <w:tc>
          <w:tcPr>
            <w:tcW w:w="1538" w:type="pct"/>
            <w:shd w:val="clear" w:color="auto" w:fill="auto"/>
          </w:tcPr>
          <w:p w:rsidR="00B80C13" w:rsidRPr="001E491B" w:rsidRDefault="00B80C13" w:rsidP="00531C83">
            <w:r w:rsidRPr="00B80C13">
              <w:t>I believe the inequality is the wrong way round.</w:t>
            </w:r>
          </w:p>
        </w:tc>
        <w:tc>
          <w:tcPr>
            <w:tcW w:w="1680" w:type="pct"/>
            <w:shd w:val="clear" w:color="auto" w:fill="auto"/>
          </w:tcPr>
          <w:p w:rsidR="00B80C13" w:rsidRDefault="00B80C13" w:rsidP="00B80C13">
            <w:proofErr w:type="gramStart"/>
            <w:r>
              <w:t>change</w:t>
            </w:r>
            <w:proofErr w:type="gramEnd"/>
            <w:r>
              <w:t xml:space="preserve"> "less than" to "greater than" in the inequality on this line.</w:t>
            </w:r>
          </w:p>
          <w:p w:rsidR="00B80C13" w:rsidRDefault="00B80C13" w:rsidP="00B80C13"/>
          <w:p w:rsidR="00B80C13" w:rsidRDefault="00B80C13" w:rsidP="00B80C13">
            <w:r>
              <w:t>Make matching change at 2506.13</w:t>
            </w:r>
          </w:p>
          <w:p w:rsidR="00B80C13" w:rsidRPr="001E491B" w:rsidRDefault="00B80C13" w:rsidP="00B80C13">
            <w:r>
              <w:t>And change the text at 2330.43 to match.</w:t>
            </w:r>
          </w:p>
        </w:tc>
      </w:tr>
    </w:tbl>
    <w:p w:rsidR="00B80C13" w:rsidRDefault="00B80C13">
      <w:pPr>
        <w:rPr>
          <w:bCs/>
          <w:iCs/>
        </w:rPr>
      </w:pPr>
    </w:p>
    <w:p w:rsidR="00D7185F" w:rsidRPr="001E491B" w:rsidRDefault="00D7185F" w:rsidP="00D7185F">
      <w:pPr>
        <w:spacing w:after="240"/>
        <w:jc w:val="both"/>
        <w:rPr>
          <w:b/>
          <w:i/>
        </w:rPr>
      </w:pPr>
      <w:r w:rsidRPr="001E491B">
        <w:rPr>
          <w:b/>
          <w:i/>
        </w:rPr>
        <w:t>Discussion:</w:t>
      </w:r>
    </w:p>
    <w:p w:rsidR="00D7185F" w:rsidRDefault="00411CCD" w:rsidP="00D7185F">
      <w:pPr>
        <w:jc w:val="both"/>
      </w:pPr>
      <w:r>
        <w:t>The comments at l</w:t>
      </w:r>
      <w:r w:rsidR="000F3831">
        <w:t>ines 2330.43 and 2504.31 has been</w:t>
      </w:r>
      <w:r w:rsidR="00D7185F">
        <w:t xml:space="preserve"> resolved by CID 7404.</w:t>
      </w:r>
    </w:p>
    <w:p w:rsidR="00D7185F" w:rsidRDefault="00D7185F" w:rsidP="00D7185F">
      <w:pPr>
        <w:jc w:val="both"/>
      </w:pPr>
    </w:p>
    <w:p w:rsidR="00D7185F" w:rsidRDefault="00411CCD" w:rsidP="00D7185F">
      <w:pPr>
        <w:jc w:val="both"/>
      </w:pPr>
      <w:r>
        <w:t xml:space="preserve">The comment at line 2506.13 </w:t>
      </w:r>
      <w:r w:rsidR="000F3831">
        <w:t>has been</w:t>
      </w:r>
      <w:r>
        <w:t xml:space="preserve"> resolved by CID 7405.</w:t>
      </w:r>
    </w:p>
    <w:p w:rsidR="00D7185F" w:rsidRDefault="00D7185F" w:rsidP="00D7185F">
      <w:pPr>
        <w:jc w:val="both"/>
      </w:pPr>
      <w:bookmarkStart w:id="0" w:name="_GoBack"/>
      <w:bookmarkEnd w:id="0"/>
    </w:p>
    <w:p w:rsidR="0059150D" w:rsidRPr="001E491B" w:rsidRDefault="0059150D" w:rsidP="0059150D">
      <w:pPr>
        <w:spacing w:after="240"/>
        <w:jc w:val="both"/>
        <w:rPr>
          <w:b/>
          <w:i/>
        </w:rPr>
      </w:pPr>
      <w:r>
        <w:rPr>
          <w:b/>
          <w:i/>
        </w:rPr>
        <w:t>Resolution:</w:t>
      </w:r>
    </w:p>
    <w:p w:rsidR="0059150D" w:rsidRDefault="0059150D" w:rsidP="0059150D">
      <w:pPr>
        <w:jc w:val="both"/>
      </w:pPr>
      <w:r>
        <w:t xml:space="preserve">Revised.  </w:t>
      </w:r>
    </w:p>
    <w:p w:rsidR="0059150D" w:rsidRDefault="0059150D" w:rsidP="0059150D">
      <w:pPr>
        <w:jc w:val="both"/>
      </w:pPr>
    </w:p>
    <w:p w:rsidR="0059150D" w:rsidRDefault="000D65C6" w:rsidP="0059150D">
      <w:pPr>
        <w:jc w:val="both"/>
      </w:pPr>
      <w:r>
        <w:t>For line 2506.13:  change “less than” to “greater than” in the inequality on this line.</w:t>
      </w:r>
    </w:p>
    <w:p w:rsidR="00014365" w:rsidRDefault="00014365" w:rsidP="0059150D">
      <w:pPr>
        <w:jc w:val="both"/>
      </w:pPr>
    </w:p>
    <w:p w:rsidR="0059150D" w:rsidRDefault="0059150D" w:rsidP="0059150D">
      <w:pPr>
        <w:jc w:val="both"/>
      </w:pPr>
      <w:r>
        <w:t>For lines 2330.43 and 2504.3: incorporate the changes for CID 7404 in doc 11-16/291r1, changing "21-7" to "21-2". This makes the effective change, but by making changes in 19.2.5 and 21.2.5.2.  Note: CID 7408 has the same resolution.</w:t>
      </w:r>
    </w:p>
    <w:p w:rsidR="0059150D" w:rsidRDefault="0059150D" w:rsidP="00D7185F">
      <w:pPr>
        <w:jc w:val="both"/>
      </w:pPr>
    </w:p>
    <w:p w:rsidR="00D7185F" w:rsidRPr="008B7684" w:rsidRDefault="00D7185F">
      <w:pPr>
        <w:rPr>
          <w:bCs/>
          <w:iCs/>
        </w:rPr>
      </w:pPr>
    </w:p>
    <w:sectPr w:rsidR="00D7185F" w:rsidRPr="008B7684" w:rsidSect="00620EB6">
      <w:headerReference w:type="default" r:id="rId14"/>
      <w:footerReference w:type="default" r:id="rId1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F02" w:rsidRDefault="00747F02">
      <w:r>
        <w:separator/>
      </w:r>
    </w:p>
  </w:endnote>
  <w:endnote w:type="continuationSeparator" w:id="0">
    <w:p w:rsidR="00747F02" w:rsidRDefault="0074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C3" w:rsidRDefault="00747F02"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1F60C3">
      <w:t>Submission</w:t>
    </w:r>
    <w:r>
      <w:fldChar w:fldCharType="end"/>
    </w:r>
    <w:r w:rsidR="001F60C3">
      <w:t xml:space="preserve"> </w:t>
    </w:r>
    <w:r w:rsidR="001F60C3">
      <w:tab/>
      <w:t xml:space="preserve">Page </w:t>
    </w:r>
    <w:r w:rsidR="00CF10F4">
      <w:fldChar w:fldCharType="begin"/>
    </w:r>
    <w:r w:rsidR="001F60C3">
      <w:instrText xml:space="preserve">page </w:instrText>
    </w:r>
    <w:r w:rsidR="00CF10F4">
      <w:fldChar w:fldCharType="separate"/>
    </w:r>
    <w:r w:rsidR="00461CB6">
      <w:rPr>
        <w:noProof/>
      </w:rPr>
      <w:t>5</w:t>
    </w:r>
    <w:r w:rsidR="00CF10F4">
      <w:rPr>
        <w:noProof/>
      </w:rPr>
      <w:fldChar w:fldCharType="end"/>
    </w:r>
    <w:r w:rsidR="001F60C3">
      <w:tab/>
      <w:t xml:space="preserve">     Edward Au, Huawei Technologies</w:t>
    </w:r>
  </w:p>
  <w:p w:rsidR="001F60C3" w:rsidRDefault="001F60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F02" w:rsidRDefault="00747F02">
      <w:r>
        <w:separator/>
      </w:r>
    </w:p>
  </w:footnote>
  <w:footnote w:type="continuationSeparator" w:id="0">
    <w:p w:rsidR="00747F02" w:rsidRDefault="00747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C3" w:rsidRDefault="00747F02" w:rsidP="00A525F0">
    <w:pPr>
      <w:pStyle w:val="Header"/>
      <w:tabs>
        <w:tab w:val="clear" w:pos="6480"/>
        <w:tab w:val="center" w:pos="4680"/>
        <w:tab w:val="right" w:pos="9781"/>
      </w:tabs>
    </w:pPr>
    <w:r>
      <w:fldChar w:fldCharType="begin"/>
    </w:r>
    <w:r>
      <w:instrText xml:space="preserve"> KEYWORDS  \* MERGEFORMAT </w:instrText>
    </w:r>
    <w:r>
      <w:fldChar w:fldCharType="separate"/>
    </w:r>
    <w:r w:rsidR="00D418B2">
      <w:t>April</w:t>
    </w:r>
    <w:r w:rsidR="001F60C3">
      <w:t xml:space="preserve"> 201</w:t>
    </w:r>
    <w:r w:rsidR="003A0823">
      <w:t>6</w:t>
    </w:r>
    <w:r>
      <w:fldChar w:fldCharType="end"/>
    </w:r>
    <w:r w:rsidR="001F60C3">
      <w:tab/>
    </w:r>
    <w:r w:rsidR="001F60C3">
      <w:tab/>
      <w:t xml:space="preserve">  </w:t>
    </w:r>
    <w:r>
      <w:fldChar w:fldCharType="begin"/>
    </w:r>
    <w:r>
      <w:instrText xml:space="preserve"> TITLE  \* MERGEFORMAT </w:instrText>
    </w:r>
    <w:r>
      <w:fldChar w:fldCharType="separate"/>
    </w:r>
    <w:r w:rsidR="003A0823">
      <w:t>doc.: IEEE 802.11-16</w:t>
    </w:r>
    <w:r w:rsidR="001F60C3">
      <w:t>/</w:t>
    </w:r>
    <w:r w:rsidR="00AB612F">
      <w:t>0</w:t>
    </w:r>
    <w:r w:rsidR="00077C7E">
      <w:t>555r</w:t>
    </w:r>
    <w:r w:rsidR="001B65F8">
      <w:t>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3"/>
  </w:num>
  <w:num w:numId="7">
    <w:abstractNumId w:val="10"/>
  </w:num>
  <w:num w:numId="8">
    <w:abstractNumId w:val="30"/>
  </w:num>
  <w:num w:numId="9">
    <w:abstractNumId w:val="14"/>
  </w:num>
  <w:num w:numId="10">
    <w:abstractNumId w:val="1"/>
  </w:num>
  <w:num w:numId="11">
    <w:abstractNumId w:val="6"/>
  </w:num>
  <w:num w:numId="12">
    <w:abstractNumId w:val="12"/>
  </w:num>
  <w:num w:numId="13">
    <w:abstractNumId w:val="17"/>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2"/>
  </w:num>
  <w:num w:numId="19">
    <w:abstractNumId w:val="31"/>
  </w:num>
  <w:num w:numId="20">
    <w:abstractNumId w:val="18"/>
  </w:num>
  <w:num w:numId="21">
    <w:abstractNumId w:val="19"/>
  </w:num>
  <w:num w:numId="22">
    <w:abstractNumId w:val="28"/>
  </w:num>
  <w:num w:numId="23">
    <w:abstractNumId w:val="29"/>
  </w:num>
  <w:num w:numId="24">
    <w:abstractNumId w:val="15"/>
  </w:num>
  <w:num w:numId="25">
    <w:abstractNumId w:val="2"/>
  </w:num>
  <w:num w:numId="26">
    <w:abstractNumId w:val="27"/>
  </w:num>
  <w:num w:numId="27">
    <w:abstractNumId w:val="21"/>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9"/>
  </w:num>
  <w:num w:numId="33">
    <w:abstractNumId w:val="25"/>
  </w:num>
  <w:num w:numId="34">
    <w:abstractNumId w:val="7"/>
  </w:num>
  <w:num w:numId="35">
    <w:abstractNumId w:val="24"/>
  </w:num>
  <w:num w:numId="36">
    <w:abstractNumId w:val="2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35A1"/>
    <w:rsid w:val="00001CF2"/>
    <w:rsid w:val="00002D35"/>
    <w:rsid w:val="00004944"/>
    <w:rsid w:val="00007F52"/>
    <w:rsid w:val="00010D1B"/>
    <w:rsid w:val="0001289D"/>
    <w:rsid w:val="00013565"/>
    <w:rsid w:val="00013E71"/>
    <w:rsid w:val="00014365"/>
    <w:rsid w:val="0001470A"/>
    <w:rsid w:val="0001471A"/>
    <w:rsid w:val="000163C8"/>
    <w:rsid w:val="00017296"/>
    <w:rsid w:val="0002065E"/>
    <w:rsid w:val="00024373"/>
    <w:rsid w:val="00025D06"/>
    <w:rsid w:val="00030289"/>
    <w:rsid w:val="000310D2"/>
    <w:rsid w:val="0003219E"/>
    <w:rsid w:val="000335AC"/>
    <w:rsid w:val="00035811"/>
    <w:rsid w:val="000376E2"/>
    <w:rsid w:val="00037C1B"/>
    <w:rsid w:val="00040994"/>
    <w:rsid w:val="0004129D"/>
    <w:rsid w:val="00041CBD"/>
    <w:rsid w:val="00041F0F"/>
    <w:rsid w:val="00042DDD"/>
    <w:rsid w:val="0004354C"/>
    <w:rsid w:val="00044809"/>
    <w:rsid w:val="0004645C"/>
    <w:rsid w:val="000476E2"/>
    <w:rsid w:val="0004777D"/>
    <w:rsid w:val="0005339D"/>
    <w:rsid w:val="00060D32"/>
    <w:rsid w:val="00063EA0"/>
    <w:rsid w:val="00064F73"/>
    <w:rsid w:val="00066FC8"/>
    <w:rsid w:val="00067B93"/>
    <w:rsid w:val="00071B29"/>
    <w:rsid w:val="00072993"/>
    <w:rsid w:val="0007433A"/>
    <w:rsid w:val="00074852"/>
    <w:rsid w:val="000766E9"/>
    <w:rsid w:val="00077551"/>
    <w:rsid w:val="00077C7E"/>
    <w:rsid w:val="00080B3E"/>
    <w:rsid w:val="00080FFB"/>
    <w:rsid w:val="000815BD"/>
    <w:rsid w:val="0008304A"/>
    <w:rsid w:val="0008396B"/>
    <w:rsid w:val="00083E23"/>
    <w:rsid w:val="00084093"/>
    <w:rsid w:val="0008560E"/>
    <w:rsid w:val="00085BFB"/>
    <w:rsid w:val="000932A4"/>
    <w:rsid w:val="00095671"/>
    <w:rsid w:val="000A5648"/>
    <w:rsid w:val="000A5EBA"/>
    <w:rsid w:val="000A7EC8"/>
    <w:rsid w:val="000B0960"/>
    <w:rsid w:val="000B358D"/>
    <w:rsid w:val="000B3EDD"/>
    <w:rsid w:val="000C177E"/>
    <w:rsid w:val="000C26F6"/>
    <w:rsid w:val="000C2BCD"/>
    <w:rsid w:val="000C31D5"/>
    <w:rsid w:val="000C3CD2"/>
    <w:rsid w:val="000C4D90"/>
    <w:rsid w:val="000C5AFE"/>
    <w:rsid w:val="000C5E14"/>
    <w:rsid w:val="000C6559"/>
    <w:rsid w:val="000D0BAE"/>
    <w:rsid w:val="000D1061"/>
    <w:rsid w:val="000D19C9"/>
    <w:rsid w:val="000D6387"/>
    <w:rsid w:val="000D65C6"/>
    <w:rsid w:val="000D7634"/>
    <w:rsid w:val="000E0737"/>
    <w:rsid w:val="000E38ED"/>
    <w:rsid w:val="000E44ED"/>
    <w:rsid w:val="000F08FC"/>
    <w:rsid w:val="000F0E00"/>
    <w:rsid w:val="000F26C6"/>
    <w:rsid w:val="000F2A35"/>
    <w:rsid w:val="000F3831"/>
    <w:rsid w:val="000F419F"/>
    <w:rsid w:val="000F46E2"/>
    <w:rsid w:val="000F5BE6"/>
    <w:rsid w:val="000F5CF8"/>
    <w:rsid w:val="000F6699"/>
    <w:rsid w:val="0010083F"/>
    <w:rsid w:val="00100EA2"/>
    <w:rsid w:val="00100F19"/>
    <w:rsid w:val="001025E9"/>
    <w:rsid w:val="00104E00"/>
    <w:rsid w:val="001055E6"/>
    <w:rsid w:val="00106C22"/>
    <w:rsid w:val="00112711"/>
    <w:rsid w:val="0011562A"/>
    <w:rsid w:val="00121F19"/>
    <w:rsid w:val="00121F3E"/>
    <w:rsid w:val="001234AC"/>
    <w:rsid w:val="001247AD"/>
    <w:rsid w:val="00130D22"/>
    <w:rsid w:val="00131186"/>
    <w:rsid w:val="00131D48"/>
    <w:rsid w:val="00132E5B"/>
    <w:rsid w:val="00134BFF"/>
    <w:rsid w:val="0013504B"/>
    <w:rsid w:val="00135264"/>
    <w:rsid w:val="00136FDB"/>
    <w:rsid w:val="00137D41"/>
    <w:rsid w:val="00137F8D"/>
    <w:rsid w:val="0014291C"/>
    <w:rsid w:val="00143796"/>
    <w:rsid w:val="001442D3"/>
    <w:rsid w:val="00145EC6"/>
    <w:rsid w:val="0015137E"/>
    <w:rsid w:val="00152998"/>
    <w:rsid w:val="0015446A"/>
    <w:rsid w:val="001557E8"/>
    <w:rsid w:val="00157550"/>
    <w:rsid w:val="00161914"/>
    <w:rsid w:val="00163ABC"/>
    <w:rsid w:val="00163F4A"/>
    <w:rsid w:val="0016490B"/>
    <w:rsid w:val="00164C26"/>
    <w:rsid w:val="00165762"/>
    <w:rsid w:val="001705DA"/>
    <w:rsid w:val="00172C7F"/>
    <w:rsid w:val="001755EC"/>
    <w:rsid w:val="00176198"/>
    <w:rsid w:val="001777CB"/>
    <w:rsid w:val="00180412"/>
    <w:rsid w:val="00182A48"/>
    <w:rsid w:val="00182D1E"/>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7F3A"/>
    <w:rsid w:val="001B10F1"/>
    <w:rsid w:val="001B12E0"/>
    <w:rsid w:val="001B1E4F"/>
    <w:rsid w:val="001B56A9"/>
    <w:rsid w:val="001B5995"/>
    <w:rsid w:val="001B59B4"/>
    <w:rsid w:val="001B65F8"/>
    <w:rsid w:val="001B710A"/>
    <w:rsid w:val="001C0054"/>
    <w:rsid w:val="001C6899"/>
    <w:rsid w:val="001C7FAD"/>
    <w:rsid w:val="001D0B34"/>
    <w:rsid w:val="001D4968"/>
    <w:rsid w:val="001D5C2B"/>
    <w:rsid w:val="001D6452"/>
    <w:rsid w:val="001D723B"/>
    <w:rsid w:val="001E1C77"/>
    <w:rsid w:val="001E30A8"/>
    <w:rsid w:val="001E3A72"/>
    <w:rsid w:val="001E491B"/>
    <w:rsid w:val="001F24A1"/>
    <w:rsid w:val="001F2C2B"/>
    <w:rsid w:val="001F4486"/>
    <w:rsid w:val="001F4CA5"/>
    <w:rsid w:val="001F60C3"/>
    <w:rsid w:val="001F6B4D"/>
    <w:rsid w:val="001F6CFC"/>
    <w:rsid w:val="001F755D"/>
    <w:rsid w:val="00200AD6"/>
    <w:rsid w:val="00200CC8"/>
    <w:rsid w:val="002022BB"/>
    <w:rsid w:val="00203F4A"/>
    <w:rsid w:val="002069CE"/>
    <w:rsid w:val="00206A20"/>
    <w:rsid w:val="00207081"/>
    <w:rsid w:val="00207413"/>
    <w:rsid w:val="002108BA"/>
    <w:rsid w:val="002127B2"/>
    <w:rsid w:val="002152A4"/>
    <w:rsid w:val="002164B6"/>
    <w:rsid w:val="0021716C"/>
    <w:rsid w:val="00220F43"/>
    <w:rsid w:val="00222194"/>
    <w:rsid w:val="00224FE3"/>
    <w:rsid w:val="0022690E"/>
    <w:rsid w:val="002272DD"/>
    <w:rsid w:val="00227C87"/>
    <w:rsid w:val="00230439"/>
    <w:rsid w:val="0023068F"/>
    <w:rsid w:val="00230BA3"/>
    <w:rsid w:val="00232D4F"/>
    <w:rsid w:val="00233097"/>
    <w:rsid w:val="002337A7"/>
    <w:rsid w:val="00233A1D"/>
    <w:rsid w:val="00234459"/>
    <w:rsid w:val="00234797"/>
    <w:rsid w:val="002358AC"/>
    <w:rsid w:val="0023614A"/>
    <w:rsid w:val="002369F2"/>
    <w:rsid w:val="00236C2C"/>
    <w:rsid w:val="00237AAA"/>
    <w:rsid w:val="0024150A"/>
    <w:rsid w:val="00241946"/>
    <w:rsid w:val="00241CE3"/>
    <w:rsid w:val="00242041"/>
    <w:rsid w:val="00242EDF"/>
    <w:rsid w:val="00243C80"/>
    <w:rsid w:val="002474BE"/>
    <w:rsid w:val="00254420"/>
    <w:rsid w:val="00254594"/>
    <w:rsid w:val="00254BE1"/>
    <w:rsid w:val="00256728"/>
    <w:rsid w:val="00256F15"/>
    <w:rsid w:val="00257CDD"/>
    <w:rsid w:val="00260DF1"/>
    <w:rsid w:val="00265609"/>
    <w:rsid w:val="002709F7"/>
    <w:rsid w:val="00271282"/>
    <w:rsid w:val="002737FC"/>
    <w:rsid w:val="00275FF6"/>
    <w:rsid w:val="00276035"/>
    <w:rsid w:val="00276618"/>
    <w:rsid w:val="00276AF3"/>
    <w:rsid w:val="00280377"/>
    <w:rsid w:val="0028153D"/>
    <w:rsid w:val="00283B20"/>
    <w:rsid w:val="002847E7"/>
    <w:rsid w:val="0029020B"/>
    <w:rsid w:val="002908E6"/>
    <w:rsid w:val="00290F67"/>
    <w:rsid w:val="00293453"/>
    <w:rsid w:val="00293BD7"/>
    <w:rsid w:val="00295117"/>
    <w:rsid w:val="00297D76"/>
    <w:rsid w:val="002A01F5"/>
    <w:rsid w:val="002A24B1"/>
    <w:rsid w:val="002A3ACC"/>
    <w:rsid w:val="002A5640"/>
    <w:rsid w:val="002A7A3A"/>
    <w:rsid w:val="002B40B1"/>
    <w:rsid w:val="002B4649"/>
    <w:rsid w:val="002B5197"/>
    <w:rsid w:val="002B5477"/>
    <w:rsid w:val="002B56FB"/>
    <w:rsid w:val="002C2DAF"/>
    <w:rsid w:val="002C3BA6"/>
    <w:rsid w:val="002C53E9"/>
    <w:rsid w:val="002C7CC7"/>
    <w:rsid w:val="002D0395"/>
    <w:rsid w:val="002D44BE"/>
    <w:rsid w:val="002D535C"/>
    <w:rsid w:val="002D542F"/>
    <w:rsid w:val="002E06C1"/>
    <w:rsid w:val="002E0E2B"/>
    <w:rsid w:val="002E1927"/>
    <w:rsid w:val="002E224B"/>
    <w:rsid w:val="002E4EE4"/>
    <w:rsid w:val="002E50CF"/>
    <w:rsid w:val="002E55A7"/>
    <w:rsid w:val="002E6F93"/>
    <w:rsid w:val="002F2C64"/>
    <w:rsid w:val="002F2DA9"/>
    <w:rsid w:val="002F2DFB"/>
    <w:rsid w:val="002F4803"/>
    <w:rsid w:val="002F4BF7"/>
    <w:rsid w:val="002F4C8F"/>
    <w:rsid w:val="002F6E9E"/>
    <w:rsid w:val="002F78D3"/>
    <w:rsid w:val="003018A6"/>
    <w:rsid w:val="00304E90"/>
    <w:rsid w:val="0030554F"/>
    <w:rsid w:val="003064D4"/>
    <w:rsid w:val="003072AD"/>
    <w:rsid w:val="00307597"/>
    <w:rsid w:val="00313607"/>
    <w:rsid w:val="00313852"/>
    <w:rsid w:val="00314953"/>
    <w:rsid w:val="003164F5"/>
    <w:rsid w:val="00316B18"/>
    <w:rsid w:val="00320207"/>
    <w:rsid w:val="00320571"/>
    <w:rsid w:val="00321C48"/>
    <w:rsid w:val="00322397"/>
    <w:rsid w:val="00322F8B"/>
    <w:rsid w:val="00323B61"/>
    <w:rsid w:val="0032526B"/>
    <w:rsid w:val="00330716"/>
    <w:rsid w:val="003334E0"/>
    <w:rsid w:val="00334719"/>
    <w:rsid w:val="00335CD6"/>
    <w:rsid w:val="00335F4E"/>
    <w:rsid w:val="0034084C"/>
    <w:rsid w:val="00342E60"/>
    <w:rsid w:val="00350146"/>
    <w:rsid w:val="00352D1C"/>
    <w:rsid w:val="00356E33"/>
    <w:rsid w:val="00357109"/>
    <w:rsid w:val="0036244C"/>
    <w:rsid w:val="00362C85"/>
    <w:rsid w:val="00362D34"/>
    <w:rsid w:val="003637A4"/>
    <w:rsid w:val="00367121"/>
    <w:rsid w:val="00367D11"/>
    <w:rsid w:val="00370E0C"/>
    <w:rsid w:val="003715F3"/>
    <w:rsid w:val="00376485"/>
    <w:rsid w:val="003765D4"/>
    <w:rsid w:val="00376AC5"/>
    <w:rsid w:val="00376DA5"/>
    <w:rsid w:val="003776BE"/>
    <w:rsid w:val="00377AD7"/>
    <w:rsid w:val="00377DD8"/>
    <w:rsid w:val="00380E7A"/>
    <w:rsid w:val="00380FC2"/>
    <w:rsid w:val="003812D0"/>
    <w:rsid w:val="003821D2"/>
    <w:rsid w:val="00382F59"/>
    <w:rsid w:val="00383B81"/>
    <w:rsid w:val="0038532E"/>
    <w:rsid w:val="0038571B"/>
    <w:rsid w:val="003866E3"/>
    <w:rsid w:val="0039526B"/>
    <w:rsid w:val="0039622D"/>
    <w:rsid w:val="003966EF"/>
    <w:rsid w:val="0039694A"/>
    <w:rsid w:val="003A0823"/>
    <w:rsid w:val="003A1B8E"/>
    <w:rsid w:val="003A1D88"/>
    <w:rsid w:val="003A33F0"/>
    <w:rsid w:val="003A3587"/>
    <w:rsid w:val="003A4468"/>
    <w:rsid w:val="003A61D6"/>
    <w:rsid w:val="003A666B"/>
    <w:rsid w:val="003A6F0D"/>
    <w:rsid w:val="003A6F16"/>
    <w:rsid w:val="003A7495"/>
    <w:rsid w:val="003B0280"/>
    <w:rsid w:val="003B3544"/>
    <w:rsid w:val="003B3CAF"/>
    <w:rsid w:val="003B4A77"/>
    <w:rsid w:val="003B694E"/>
    <w:rsid w:val="003B6CAB"/>
    <w:rsid w:val="003B73CE"/>
    <w:rsid w:val="003C009E"/>
    <w:rsid w:val="003C1907"/>
    <w:rsid w:val="003D127F"/>
    <w:rsid w:val="003D1969"/>
    <w:rsid w:val="003D5478"/>
    <w:rsid w:val="003D566E"/>
    <w:rsid w:val="003D64C9"/>
    <w:rsid w:val="003E0526"/>
    <w:rsid w:val="003E0B87"/>
    <w:rsid w:val="003E2302"/>
    <w:rsid w:val="003E740A"/>
    <w:rsid w:val="003F0413"/>
    <w:rsid w:val="003F4A25"/>
    <w:rsid w:val="003F7856"/>
    <w:rsid w:val="003F7D95"/>
    <w:rsid w:val="00400113"/>
    <w:rsid w:val="00403395"/>
    <w:rsid w:val="004041AF"/>
    <w:rsid w:val="00411CCD"/>
    <w:rsid w:val="0041271D"/>
    <w:rsid w:val="00413284"/>
    <w:rsid w:val="00414949"/>
    <w:rsid w:val="00415FC7"/>
    <w:rsid w:val="00417A9F"/>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30D86"/>
    <w:rsid w:val="004315AC"/>
    <w:rsid w:val="004320E2"/>
    <w:rsid w:val="0043734C"/>
    <w:rsid w:val="004402ED"/>
    <w:rsid w:val="004412DD"/>
    <w:rsid w:val="00442037"/>
    <w:rsid w:val="004430F9"/>
    <w:rsid w:val="00450B89"/>
    <w:rsid w:val="00452498"/>
    <w:rsid w:val="0045281D"/>
    <w:rsid w:val="0045563A"/>
    <w:rsid w:val="00455C3E"/>
    <w:rsid w:val="00457086"/>
    <w:rsid w:val="0045743C"/>
    <w:rsid w:val="004579B5"/>
    <w:rsid w:val="00460614"/>
    <w:rsid w:val="00461CB6"/>
    <w:rsid w:val="00464B86"/>
    <w:rsid w:val="00464D10"/>
    <w:rsid w:val="00464F87"/>
    <w:rsid w:val="00466B97"/>
    <w:rsid w:val="00470320"/>
    <w:rsid w:val="00470B71"/>
    <w:rsid w:val="004734B2"/>
    <w:rsid w:val="00476675"/>
    <w:rsid w:val="00481C04"/>
    <w:rsid w:val="004829C2"/>
    <w:rsid w:val="004846E6"/>
    <w:rsid w:val="00487EDF"/>
    <w:rsid w:val="00493DD7"/>
    <w:rsid w:val="004979F9"/>
    <w:rsid w:val="004A5105"/>
    <w:rsid w:val="004A513C"/>
    <w:rsid w:val="004A56D8"/>
    <w:rsid w:val="004A5F28"/>
    <w:rsid w:val="004A70B5"/>
    <w:rsid w:val="004A7B14"/>
    <w:rsid w:val="004B1BA3"/>
    <w:rsid w:val="004B2083"/>
    <w:rsid w:val="004B2569"/>
    <w:rsid w:val="004B3AC2"/>
    <w:rsid w:val="004B3EF5"/>
    <w:rsid w:val="004B6146"/>
    <w:rsid w:val="004B7BD0"/>
    <w:rsid w:val="004C0927"/>
    <w:rsid w:val="004C1F1E"/>
    <w:rsid w:val="004C2DA1"/>
    <w:rsid w:val="004C496D"/>
    <w:rsid w:val="004C4C81"/>
    <w:rsid w:val="004C58AC"/>
    <w:rsid w:val="004C652C"/>
    <w:rsid w:val="004C6AC8"/>
    <w:rsid w:val="004C7AAD"/>
    <w:rsid w:val="004D24B3"/>
    <w:rsid w:val="004D3560"/>
    <w:rsid w:val="004D427C"/>
    <w:rsid w:val="004D71AA"/>
    <w:rsid w:val="004E0EE2"/>
    <w:rsid w:val="004E3016"/>
    <w:rsid w:val="004E3552"/>
    <w:rsid w:val="004E4B75"/>
    <w:rsid w:val="004E4C1E"/>
    <w:rsid w:val="004E5648"/>
    <w:rsid w:val="004E7049"/>
    <w:rsid w:val="004F2C3A"/>
    <w:rsid w:val="004F4A51"/>
    <w:rsid w:val="004F6BD1"/>
    <w:rsid w:val="004F7E7E"/>
    <w:rsid w:val="00504BCE"/>
    <w:rsid w:val="00504CCF"/>
    <w:rsid w:val="00504CDC"/>
    <w:rsid w:val="00507376"/>
    <w:rsid w:val="005101CC"/>
    <w:rsid w:val="00512E13"/>
    <w:rsid w:val="00513131"/>
    <w:rsid w:val="00513C3E"/>
    <w:rsid w:val="00516178"/>
    <w:rsid w:val="00520EF2"/>
    <w:rsid w:val="00521B39"/>
    <w:rsid w:val="00522C92"/>
    <w:rsid w:val="00527FE3"/>
    <w:rsid w:val="00534998"/>
    <w:rsid w:val="005349C3"/>
    <w:rsid w:val="0054124B"/>
    <w:rsid w:val="0054424E"/>
    <w:rsid w:val="005446E1"/>
    <w:rsid w:val="00544D55"/>
    <w:rsid w:val="00546C62"/>
    <w:rsid w:val="00546E94"/>
    <w:rsid w:val="00547CEA"/>
    <w:rsid w:val="00551C53"/>
    <w:rsid w:val="00557BB0"/>
    <w:rsid w:val="005628F2"/>
    <w:rsid w:val="0056309E"/>
    <w:rsid w:val="00563483"/>
    <w:rsid w:val="005668D1"/>
    <w:rsid w:val="00570250"/>
    <w:rsid w:val="005717DD"/>
    <w:rsid w:val="005719DD"/>
    <w:rsid w:val="00573EFC"/>
    <w:rsid w:val="0057696E"/>
    <w:rsid w:val="005809E8"/>
    <w:rsid w:val="005821A5"/>
    <w:rsid w:val="005834B7"/>
    <w:rsid w:val="00583CA4"/>
    <w:rsid w:val="00584613"/>
    <w:rsid w:val="00590EB9"/>
    <w:rsid w:val="00590F3E"/>
    <w:rsid w:val="0059150D"/>
    <w:rsid w:val="0059346B"/>
    <w:rsid w:val="0059406D"/>
    <w:rsid w:val="0059505C"/>
    <w:rsid w:val="005A0CF3"/>
    <w:rsid w:val="005A148B"/>
    <w:rsid w:val="005A172C"/>
    <w:rsid w:val="005A2A88"/>
    <w:rsid w:val="005A2C5C"/>
    <w:rsid w:val="005A5ADD"/>
    <w:rsid w:val="005A63CC"/>
    <w:rsid w:val="005A7802"/>
    <w:rsid w:val="005A79FB"/>
    <w:rsid w:val="005B38F2"/>
    <w:rsid w:val="005B5E65"/>
    <w:rsid w:val="005B676E"/>
    <w:rsid w:val="005B6BD0"/>
    <w:rsid w:val="005C0160"/>
    <w:rsid w:val="005C22C2"/>
    <w:rsid w:val="005C35DD"/>
    <w:rsid w:val="005D16F5"/>
    <w:rsid w:val="005D46C0"/>
    <w:rsid w:val="005D5307"/>
    <w:rsid w:val="005D5E8B"/>
    <w:rsid w:val="005D701D"/>
    <w:rsid w:val="005E0B6D"/>
    <w:rsid w:val="005E19F6"/>
    <w:rsid w:val="005E1B68"/>
    <w:rsid w:val="005E1E64"/>
    <w:rsid w:val="005E3AA1"/>
    <w:rsid w:val="005E43F9"/>
    <w:rsid w:val="005E6082"/>
    <w:rsid w:val="005E7557"/>
    <w:rsid w:val="005F3977"/>
    <w:rsid w:val="005F4103"/>
    <w:rsid w:val="005F4D9B"/>
    <w:rsid w:val="005F5CBC"/>
    <w:rsid w:val="005F6A70"/>
    <w:rsid w:val="005F7872"/>
    <w:rsid w:val="00600F31"/>
    <w:rsid w:val="00603CDD"/>
    <w:rsid w:val="006044C9"/>
    <w:rsid w:val="00605973"/>
    <w:rsid w:val="006077D3"/>
    <w:rsid w:val="0061059A"/>
    <w:rsid w:val="00612457"/>
    <w:rsid w:val="0061270D"/>
    <w:rsid w:val="00617236"/>
    <w:rsid w:val="00620EB6"/>
    <w:rsid w:val="006214E7"/>
    <w:rsid w:val="0062440B"/>
    <w:rsid w:val="00625717"/>
    <w:rsid w:val="00625E79"/>
    <w:rsid w:val="006276CE"/>
    <w:rsid w:val="0063480C"/>
    <w:rsid w:val="00641361"/>
    <w:rsid w:val="00642A00"/>
    <w:rsid w:val="006430FC"/>
    <w:rsid w:val="00643B56"/>
    <w:rsid w:val="00643C98"/>
    <w:rsid w:val="00643F12"/>
    <w:rsid w:val="00644A48"/>
    <w:rsid w:val="00644CC5"/>
    <w:rsid w:val="00646615"/>
    <w:rsid w:val="006468FA"/>
    <w:rsid w:val="00652376"/>
    <w:rsid w:val="00653B8C"/>
    <w:rsid w:val="00655626"/>
    <w:rsid w:val="00655A22"/>
    <w:rsid w:val="00655D66"/>
    <w:rsid w:val="00656ECB"/>
    <w:rsid w:val="00657B11"/>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3151"/>
    <w:rsid w:val="00673FCF"/>
    <w:rsid w:val="006763F8"/>
    <w:rsid w:val="00681444"/>
    <w:rsid w:val="00683A5B"/>
    <w:rsid w:val="00683BE4"/>
    <w:rsid w:val="00683FD7"/>
    <w:rsid w:val="00687EB4"/>
    <w:rsid w:val="006919D4"/>
    <w:rsid w:val="006966B3"/>
    <w:rsid w:val="006A3A06"/>
    <w:rsid w:val="006B0335"/>
    <w:rsid w:val="006B2EDC"/>
    <w:rsid w:val="006B5442"/>
    <w:rsid w:val="006B6D89"/>
    <w:rsid w:val="006C0727"/>
    <w:rsid w:val="006C0BAC"/>
    <w:rsid w:val="006C0F36"/>
    <w:rsid w:val="006C3AFF"/>
    <w:rsid w:val="006C470C"/>
    <w:rsid w:val="006C75F7"/>
    <w:rsid w:val="006C7BAB"/>
    <w:rsid w:val="006D083F"/>
    <w:rsid w:val="006D0B2B"/>
    <w:rsid w:val="006D2523"/>
    <w:rsid w:val="006D2EDD"/>
    <w:rsid w:val="006D72F8"/>
    <w:rsid w:val="006D7EAF"/>
    <w:rsid w:val="006E0C50"/>
    <w:rsid w:val="006E145F"/>
    <w:rsid w:val="006E14D5"/>
    <w:rsid w:val="006E33C3"/>
    <w:rsid w:val="006E41B4"/>
    <w:rsid w:val="006F10EB"/>
    <w:rsid w:val="006F210C"/>
    <w:rsid w:val="006F2478"/>
    <w:rsid w:val="006F5853"/>
    <w:rsid w:val="006F6551"/>
    <w:rsid w:val="006F6F34"/>
    <w:rsid w:val="006F79B1"/>
    <w:rsid w:val="00701EDE"/>
    <w:rsid w:val="007040C6"/>
    <w:rsid w:val="00704847"/>
    <w:rsid w:val="00705A3A"/>
    <w:rsid w:val="00705C9E"/>
    <w:rsid w:val="007072CB"/>
    <w:rsid w:val="00710016"/>
    <w:rsid w:val="007100F3"/>
    <w:rsid w:val="007150A0"/>
    <w:rsid w:val="00715B72"/>
    <w:rsid w:val="00716E7C"/>
    <w:rsid w:val="00720292"/>
    <w:rsid w:val="00720E1A"/>
    <w:rsid w:val="00723000"/>
    <w:rsid w:val="007313AE"/>
    <w:rsid w:val="00733A5D"/>
    <w:rsid w:val="0073409D"/>
    <w:rsid w:val="00734267"/>
    <w:rsid w:val="007344FA"/>
    <w:rsid w:val="00734B29"/>
    <w:rsid w:val="00735D75"/>
    <w:rsid w:val="00735DCE"/>
    <w:rsid w:val="00736C73"/>
    <w:rsid w:val="00740D2F"/>
    <w:rsid w:val="00740F4D"/>
    <w:rsid w:val="0074164A"/>
    <w:rsid w:val="00741D48"/>
    <w:rsid w:val="007423BE"/>
    <w:rsid w:val="00742C0B"/>
    <w:rsid w:val="0074528F"/>
    <w:rsid w:val="00745623"/>
    <w:rsid w:val="00745789"/>
    <w:rsid w:val="0074789E"/>
    <w:rsid w:val="00747F02"/>
    <w:rsid w:val="00747F93"/>
    <w:rsid w:val="00751839"/>
    <w:rsid w:val="00751AB7"/>
    <w:rsid w:val="00751C3E"/>
    <w:rsid w:val="00753811"/>
    <w:rsid w:val="00755663"/>
    <w:rsid w:val="007610DA"/>
    <w:rsid w:val="00761FC1"/>
    <w:rsid w:val="00762860"/>
    <w:rsid w:val="0076647B"/>
    <w:rsid w:val="007671C4"/>
    <w:rsid w:val="00767640"/>
    <w:rsid w:val="00770572"/>
    <w:rsid w:val="00774BE9"/>
    <w:rsid w:val="00775C28"/>
    <w:rsid w:val="0077732F"/>
    <w:rsid w:val="00777BA8"/>
    <w:rsid w:val="00777D69"/>
    <w:rsid w:val="00780CF1"/>
    <w:rsid w:val="0078125A"/>
    <w:rsid w:val="007838BD"/>
    <w:rsid w:val="00784689"/>
    <w:rsid w:val="00785022"/>
    <w:rsid w:val="00786734"/>
    <w:rsid w:val="00787F34"/>
    <w:rsid w:val="007918BA"/>
    <w:rsid w:val="0079345F"/>
    <w:rsid w:val="00794864"/>
    <w:rsid w:val="00794A74"/>
    <w:rsid w:val="00795974"/>
    <w:rsid w:val="007978DD"/>
    <w:rsid w:val="007A27F5"/>
    <w:rsid w:val="007A39B8"/>
    <w:rsid w:val="007B1880"/>
    <w:rsid w:val="007B1F37"/>
    <w:rsid w:val="007B29A4"/>
    <w:rsid w:val="007B4743"/>
    <w:rsid w:val="007B6FA5"/>
    <w:rsid w:val="007B7188"/>
    <w:rsid w:val="007B756C"/>
    <w:rsid w:val="007B7999"/>
    <w:rsid w:val="007C14D0"/>
    <w:rsid w:val="007C1CBD"/>
    <w:rsid w:val="007C1EA8"/>
    <w:rsid w:val="007C510F"/>
    <w:rsid w:val="007C61AB"/>
    <w:rsid w:val="007D0D85"/>
    <w:rsid w:val="007D13D6"/>
    <w:rsid w:val="007E3941"/>
    <w:rsid w:val="007E552E"/>
    <w:rsid w:val="007E62F6"/>
    <w:rsid w:val="007E6F60"/>
    <w:rsid w:val="007E7DAE"/>
    <w:rsid w:val="007F0193"/>
    <w:rsid w:val="007F0F85"/>
    <w:rsid w:val="007F132C"/>
    <w:rsid w:val="007F1606"/>
    <w:rsid w:val="007F2FDA"/>
    <w:rsid w:val="007F4D8A"/>
    <w:rsid w:val="007F6921"/>
    <w:rsid w:val="007F7AB6"/>
    <w:rsid w:val="00801BDC"/>
    <w:rsid w:val="00802B00"/>
    <w:rsid w:val="008036FF"/>
    <w:rsid w:val="008041AC"/>
    <w:rsid w:val="0080633D"/>
    <w:rsid w:val="00807A34"/>
    <w:rsid w:val="008102EB"/>
    <w:rsid w:val="00810EB0"/>
    <w:rsid w:val="00812BD2"/>
    <w:rsid w:val="00815942"/>
    <w:rsid w:val="00815F65"/>
    <w:rsid w:val="00817014"/>
    <w:rsid w:val="00820958"/>
    <w:rsid w:val="00820B34"/>
    <w:rsid w:val="00820DD5"/>
    <w:rsid w:val="008218AB"/>
    <w:rsid w:val="00821F2B"/>
    <w:rsid w:val="00823016"/>
    <w:rsid w:val="00824368"/>
    <w:rsid w:val="00830907"/>
    <w:rsid w:val="008316D2"/>
    <w:rsid w:val="00836137"/>
    <w:rsid w:val="008367BB"/>
    <w:rsid w:val="00836D62"/>
    <w:rsid w:val="008374B4"/>
    <w:rsid w:val="008377A8"/>
    <w:rsid w:val="00840120"/>
    <w:rsid w:val="008405B5"/>
    <w:rsid w:val="00841972"/>
    <w:rsid w:val="00846321"/>
    <w:rsid w:val="00850209"/>
    <w:rsid w:val="008507AA"/>
    <w:rsid w:val="008527EC"/>
    <w:rsid w:val="00854BED"/>
    <w:rsid w:val="00856084"/>
    <w:rsid w:val="00856BA3"/>
    <w:rsid w:val="00861452"/>
    <w:rsid w:val="00861478"/>
    <w:rsid w:val="008633D1"/>
    <w:rsid w:val="00863CE9"/>
    <w:rsid w:val="00864A35"/>
    <w:rsid w:val="008650D7"/>
    <w:rsid w:val="00865F6B"/>
    <w:rsid w:val="008678F4"/>
    <w:rsid w:val="00867A3B"/>
    <w:rsid w:val="00867DB0"/>
    <w:rsid w:val="00867E7C"/>
    <w:rsid w:val="00871296"/>
    <w:rsid w:val="00872496"/>
    <w:rsid w:val="008726B7"/>
    <w:rsid w:val="00873B92"/>
    <w:rsid w:val="00875C3C"/>
    <w:rsid w:val="00875DCB"/>
    <w:rsid w:val="008802DA"/>
    <w:rsid w:val="00880B13"/>
    <w:rsid w:val="0088150F"/>
    <w:rsid w:val="00881A6E"/>
    <w:rsid w:val="00882E4A"/>
    <w:rsid w:val="0088323E"/>
    <w:rsid w:val="0088526B"/>
    <w:rsid w:val="0088582D"/>
    <w:rsid w:val="0089088B"/>
    <w:rsid w:val="00892053"/>
    <w:rsid w:val="008930F2"/>
    <w:rsid w:val="008949B6"/>
    <w:rsid w:val="008A2DC0"/>
    <w:rsid w:val="008A33E8"/>
    <w:rsid w:val="008B2ADE"/>
    <w:rsid w:val="008B3913"/>
    <w:rsid w:val="008B43EB"/>
    <w:rsid w:val="008B7684"/>
    <w:rsid w:val="008B773F"/>
    <w:rsid w:val="008C2143"/>
    <w:rsid w:val="008C242C"/>
    <w:rsid w:val="008C266E"/>
    <w:rsid w:val="008C44E2"/>
    <w:rsid w:val="008C4FA4"/>
    <w:rsid w:val="008C606E"/>
    <w:rsid w:val="008C678C"/>
    <w:rsid w:val="008C6D49"/>
    <w:rsid w:val="008C6E60"/>
    <w:rsid w:val="008D0CEB"/>
    <w:rsid w:val="008D1CF1"/>
    <w:rsid w:val="008D232D"/>
    <w:rsid w:val="008D2AF5"/>
    <w:rsid w:val="008D37D4"/>
    <w:rsid w:val="008D3F65"/>
    <w:rsid w:val="008D6C8B"/>
    <w:rsid w:val="008D6FA7"/>
    <w:rsid w:val="008E705C"/>
    <w:rsid w:val="008E79F9"/>
    <w:rsid w:val="008E7E9E"/>
    <w:rsid w:val="008F0170"/>
    <w:rsid w:val="008F242F"/>
    <w:rsid w:val="008F4E9D"/>
    <w:rsid w:val="008F5F6B"/>
    <w:rsid w:val="00901AC7"/>
    <w:rsid w:val="00903D64"/>
    <w:rsid w:val="00904ED7"/>
    <w:rsid w:val="009051BC"/>
    <w:rsid w:val="0090557F"/>
    <w:rsid w:val="0090754F"/>
    <w:rsid w:val="009140C2"/>
    <w:rsid w:val="00914A47"/>
    <w:rsid w:val="00916003"/>
    <w:rsid w:val="00917122"/>
    <w:rsid w:val="00917167"/>
    <w:rsid w:val="009204CD"/>
    <w:rsid w:val="009209AF"/>
    <w:rsid w:val="0092217D"/>
    <w:rsid w:val="0092221B"/>
    <w:rsid w:val="00922376"/>
    <w:rsid w:val="009345C8"/>
    <w:rsid w:val="00934BE0"/>
    <w:rsid w:val="00934E60"/>
    <w:rsid w:val="0093629C"/>
    <w:rsid w:val="00937EFD"/>
    <w:rsid w:val="00942F15"/>
    <w:rsid w:val="0094472E"/>
    <w:rsid w:val="00944BBF"/>
    <w:rsid w:val="00945711"/>
    <w:rsid w:val="00945951"/>
    <w:rsid w:val="00946D14"/>
    <w:rsid w:val="00950843"/>
    <w:rsid w:val="0095092C"/>
    <w:rsid w:val="0095190C"/>
    <w:rsid w:val="00961442"/>
    <w:rsid w:val="009635A1"/>
    <w:rsid w:val="00963A46"/>
    <w:rsid w:val="0096566E"/>
    <w:rsid w:val="00965C28"/>
    <w:rsid w:val="00965C79"/>
    <w:rsid w:val="00965CCC"/>
    <w:rsid w:val="00965FF9"/>
    <w:rsid w:val="00966CDD"/>
    <w:rsid w:val="00970DCE"/>
    <w:rsid w:val="009714FC"/>
    <w:rsid w:val="009715D6"/>
    <w:rsid w:val="00972C6A"/>
    <w:rsid w:val="00973736"/>
    <w:rsid w:val="009737EF"/>
    <w:rsid w:val="00974028"/>
    <w:rsid w:val="00977061"/>
    <w:rsid w:val="00980955"/>
    <w:rsid w:val="00981A5E"/>
    <w:rsid w:val="00981F82"/>
    <w:rsid w:val="00986F62"/>
    <w:rsid w:val="009918FC"/>
    <w:rsid w:val="00993550"/>
    <w:rsid w:val="00993C91"/>
    <w:rsid w:val="00994CC1"/>
    <w:rsid w:val="00996FA9"/>
    <w:rsid w:val="009976A7"/>
    <w:rsid w:val="009A21F0"/>
    <w:rsid w:val="009A6236"/>
    <w:rsid w:val="009B1535"/>
    <w:rsid w:val="009B3751"/>
    <w:rsid w:val="009B3CE6"/>
    <w:rsid w:val="009B3F1E"/>
    <w:rsid w:val="009B47F5"/>
    <w:rsid w:val="009B5BC5"/>
    <w:rsid w:val="009B6176"/>
    <w:rsid w:val="009B6B27"/>
    <w:rsid w:val="009B6F8C"/>
    <w:rsid w:val="009B70BF"/>
    <w:rsid w:val="009B72DD"/>
    <w:rsid w:val="009C3D76"/>
    <w:rsid w:val="009D0BEC"/>
    <w:rsid w:val="009D188C"/>
    <w:rsid w:val="009D55F2"/>
    <w:rsid w:val="009D7963"/>
    <w:rsid w:val="009E098F"/>
    <w:rsid w:val="009E1AB0"/>
    <w:rsid w:val="009E57EA"/>
    <w:rsid w:val="009E58D1"/>
    <w:rsid w:val="009E734B"/>
    <w:rsid w:val="009E74D6"/>
    <w:rsid w:val="009E7BB6"/>
    <w:rsid w:val="009F0E2E"/>
    <w:rsid w:val="009F257A"/>
    <w:rsid w:val="009F326E"/>
    <w:rsid w:val="009F3709"/>
    <w:rsid w:val="009F3B31"/>
    <w:rsid w:val="009F3DAB"/>
    <w:rsid w:val="009F4745"/>
    <w:rsid w:val="009F5817"/>
    <w:rsid w:val="009F7124"/>
    <w:rsid w:val="00A0027C"/>
    <w:rsid w:val="00A00FF6"/>
    <w:rsid w:val="00A01C38"/>
    <w:rsid w:val="00A02C9B"/>
    <w:rsid w:val="00A02FC4"/>
    <w:rsid w:val="00A048A8"/>
    <w:rsid w:val="00A06F63"/>
    <w:rsid w:val="00A10578"/>
    <w:rsid w:val="00A146BC"/>
    <w:rsid w:val="00A15503"/>
    <w:rsid w:val="00A17431"/>
    <w:rsid w:val="00A17BE6"/>
    <w:rsid w:val="00A209D1"/>
    <w:rsid w:val="00A24AA6"/>
    <w:rsid w:val="00A2549F"/>
    <w:rsid w:val="00A25BB0"/>
    <w:rsid w:val="00A26E13"/>
    <w:rsid w:val="00A30E2A"/>
    <w:rsid w:val="00A31662"/>
    <w:rsid w:val="00A324A3"/>
    <w:rsid w:val="00A3365A"/>
    <w:rsid w:val="00A33CF6"/>
    <w:rsid w:val="00A351AD"/>
    <w:rsid w:val="00A361BA"/>
    <w:rsid w:val="00A37389"/>
    <w:rsid w:val="00A37CAB"/>
    <w:rsid w:val="00A42810"/>
    <w:rsid w:val="00A45597"/>
    <w:rsid w:val="00A46FED"/>
    <w:rsid w:val="00A5021B"/>
    <w:rsid w:val="00A52401"/>
    <w:rsid w:val="00A52557"/>
    <w:rsid w:val="00A525F0"/>
    <w:rsid w:val="00A5416B"/>
    <w:rsid w:val="00A54269"/>
    <w:rsid w:val="00A549F9"/>
    <w:rsid w:val="00A60541"/>
    <w:rsid w:val="00A62487"/>
    <w:rsid w:val="00A62FE2"/>
    <w:rsid w:val="00A7317F"/>
    <w:rsid w:val="00A736D2"/>
    <w:rsid w:val="00A76584"/>
    <w:rsid w:val="00A82FF2"/>
    <w:rsid w:val="00A842EB"/>
    <w:rsid w:val="00A853FC"/>
    <w:rsid w:val="00A85F61"/>
    <w:rsid w:val="00A90353"/>
    <w:rsid w:val="00A92584"/>
    <w:rsid w:val="00A94BC8"/>
    <w:rsid w:val="00A95C0C"/>
    <w:rsid w:val="00A97EA7"/>
    <w:rsid w:val="00AA2A8B"/>
    <w:rsid w:val="00AA427C"/>
    <w:rsid w:val="00AA54F0"/>
    <w:rsid w:val="00AA6682"/>
    <w:rsid w:val="00AA6BF1"/>
    <w:rsid w:val="00AB00B7"/>
    <w:rsid w:val="00AB2108"/>
    <w:rsid w:val="00AB3668"/>
    <w:rsid w:val="00AB3BE0"/>
    <w:rsid w:val="00AB455B"/>
    <w:rsid w:val="00AB53A4"/>
    <w:rsid w:val="00AB612F"/>
    <w:rsid w:val="00AC08D3"/>
    <w:rsid w:val="00AC114E"/>
    <w:rsid w:val="00AC15E3"/>
    <w:rsid w:val="00AC1965"/>
    <w:rsid w:val="00AC3267"/>
    <w:rsid w:val="00AC3643"/>
    <w:rsid w:val="00AC4CA7"/>
    <w:rsid w:val="00AC4DC0"/>
    <w:rsid w:val="00AC7AE7"/>
    <w:rsid w:val="00AD026A"/>
    <w:rsid w:val="00AD0934"/>
    <w:rsid w:val="00AD4C8F"/>
    <w:rsid w:val="00AE10C6"/>
    <w:rsid w:val="00AE1FC1"/>
    <w:rsid w:val="00AF2CC9"/>
    <w:rsid w:val="00AF3600"/>
    <w:rsid w:val="00AF36B2"/>
    <w:rsid w:val="00AF488E"/>
    <w:rsid w:val="00AF5A17"/>
    <w:rsid w:val="00B01C02"/>
    <w:rsid w:val="00B05613"/>
    <w:rsid w:val="00B05765"/>
    <w:rsid w:val="00B057EF"/>
    <w:rsid w:val="00B06FBC"/>
    <w:rsid w:val="00B1220B"/>
    <w:rsid w:val="00B12A81"/>
    <w:rsid w:val="00B13BEB"/>
    <w:rsid w:val="00B14255"/>
    <w:rsid w:val="00B158C4"/>
    <w:rsid w:val="00B1630E"/>
    <w:rsid w:val="00B178B5"/>
    <w:rsid w:val="00B220AA"/>
    <w:rsid w:val="00B23640"/>
    <w:rsid w:val="00B23BAA"/>
    <w:rsid w:val="00B26BEB"/>
    <w:rsid w:val="00B276F6"/>
    <w:rsid w:val="00B27E5F"/>
    <w:rsid w:val="00B342A6"/>
    <w:rsid w:val="00B35BFA"/>
    <w:rsid w:val="00B37AB4"/>
    <w:rsid w:val="00B4029A"/>
    <w:rsid w:val="00B41618"/>
    <w:rsid w:val="00B436B4"/>
    <w:rsid w:val="00B46EAD"/>
    <w:rsid w:val="00B51BFB"/>
    <w:rsid w:val="00B53C1C"/>
    <w:rsid w:val="00B554E3"/>
    <w:rsid w:val="00B57344"/>
    <w:rsid w:val="00B61B7A"/>
    <w:rsid w:val="00B624A0"/>
    <w:rsid w:val="00B64521"/>
    <w:rsid w:val="00B67992"/>
    <w:rsid w:val="00B742FD"/>
    <w:rsid w:val="00B7469D"/>
    <w:rsid w:val="00B76457"/>
    <w:rsid w:val="00B7663C"/>
    <w:rsid w:val="00B76831"/>
    <w:rsid w:val="00B76A2F"/>
    <w:rsid w:val="00B80C13"/>
    <w:rsid w:val="00B8101E"/>
    <w:rsid w:val="00B8140D"/>
    <w:rsid w:val="00B835B9"/>
    <w:rsid w:val="00B8373F"/>
    <w:rsid w:val="00B845AD"/>
    <w:rsid w:val="00B8584B"/>
    <w:rsid w:val="00B86330"/>
    <w:rsid w:val="00B8750A"/>
    <w:rsid w:val="00B90A30"/>
    <w:rsid w:val="00B92D6B"/>
    <w:rsid w:val="00B94637"/>
    <w:rsid w:val="00B950DE"/>
    <w:rsid w:val="00B96243"/>
    <w:rsid w:val="00B963BF"/>
    <w:rsid w:val="00BA1DEF"/>
    <w:rsid w:val="00BA2B89"/>
    <w:rsid w:val="00BA473F"/>
    <w:rsid w:val="00BA636E"/>
    <w:rsid w:val="00BA6370"/>
    <w:rsid w:val="00BB04D3"/>
    <w:rsid w:val="00BB11B1"/>
    <w:rsid w:val="00BB3A7E"/>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7A0"/>
    <w:rsid w:val="00BD2934"/>
    <w:rsid w:val="00BD3442"/>
    <w:rsid w:val="00BD3F55"/>
    <w:rsid w:val="00BD624B"/>
    <w:rsid w:val="00BD6B5B"/>
    <w:rsid w:val="00BD7100"/>
    <w:rsid w:val="00BD7233"/>
    <w:rsid w:val="00BE1DF7"/>
    <w:rsid w:val="00BE2220"/>
    <w:rsid w:val="00BE507F"/>
    <w:rsid w:val="00BE68C2"/>
    <w:rsid w:val="00BE6976"/>
    <w:rsid w:val="00BE6A8D"/>
    <w:rsid w:val="00BF435C"/>
    <w:rsid w:val="00C0045D"/>
    <w:rsid w:val="00C00CF0"/>
    <w:rsid w:val="00C032ED"/>
    <w:rsid w:val="00C04CE8"/>
    <w:rsid w:val="00C060BA"/>
    <w:rsid w:val="00C11B41"/>
    <w:rsid w:val="00C120C7"/>
    <w:rsid w:val="00C122D2"/>
    <w:rsid w:val="00C12DF5"/>
    <w:rsid w:val="00C139D2"/>
    <w:rsid w:val="00C1458E"/>
    <w:rsid w:val="00C175F0"/>
    <w:rsid w:val="00C20C5C"/>
    <w:rsid w:val="00C230D8"/>
    <w:rsid w:val="00C23795"/>
    <w:rsid w:val="00C24D95"/>
    <w:rsid w:val="00C27DA6"/>
    <w:rsid w:val="00C31385"/>
    <w:rsid w:val="00C3183D"/>
    <w:rsid w:val="00C3421E"/>
    <w:rsid w:val="00C35805"/>
    <w:rsid w:val="00C35F3A"/>
    <w:rsid w:val="00C36132"/>
    <w:rsid w:val="00C37773"/>
    <w:rsid w:val="00C40980"/>
    <w:rsid w:val="00C42B0D"/>
    <w:rsid w:val="00C44D3E"/>
    <w:rsid w:val="00C46C80"/>
    <w:rsid w:val="00C46D4E"/>
    <w:rsid w:val="00C46DC4"/>
    <w:rsid w:val="00C502B6"/>
    <w:rsid w:val="00C50A3E"/>
    <w:rsid w:val="00C51FB6"/>
    <w:rsid w:val="00C528BB"/>
    <w:rsid w:val="00C52FA6"/>
    <w:rsid w:val="00C5356A"/>
    <w:rsid w:val="00C60AF3"/>
    <w:rsid w:val="00C62A63"/>
    <w:rsid w:val="00C63A4C"/>
    <w:rsid w:val="00C6449C"/>
    <w:rsid w:val="00C66CDA"/>
    <w:rsid w:val="00C66F96"/>
    <w:rsid w:val="00C70D27"/>
    <w:rsid w:val="00C70F95"/>
    <w:rsid w:val="00C70FC2"/>
    <w:rsid w:val="00C72FD3"/>
    <w:rsid w:val="00C730DA"/>
    <w:rsid w:val="00C73433"/>
    <w:rsid w:val="00C77AAB"/>
    <w:rsid w:val="00C80673"/>
    <w:rsid w:val="00C83392"/>
    <w:rsid w:val="00C8355D"/>
    <w:rsid w:val="00C84283"/>
    <w:rsid w:val="00C85E44"/>
    <w:rsid w:val="00C875EF"/>
    <w:rsid w:val="00C95D15"/>
    <w:rsid w:val="00C95E75"/>
    <w:rsid w:val="00C9724F"/>
    <w:rsid w:val="00C97DF4"/>
    <w:rsid w:val="00CA0734"/>
    <w:rsid w:val="00CA09B2"/>
    <w:rsid w:val="00CA29F4"/>
    <w:rsid w:val="00CA2F80"/>
    <w:rsid w:val="00CA373B"/>
    <w:rsid w:val="00CA3B3C"/>
    <w:rsid w:val="00CA6086"/>
    <w:rsid w:val="00CB0DC8"/>
    <w:rsid w:val="00CB1F9C"/>
    <w:rsid w:val="00CB3FE9"/>
    <w:rsid w:val="00CB459C"/>
    <w:rsid w:val="00CB5307"/>
    <w:rsid w:val="00CB65C5"/>
    <w:rsid w:val="00CB6B01"/>
    <w:rsid w:val="00CB713B"/>
    <w:rsid w:val="00CB7D46"/>
    <w:rsid w:val="00CC044D"/>
    <w:rsid w:val="00CC78C6"/>
    <w:rsid w:val="00CD2080"/>
    <w:rsid w:val="00CD3C2E"/>
    <w:rsid w:val="00CD5C7D"/>
    <w:rsid w:val="00CD7251"/>
    <w:rsid w:val="00CD7904"/>
    <w:rsid w:val="00CD792C"/>
    <w:rsid w:val="00CE0427"/>
    <w:rsid w:val="00CE098F"/>
    <w:rsid w:val="00CE1BE9"/>
    <w:rsid w:val="00CE3706"/>
    <w:rsid w:val="00CE3729"/>
    <w:rsid w:val="00CE7D0D"/>
    <w:rsid w:val="00CF10F4"/>
    <w:rsid w:val="00CF2F18"/>
    <w:rsid w:val="00CF39EC"/>
    <w:rsid w:val="00CF44F5"/>
    <w:rsid w:val="00CF46F2"/>
    <w:rsid w:val="00CF62F5"/>
    <w:rsid w:val="00D009CA"/>
    <w:rsid w:val="00D03C67"/>
    <w:rsid w:val="00D04564"/>
    <w:rsid w:val="00D04E2D"/>
    <w:rsid w:val="00D06038"/>
    <w:rsid w:val="00D122F5"/>
    <w:rsid w:val="00D125EE"/>
    <w:rsid w:val="00D12956"/>
    <w:rsid w:val="00D12B42"/>
    <w:rsid w:val="00D148B7"/>
    <w:rsid w:val="00D14A8D"/>
    <w:rsid w:val="00D17801"/>
    <w:rsid w:val="00D17AAB"/>
    <w:rsid w:val="00D17ED0"/>
    <w:rsid w:val="00D21EF9"/>
    <w:rsid w:val="00D23A87"/>
    <w:rsid w:val="00D27AC0"/>
    <w:rsid w:val="00D303F6"/>
    <w:rsid w:val="00D318D9"/>
    <w:rsid w:val="00D31EC0"/>
    <w:rsid w:val="00D321F1"/>
    <w:rsid w:val="00D325FA"/>
    <w:rsid w:val="00D413D3"/>
    <w:rsid w:val="00D41442"/>
    <w:rsid w:val="00D415D4"/>
    <w:rsid w:val="00D418B2"/>
    <w:rsid w:val="00D436AC"/>
    <w:rsid w:val="00D44F30"/>
    <w:rsid w:val="00D45946"/>
    <w:rsid w:val="00D47DA9"/>
    <w:rsid w:val="00D510AA"/>
    <w:rsid w:val="00D531E1"/>
    <w:rsid w:val="00D54DC8"/>
    <w:rsid w:val="00D55BBA"/>
    <w:rsid w:val="00D56C6D"/>
    <w:rsid w:val="00D5753A"/>
    <w:rsid w:val="00D60165"/>
    <w:rsid w:val="00D612B6"/>
    <w:rsid w:val="00D61894"/>
    <w:rsid w:val="00D62F0F"/>
    <w:rsid w:val="00D648D3"/>
    <w:rsid w:val="00D64E6E"/>
    <w:rsid w:val="00D7185F"/>
    <w:rsid w:val="00D71F86"/>
    <w:rsid w:val="00D733D8"/>
    <w:rsid w:val="00D73C45"/>
    <w:rsid w:val="00D74638"/>
    <w:rsid w:val="00D74DE7"/>
    <w:rsid w:val="00D75B23"/>
    <w:rsid w:val="00D75FB9"/>
    <w:rsid w:val="00D7604E"/>
    <w:rsid w:val="00D80394"/>
    <w:rsid w:val="00D8096D"/>
    <w:rsid w:val="00D8374A"/>
    <w:rsid w:val="00D83AA2"/>
    <w:rsid w:val="00D86652"/>
    <w:rsid w:val="00D86B4C"/>
    <w:rsid w:val="00D87E81"/>
    <w:rsid w:val="00D91441"/>
    <w:rsid w:val="00D92618"/>
    <w:rsid w:val="00D94E5E"/>
    <w:rsid w:val="00D95791"/>
    <w:rsid w:val="00D96207"/>
    <w:rsid w:val="00D96F9F"/>
    <w:rsid w:val="00DA0EEC"/>
    <w:rsid w:val="00DA4129"/>
    <w:rsid w:val="00DA4739"/>
    <w:rsid w:val="00DA4E73"/>
    <w:rsid w:val="00DB01AB"/>
    <w:rsid w:val="00DB203D"/>
    <w:rsid w:val="00DB3C29"/>
    <w:rsid w:val="00DB40AD"/>
    <w:rsid w:val="00DB7797"/>
    <w:rsid w:val="00DC15F1"/>
    <w:rsid w:val="00DC2326"/>
    <w:rsid w:val="00DC27D2"/>
    <w:rsid w:val="00DC2B66"/>
    <w:rsid w:val="00DC3862"/>
    <w:rsid w:val="00DC39A9"/>
    <w:rsid w:val="00DC3B85"/>
    <w:rsid w:val="00DC505E"/>
    <w:rsid w:val="00DC5A7B"/>
    <w:rsid w:val="00DC6DEB"/>
    <w:rsid w:val="00DD5436"/>
    <w:rsid w:val="00DD7696"/>
    <w:rsid w:val="00DE19EE"/>
    <w:rsid w:val="00DE3242"/>
    <w:rsid w:val="00DE32AD"/>
    <w:rsid w:val="00DE4062"/>
    <w:rsid w:val="00DE4745"/>
    <w:rsid w:val="00DE7D76"/>
    <w:rsid w:val="00DF095C"/>
    <w:rsid w:val="00DF1199"/>
    <w:rsid w:val="00DF1AB6"/>
    <w:rsid w:val="00DF2352"/>
    <w:rsid w:val="00DF2CDA"/>
    <w:rsid w:val="00DF4B1E"/>
    <w:rsid w:val="00DF4C37"/>
    <w:rsid w:val="00E01554"/>
    <w:rsid w:val="00E0193E"/>
    <w:rsid w:val="00E02960"/>
    <w:rsid w:val="00E03FFD"/>
    <w:rsid w:val="00E052EF"/>
    <w:rsid w:val="00E1022F"/>
    <w:rsid w:val="00E142E9"/>
    <w:rsid w:val="00E143CA"/>
    <w:rsid w:val="00E1501F"/>
    <w:rsid w:val="00E1664D"/>
    <w:rsid w:val="00E20B25"/>
    <w:rsid w:val="00E22B19"/>
    <w:rsid w:val="00E23B98"/>
    <w:rsid w:val="00E24185"/>
    <w:rsid w:val="00E25685"/>
    <w:rsid w:val="00E26145"/>
    <w:rsid w:val="00E26AE0"/>
    <w:rsid w:val="00E27FBB"/>
    <w:rsid w:val="00E302B9"/>
    <w:rsid w:val="00E32B91"/>
    <w:rsid w:val="00E332B0"/>
    <w:rsid w:val="00E3344A"/>
    <w:rsid w:val="00E34E92"/>
    <w:rsid w:val="00E352F1"/>
    <w:rsid w:val="00E3619F"/>
    <w:rsid w:val="00E36C5B"/>
    <w:rsid w:val="00E4079D"/>
    <w:rsid w:val="00E4306C"/>
    <w:rsid w:val="00E45D3F"/>
    <w:rsid w:val="00E46333"/>
    <w:rsid w:val="00E5047A"/>
    <w:rsid w:val="00E50C42"/>
    <w:rsid w:val="00E515BB"/>
    <w:rsid w:val="00E5198F"/>
    <w:rsid w:val="00E55071"/>
    <w:rsid w:val="00E56A74"/>
    <w:rsid w:val="00E57962"/>
    <w:rsid w:val="00E60185"/>
    <w:rsid w:val="00E607B8"/>
    <w:rsid w:val="00E6258B"/>
    <w:rsid w:val="00E62654"/>
    <w:rsid w:val="00E64930"/>
    <w:rsid w:val="00E65EA5"/>
    <w:rsid w:val="00E662F8"/>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72C"/>
    <w:rsid w:val="00E917DE"/>
    <w:rsid w:val="00E9546F"/>
    <w:rsid w:val="00E976C1"/>
    <w:rsid w:val="00E97E6C"/>
    <w:rsid w:val="00EA0503"/>
    <w:rsid w:val="00EA263E"/>
    <w:rsid w:val="00EA543A"/>
    <w:rsid w:val="00EB0A4A"/>
    <w:rsid w:val="00EB0CF3"/>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75BB"/>
    <w:rsid w:val="00EE065C"/>
    <w:rsid w:val="00EE284D"/>
    <w:rsid w:val="00EF16E7"/>
    <w:rsid w:val="00EF1D57"/>
    <w:rsid w:val="00EF2B52"/>
    <w:rsid w:val="00EF49DF"/>
    <w:rsid w:val="00EF5760"/>
    <w:rsid w:val="00EF77A2"/>
    <w:rsid w:val="00F02238"/>
    <w:rsid w:val="00F029F9"/>
    <w:rsid w:val="00F042B4"/>
    <w:rsid w:val="00F07C06"/>
    <w:rsid w:val="00F158D4"/>
    <w:rsid w:val="00F20A3C"/>
    <w:rsid w:val="00F219D4"/>
    <w:rsid w:val="00F21A0A"/>
    <w:rsid w:val="00F22ECA"/>
    <w:rsid w:val="00F2402C"/>
    <w:rsid w:val="00F2472C"/>
    <w:rsid w:val="00F256D2"/>
    <w:rsid w:val="00F26194"/>
    <w:rsid w:val="00F304A2"/>
    <w:rsid w:val="00F32704"/>
    <w:rsid w:val="00F343F3"/>
    <w:rsid w:val="00F43467"/>
    <w:rsid w:val="00F4553F"/>
    <w:rsid w:val="00F45555"/>
    <w:rsid w:val="00F47789"/>
    <w:rsid w:val="00F47AD9"/>
    <w:rsid w:val="00F47E06"/>
    <w:rsid w:val="00F51880"/>
    <w:rsid w:val="00F5249D"/>
    <w:rsid w:val="00F524D0"/>
    <w:rsid w:val="00F52595"/>
    <w:rsid w:val="00F570F0"/>
    <w:rsid w:val="00F573DA"/>
    <w:rsid w:val="00F57D47"/>
    <w:rsid w:val="00F57D8E"/>
    <w:rsid w:val="00F6069F"/>
    <w:rsid w:val="00F62EC6"/>
    <w:rsid w:val="00F6490D"/>
    <w:rsid w:val="00F6578F"/>
    <w:rsid w:val="00F657A8"/>
    <w:rsid w:val="00F67DFB"/>
    <w:rsid w:val="00F7074B"/>
    <w:rsid w:val="00F71076"/>
    <w:rsid w:val="00F71B39"/>
    <w:rsid w:val="00F75879"/>
    <w:rsid w:val="00F77FD0"/>
    <w:rsid w:val="00F83458"/>
    <w:rsid w:val="00F84BF6"/>
    <w:rsid w:val="00F868F3"/>
    <w:rsid w:val="00F952CA"/>
    <w:rsid w:val="00F96B0B"/>
    <w:rsid w:val="00FA048F"/>
    <w:rsid w:val="00FA257B"/>
    <w:rsid w:val="00FA2D37"/>
    <w:rsid w:val="00FA3C3B"/>
    <w:rsid w:val="00FA49FB"/>
    <w:rsid w:val="00FA69EC"/>
    <w:rsid w:val="00FA6AE4"/>
    <w:rsid w:val="00FA773C"/>
    <w:rsid w:val="00FA7F33"/>
    <w:rsid w:val="00FB1CD6"/>
    <w:rsid w:val="00FB256A"/>
    <w:rsid w:val="00FB2786"/>
    <w:rsid w:val="00FB3B75"/>
    <w:rsid w:val="00FB3B9E"/>
    <w:rsid w:val="00FB4D3B"/>
    <w:rsid w:val="00FB4ECA"/>
    <w:rsid w:val="00FB56B2"/>
    <w:rsid w:val="00FB5BAD"/>
    <w:rsid w:val="00FB5E46"/>
    <w:rsid w:val="00FB63FF"/>
    <w:rsid w:val="00FB67AC"/>
    <w:rsid w:val="00FB6EB9"/>
    <w:rsid w:val="00FB7991"/>
    <w:rsid w:val="00FC05FB"/>
    <w:rsid w:val="00FC1D88"/>
    <w:rsid w:val="00FC7306"/>
    <w:rsid w:val="00FC7A0C"/>
    <w:rsid w:val="00FC7F56"/>
    <w:rsid w:val="00FD1777"/>
    <w:rsid w:val="00FE08F4"/>
    <w:rsid w:val="00FE1265"/>
    <w:rsid w:val="00FE2E8C"/>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E08EB37-155C-4934-8B81-D98DC51F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831"/>
    <w:rPr>
      <w:sz w:val="24"/>
      <w:szCs w:val="24"/>
      <w:lang w:eastAsia="zh-CN"/>
    </w:rPr>
  </w:style>
  <w:style w:type="paragraph" w:styleId="Heading1">
    <w:name w:val="heading 1"/>
    <w:basedOn w:val="Normal"/>
    <w:next w:val="Normal"/>
    <w:qFormat/>
    <w:rsid w:val="00E727C3"/>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rsid w:val="00E727C3"/>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Cs w:val="20"/>
      <w:lang w:val="en-GB" w:eastAsia="en-US"/>
    </w:rPr>
  </w:style>
  <w:style w:type="paragraph" w:styleId="Header">
    <w:name w:val="header"/>
    <w:basedOn w:val="Normal"/>
    <w:rsid w:val="00E727C3"/>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rsid w:val="00E727C3"/>
    <w:pPr>
      <w:jc w:val="center"/>
    </w:pPr>
    <w:rPr>
      <w:b/>
      <w:sz w:val="28"/>
      <w:szCs w:val="20"/>
      <w:lang w:val="en-GB" w:eastAsia="en-US"/>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rPr>
      <w:sz w:val="22"/>
      <w:szCs w:val="20"/>
      <w:lang w:val="en-GB" w:eastAsia="en-US"/>
    </w:r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szCs w:val="20"/>
      <w:lang w:val="en-GB" w:eastAsia="en-US"/>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lang w:eastAsia="en-US"/>
    </w:rPr>
  </w:style>
  <w:style w:type="paragraph" w:styleId="ListParagraph">
    <w:name w:val="List Paragraph"/>
    <w:basedOn w:val="Normal"/>
    <w:uiPriority w:val="34"/>
    <w:qFormat/>
    <w:rsid w:val="009635A1"/>
    <w:pPr>
      <w:ind w:left="720"/>
      <w:contextualSpacing/>
    </w:pPr>
    <w:rPr>
      <w:lang w:eastAsia="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sz w:val="22"/>
      <w:szCs w:val="20"/>
      <w:lang w:eastAsia="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szCs w:val="20"/>
      <w:lang w:val="en-GB" w:eastAsia="en-US"/>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47006087">
      <w:bodyDiv w:val="1"/>
      <w:marLeft w:val="0"/>
      <w:marRight w:val="0"/>
      <w:marTop w:val="0"/>
      <w:marBottom w:val="0"/>
      <w:divBdr>
        <w:top w:val="none" w:sz="0" w:space="0" w:color="auto"/>
        <w:left w:val="none" w:sz="0" w:space="0" w:color="auto"/>
        <w:bottom w:val="none" w:sz="0" w:space="0" w:color="auto"/>
        <w:right w:val="none" w:sz="0" w:space="0" w:color="auto"/>
      </w:divBdr>
      <w:divsChild>
        <w:div w:id="1488984119">
          <w:marLeft w:val="0"/>
          <w:marRight w:val="0"/>
          <w:marTop w:val="0"/>
          <w:marBottom w:val="0"/>
          <w:divBdr>
            <w:top w:val="none" w:sz="0" w:space="0" w:color="auto"/>
            <w:left w:val="none" w:sz="0" w:space="0" w:color="auto"/>
            <w:bottom w:val="none" w:sz="0" w:space="0" w:color="auto"/>
            <w:right w:val="none" w:sz="0" w:space="0" w:color="auto"/>
          </w:divBdr>
          <w:divsChild>
            <w:div w:id="1155340339">
              <w:marLeft w:val="0"/>
              <w:marRight w:val="0"/>
              <w:marTop w:val="0"/>
              <w:marBottom w:val="0"/>
              <w:divBdr>
                <w:top w:val="none" w:sz="0" w:space="0" w:color="auto"/>
                <w:left w:val="none" w:sz="0" w:space="0" w:color="auto"/>
                <w:bottom w:val="none" w:sz="0" w:space="0" w:color="auto"/>
                <w:right w:val="none" w:sz="0" w:space="0" w:color="auto"/>
              </w:divBdr>
              <w:divsChild>
                <w:div w:id="1927306178">
                  <w:marLeft w:val="0"/>
                  <w:marRight w:val="0"/>
                  <w:marTop w:val="0"/>
                  <w:marBottom w:val="0"/>
                  <w:divBdr>
                    <w:top w:val="none" w:sz="0" w:space="0" w:color="auto"/>
                    <w:left w:val="none" w:sz="0" w:space="0" w:color="auto"/>
                    <w:bottom w:val="none" w:sz="0" w:space="0" w:color="auto"/>
                    <w:right w:val="none" w:sz="0" w:space="0" w:color="auto"/>
                  </w:divBdr>
                  <w:divsChild>
                    <w:div w:id="1733894359">
                      <w:marLeft w:val="0"/>
                      <w:marRight w:val="0"/>
                      <w:marTop w:val="0"/>
                      <w:marBottom w:val="0"/>
                      <w:divBdr>
                        <w:top w:val="none" w:sz="0" w:space="0" w:color="auto"/>
                        <w:left w:val="none" w:sz="0" w:space="0" w:color="auto"/>
                        <w:bottom w:val="none" w:sz="0" w:space="0" w:color="auto"/>
                        <w:right w:val="none" w:sz="0" w:space="0" w:color="auto"/>
                      </w:divBdr>
                      <w:divsChild>
                        <w:div w:id="221018633">
                          <w:marLeft w:val="0"/>
                          <w:marRight w:val="0"/>
                          <w:marTop w:val="0"/>
                          <w:marBottom w:val="0"/>
                          <w:divBdr>
                            <w:top w:val="none" w:sz="0" w:space="0" w:color="auto"/>
                            <w:left w:val="none" w:sz="0" w:space="0" w:color="auto"/>
                            <w:bottom w:val="none" w:sz="0" w:space="0" w:color="auto"/>
                            <w:right w:val="none" w:sz="0" w:space="0" w:color="auto"/>
                          </w:divBdr>
                          <w:divsChild>
                            <w:div w:id="1854614014">
                              <w:marLeft w:val="0"/>
                              <w:marRight w:val="0"/>
                              <w:marTop w:val="0"/>
                              <w:marBottom w:val="0"/>
                              <w:divBdr>
                                <w:top w:val="none" w:sz="0" w:space="0" w:color="auto"/>
                                <w:left w:val="none" w:sz="0" w:space="0" w:color="auto"/>
                                <w:bottom w:val="none" w:sz="0" w:space="0" w:color="auto"/>
                                <w:right w:val="none" w:sz="0" w:space="0" w:color="auto"/>
                              </w:divBdr>
                              <w:divsChild>
                                <w:div w:id="10510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40649538">
      <w:bodyDiv w:val="1"/>
      <w:marLeft w:val="0"/>
      <w:marRight w:val="0"/>
      <w:marTop w:val="0"/>
      <w:marBottom w:val="0"/>
      <w:divBdr>
        <w:top w:val="none" w:sz="0" w:space="0" w:color="auto"/>
        <w:left w:val="none" w:sz="0" w:space="0" w:color="auto"/>
        <w:bottom w:val="none" w:sz="0" w:space="0" w:color="auto"/>
        <w:right w:val="none" w:sz="0" w:space="0" w:color="auto"/>
      </w:divBdr>
      <w:divsChild>
        <w:div w:id="1534735145">
          <w:marLeft w:val="0"/>
          <w:marRight w:val="0"/>
          <w:marTop w:val="0"/>
          <w:marBottom w:val="0"/>
          <w:divBdr>
            <w:top w:val="none" w:sz="0" w:space="0" w:color="auto"/>
            <w:left w:val="none" w:sz="0" w:space="0" w:color="auto"/>
            <w:bottom w:val="none" w:sz="0" w:space="0" w:color="auto"/>
            <w:right w:val="none" w:sz="0" w:space="0" w:color="auto"/>
          </w:divBdr>
          <w:divsChild>
            <w:div w:id="338432771">
              <w:marLeft w:val="0"/>
              <w:marRight w:val="0"/>
              <w:marTop w:val="0"/>
              <w:marBottom w:val="0"/>
              <w:divBdr>
                <w:top w:val="none" w:sz="0" w:space="0" w:color="auto"/>
                <w:left w:val="none" w:sz="0" w:space="0" w:color="auto"/>
                <w:bottom w:val="none" w:sz="0" w:space="0" w:color="auto"/>
                <w:right w:val="none" w:sz="0" w:space="0" w:color="auto"/>
              </w:divBdr>
              <w:divsChild>
                <w:div w:id="1864317312">
                  <w:marLeft w:val="0"/>
                  <w:marRight w:val="0"/>
                  <w:marTop w:val="0"/>
                  <w:marBottom w:val="0"/>
                  <w:divBdr>
                    <w:top w:val="none" w:sz="0" w:space="0" w:color="auto"/>
                    <w:left w:val="none" w:sz="0" w:space="0" w:color="auto"/>
                    <w:bottom w:val="none" w:sz="0" w:space="0" w:color="auto"/>
                    <w:right w:val="none" w:sz="0" w:space="0" w:color="auto"/>
                  </w:divBdr>
                  <w:divsChild>
                    <w:div w:id="1998069972">
                      <w:marLeft w:val="0"/>
                      <w:marRight w:val="0"/>
                      <w:marTop w:val="0"/>
                      <w:marBottom w:val="0"/>
                      <w:divBdr>
                        <w:top w:val="none" w:sz="0" w:space="0" w:color="auto"/>
                        <w:left w:val="none" w:sz="0" w:space="0" w:color="auto"/>
                        <w:bottom w:val="none" w:sz="0" w:space="0" w:color="auto"/>
                        <w:right w:val="none" w:sz="0" w:space="0" w:color="auto"/>
                      </w:divBdr>
                      <w:divsChild>
                        <w:div w:id="1263951311">
                          <w:marLeft w:val="0"/>
                          <w:marRight w:val="0"/>
                          <w:marTop w:val="0"/>
                          <w:marBottom w:val="0"/>
                          <w:divBdr>
                            <w:top w:val="none" w:sz="0" w:space="0" w:color="auto"/>
                            <w:left w:val="none" w:sz="0" w:space="0" w:color="auto"/>
                            <w:bottom w:val="none" w:sz="0" w:space="0" w:color="auto"/>
                            <w:right w:val="none" w:sz="0" w:space="0" w:color="auto"/>
                          </w:divBdr>
                          <w:divsChild>
                            <w:div w:id="1015350981">
                              <w:marLeft w:val="0"/>
                              <w:marRight w:val="0"/>
                              <w:marTop w:val="0"/>
                              <w:marBottom w:val="0"/>
                              <w:divBdr>
                                <w:top w:val="none" w:sz="0" w:space="0" w:color="auto"/>
                                <w:left w:val="none" w:sz="0" w:space="0" w:color="auto"/>
                                <w:bottom w:val="none" w:sz="0" w:space="0" w:color="auto"/>
                                <w:right w:val="none" w:sz="0" w:space="0" w:color="auto"/>
                              </w:divBdr>
                              <w:divsChild>
                                <w:div w:id="6347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huawei.com"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AA8B6-A8DB-493A-9845-535190EE5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IEEE 802.11-16/0501r2</vt:lpstr>
    </vt:vector>
  </TitlesOfParts>
  <Company>Huawei Technologies</Company>
  <LinksUpToDate>false</LinksUpToDate>
  <CharactersWithSpaces>3734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802.11-16/0555r0</dc:title>
  <dc:subject>Comment Resolution for CID1014</dc:subject>
  <dc:creator>Edward Au</dc:creator>
  <cp:lastModifiedBy>Edward Au</cp:lastModifiedBy>
  <cp:revision>60</cp:revision>
  <cp:lastPrinted>2011-03-31T18:31:00Z</cp:lastPrinted>
  <dcterms:created xsi:type="dcterms:W3CDTF">2016-04-01T14:38:00Z</dcterms:created>
  <dcterms:modified xsi:type="dcterms:W3CDTF">2016-04-26T13:44:00Z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1459519533</vt:lpwstr>
  </property>
</Properties>
</file>