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 xml:space="preserve">IEEE </w:t>
      </w:r>
      <w:proofErr w:type="spellStart"/>
      <w:r w:rsidRPr="00B14C6C">
        <w:rPr>
          <w:lang w:val="en-US"/>
        </w:rPr>
        <w:t>P802.11</w:t>
      </w:r>
      <w:proofErr w:type="spellEnd"/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689"/>
        <w:gridCol w:w="1305"/>
        <w:gridCol w:w="1145"/>
        <w:gridCol w:w="2508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CB10A6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CIDs </w:t>
            </w:r>
            <w:r w:rsidR="0072636B">
              <w:rPr>
                <w:lang w:val="en-US"/>
              </w:rPr>
              <w:t>7106</w:t>
            </w:r>
            <w:r>
              <w:rPr>
                <w:lang w:val="en-US"/>
              </w:rPr>
              <w:t xml:space="preserve"> and 7412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CB10A6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CB10A6">
              <w:rPr>
                <w:b w:val="0"/>
                <w:sz w:val="20"/>
                <w:lang w:val="en-US"/>
              </w:rPr>
              <w:t>4/20/2016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64BF0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823F91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</w:t>
            </w:r>
            <w:r w:rsidR="009D4F2E" w:rsidRPr="00B14C6C">
              <w:rPr>
                <w:sz w:val="20"/>
                <w:lang w:val="en-US"/>
              </w:rPr>
              <w:t>mail</w:t>
            </w:r>
          </w:p>
        </w:tc>
      </w:tr>
      <w:tr w:rsidR="009D4F2E" w:rsidRPr="006B52A0" w:rsidTr="00D64BF0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D64BF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D64BF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Quantenna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6140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450CF" w:rsidRDefault="00272248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hyperlink r:id="rId8" w:history="1">
              <w:r w:rsidR="00823F91" w:rsidRPr="00863250">
                <w:rPr>
                  <w:rStyle w:val="Hyperlink"/>
                  <w:b w:val="0"/>
                  <w:sz w:val="20"/>
                  <w:lang w:val="en-US"/>
                </w:rPr>
                <w:t>sigurd@quantenna.com</w:t>
              </w:r>
            </w:hyperlink>
          </w:p>
        </w:tc>
      </w:tr>
      <w:tr w:rsidR="00D155AC" w:rsidRPr="00D155AC" w:rsidTr="00D64BF0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0477D" w:rsidRDefault="00CB10A6" w:rsidP="0000477D">
                            <w:r>
                              <w:t>This submission proposes a resolution for CIDs 7106 and 7412</w:t>
                            </w:r>
                            <w:r w:rsidR="002C68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55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0477D" w:rsidRDefault="00CB10A6" w:rsidP="0000477D">
                      <w:r>
                        <w:t>This submission proposes a resolution for CIDs 7106 and 7412</w:t>
                      </w:r>
                      <w:r w:rsidR="002C68E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2636B" w:rsidRDefault="009645E9" w:rsidP="00E42D09">
      <w:pPr>
        <w:spacing w:after="0"/>
      </w:pPr>
      <w:r>
        <w:t>CID 166</w:t>
      </w:r>
    </w:p>
    <w:p w:rsidR="0072636B" w:rsidRDefault="0072636B">
      <w:pPr>
        <w:spacing w:before="0" w:after="0" w:line="240" w:lineRule="auto"/>
      </w:pPr>
      <w:r>
        <w:br w:type="page"/>
      </w:r>
    </w:p>
    <w:p w:rsidR="0072636B" w:rsidRDefault="0072636B" w:rsidP="00484F0A">
      <w:pPr>
        <w:pStyle w:val="Heading1"/>
      </w:pPr>
      <w:r>
        <w:lastRenderedPageBreak/>
        <w:t>CID 7106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1331"/>
        <w:gridCol w:w="799"/>
        <w:gridCol w:w="640"/>
        <w:gridCol w:w="851"/>
        <w:gridCol w:w="2286"/>
        <w:gridCol w:w="2060"/>
      </w:tblGrid>
      <w:tr w:rsidR="0072636B" w:rsidRPr="0072636B" w:rsidTr="0072636B">
        <w:trPr>
          <w:trHeight w:val="1785"/>
        </w:trPr>
        <w:tc>
          <w:tcPr>
            <w:tcW w:w="600" w:type="dxa"/>
            <w:hideMark/>
          </w:tcPr>
          <w:p w:rsidR="0072636B" w:rsidRPr="0072636B" w:rsidRDefault="0072636B" w:rsidP="0072636B">
            <w:pPr>
              <w:spacing w:after="0"/>
            </w:pPr>
            <w:r w:rsidRPr="0072636B">
              <w:t>7106</w:t>
            </w:r>
          </w:p>
        </w:tc>
        <w:tc>
          <w:tcPr>
            <w:tcW w:w="1540" w:type="dxa"/>
            <w:hideMark/>
          </w:tcPr>
          <w:p w:rsidR="0072636B" w:rsidRPr="0072636B" w:rsidRDefault="0072636B" w:rsidP="0072636B">
            <w:pPr>
              <w:spacing w:after="0"/>
            </w:pPr>
            <w:r w:rsidRPr="0072636B">
              <w:t>Stephens, Adrian</w:t>
            </w:r>
          </w:p>
        </w:tc>
        <w:tc>
          <w:tcPr>
            <w:tcW w:w="920" w:type="dxa"/>
            <w:hideMark/>
          </w:tcPr>
          <w:p w:rsidR="0072636B" w:rsidRPr="0072636B" w:rsidRDefault="0072636B" w:rsidP="0072636B">
            <w:pPr>
              <w:spacing w:after="0"/>
            </w:pPr>
            <w:r w:rsidRPr="0072636B">
              <w:t>2330</w:t>
            </w:r>
          </w:p>
        </w:tc>
        <w:tc>
          <w:tcPr>
            <w:tcW w:w="820" w:type="dxa"/>
            <w:hideMark/>
          </w:tcPr>
          <w:p w:rsidR="0072636B" w:rsidRPr="0072636B" w:rsidRDefault="0072636B" w:rsidP="0072636B">
            <w:pPr>
              <w:spacing w:after="0"/>
            </w:pPr>
            <w:r w:rsidRPr="0072636B">
              <w:t>39</w:t>
            </w:r>
          </w:p>
        </w:tc>
        <w:tc>
          <w:tcPr>
            <w:tcW w:w="920" w:type="dxa"/>
            <w:hideMark/>
          </w:tcPr>
          <w:p w:rsidR="0072636B" w:rsidRPr="0072636B" w:rsidRDefault="0072636B" w:rsidP="0072636B">
            <w:pPr>
              <w:spacing w:after="0"/>
            </w:pPr>
            <w:r w:rsidRPr="0072636B">
              <w:t>19.2.5</w:t>
            </w:r>
          </w:p>
        </w:tc>
        <w:tc>
          <w:tcPr>
            <w:tcW w:w="2700" w:type="dxa"/>
            <w:hideMark/>
          </w:tcPr>
          <w:p w:rsidR="0072636B" w:rsidRPr="0072636B" w:rsidRDefault="0072636B" w:rsidP="0072636B">
            <w:pPr>
              <w:spacing w:after="0"/>
            </w:pPr>
            <w:r w:rsidRPr="0072636B">
              <w:t>"</w:t>
            </w:r>
            <w:proofErr w:type="gramStart"/>
            <w:r w:rsidRPr="0072636B">
              <w:t>the</w:t>
            </w:r>
            <w:proofErr w:type="gramEnd"/>
            <w:r w:rsidRPr="0072636B">
              <w:t xml:space="preserve"> MAC shall set the CH_BANDWIDTH" - this is a normative requirement on the MAC buried in the guts of a PHY </w:t>
            </w:r>
            <w:proofErr w:type="spellStart"/>
            <w:r w:rsidRPr="0072636B">
              <w:t>subclause</w:t>
            </w:r>
            <w:proofErr w:type="spellEnd"/>
            <w:r w:rsidRPr="0072636B">
              <w:t>.</w:t>
            </w:r>
            <w:r w:rsidRPr="0072636B">
              <w:br/>
            </w:r>
            <w:r w:rsidRPr="0072636B">
              <w:br/>
              <w:t>Ditto at 2504.27</w:t>
            </w:r>
          </w:p>
        </w:tc>
        <w:tc>
          <w:tcPr>
            <w:tcW w:w="2700" w:type="dxa"/>
            <w:hideMark/>
          </w:tcPr>
          <w:p w:rsidR="0072636B" w:rsidRPr="0072636B" w:rsidRDefault="0072636B" w:rsidP="0072636B">
            <w:pPr>
              <w:spacing w:after="0"/>
            </w:pPr>
            <w:r w:rsidRPr="0072636B">
              <w:t xml:space="preserve">Move this normative requirement to a MAC </w:t>
            </w:r>
            <w:proofErr w:type="spellStart"/>
            <w:r w:rsidRPr="0072636B">
              <w:t>subclause</w:t>
            </w:r>
            <w:proofErr w:type="spellEnd"/>
            <w:r w:rsidRPr="0072636B">
              <w:t>.</w:t>
            </w:r>
          </w:p>
        </w:tc>
      </w:tr>
    </w:tbl>
    <w:p w:rsidR="0072636B" w:rsidRDefault="0072636B" w:rsidP="00E42D09">
      <w:pPr>
        <w:spacing w:after="0"/>
      </w:pPr>
    </w:p>
    <w:p w:rsidR="00AE7BE4" w:rsidRDefault="00AE7BE4" w:rsidP="00E42D09">
      <w:pPr>
        <w:spacing w:after="0"/>
      </w:pPr>
      <w:r>
        <w:t>The comment is about the opening sentence of 19.2.5:</w:t>
      </w:r>
    </w:p>
    <w:p w:rsidR="0072636B" w:rsidRDefault="00AE7BE4" w:rsidP="00E42D09">
      <w:pPr>
        <w:spacing w:after="0"/>
      </w:pPr>
      <w:r w:rsidRPr="00AE7BE4">
        <w:rPr>
          <w:noProof/>
          <w:lang w:bidi="ar-SA"/>
        </w:rPr>
        <w:drawing>
          <wp:inline distT="0" distB="0" distL="0" distR="0">
            <wp:extent cx="5486400" cy="1065561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6B" w:rsidRDefault="0072636B" w:rsidP="00E42D09">
      <w:pPr>
        <w:spacing w:after="0"/>
      </w:pPr>
      <w:r>
        <w:t>And</w:t>
      </w:r>
      <w:r w:rsidR="00AE7BE4">
        <w:t xml:space="preserve"> 21.2.5.2</w:t>
      </w:r>
      <w:r>
        <w:t>:</w:t>
      </w:r>
    </w:p>
    <w:p w:rsidR="0072636B" w:rsidRDefault="00AE7BE4" w:rsidP="00E42D09">
      <w:pPr>
        <w:spacing w:after="0"/>
      </w:pPr>
      <w:r w:rsidRPr="00AE7BE4">
        <w:rPr>
          <w:noProof/>
          <w:lang w:bidi="ar-SA"/>
        </w:rPr>
        <w:drawing>
          <wp:inline distT="0" distB="0" distL="0" distR="0">
            <wp:extent cx="5486400" cy="11282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6B" w:rsidRDefault="0072636B" w:rsidP="00E42D09">
      <w:pPr>
        <w:spacing w:after="0"/>
      </w:pPr>
    </w:p>
    <w:p w:rsidR="00235BE0" w:rsidRDefault="004344E8" w:rsidP="00E42D09">
      <w:pPr>
        <w:spacing w:after="0"/>
      </w:pPr>
      <w:r>
        <w:t>Both section</w:t>
      </w:r>
      <w:r w:rsidR="00BA34E0">
        <w:t>s</w:t>
      </w:r>
      <w:r>
        <w:t xml:space="preserve"> describe a way to generate a non-HT PPDU using the TXVECTOR defined for HT and VHT respectively. </w:t>
      </w:r>
      <w:r w:rsidR="00711027">
        <w:t>This</w:t>
      </w:r>
      <w:r>
        <w:t xml:space="preserve"> comes down to specifying the values of specific fields of these TXVECTORs to correspond to the configuration of the non-HT format. </w:t>
      </w:r>
    </w:p>
    <w:p w:rsidR="009B1195" w:rsidRDefault="005F4AEA" w:rsidP="00E42D09">
      <w:pPr>
        <w:spacing w:after="0"/>
      </w:pPr>
      <w:r>
        <w:t>PHY and MAC interface with each other through TXVECTOR, but t</w:t>
      </w:r>
      <w:r w:rsidR="009B1195">
        <w:t xml:space="preserve">he statement that it is the MAC that should configure these values is probably out of scope since this may be implementation specific. To keep changes minimal, </w:t>
      </w:r>
      <w:r w:rsidR="00711027">
        <w:t>it is proposed</w:t>
      </w:r>
      <w:r w:rsidR="009B1195">
        <w:t xml:space="preserve"> to modify the wording in a way that avoids explicit reference to the MAC. In that case, this becomes a statement on TXVECTOR alone, which is appropriate for the PHY section.</w:t>
      </w:r>
    </w:p>
    <w:p w:rsidR="009D6E58" w:rsidRDefault="009D6E58" w:rsidP="00E42D09">
      <w:pPr>
        <w:spacing w:after="0"/>
      </w:pPr>
    </w:p>
    <w:p w:rsidR="00711027" w:rsidRPr="00711027" w:rsidRDefault="00711027" w:rsidP="00E42D09">
      <w:pPr>
        <w:spacing w:after="0"/>
        <w:rPr>
          <w:u w:val="single"/>
        </w:rPr>
      </w:pPr>
      <w:r w:rsidRPr="00711027">
        <w:rPr>
          <w:u w:val="single"/>
        </w:rPr>
        <w:t>Proposed change for 2330.39:</w:t>
      </w:r>
    </w:p>
    <w:p w:rsidR="009D6E58" w:rsidRDefault="009D6E58" w:rsidP="009D6E58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0"/>
          <w:szCs w:val="20"/>
          <w:lang w:bidi="ar-SA"/>
        </w:rPr>
      </w:pP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In order to transmit a non-HT PPDU, the </w:t>
      </w:r>
      <w:r w:rsidRPr="009D6E58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MAC shall set the CH_BANDWIDTH and CH_OFFSET in the</w:t>
      </w:r>
      <w:r w:rsidRPr="009D6E58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TXVECTOR </w:t>
      </w:r>
      <w:r w:rsidRPr="009D6E58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 xml:space="preserve">fields CH_BANDWIDTH and CH_OFFSET shall be set so </w:t>
      </w:r>
      <w:r w:rsidRPr="00711027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>as</w:t>
      </w:r>
      <w:r w:rsidR="00711027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 xml:space="preserve"> </w:t>
      </w:r>
      <w:r w:rsidRPr="00711027">
        <w:rPr>
          <w:rFonts w:ascii="TimesNewRomanPSMT" w:hAnsi="TimesNewRomanPSMT" w:cs="TimesNewRomanPSMT"/>
          <w:sz w:val="20"/>
          <w:szCs w:val="20"/>
          <w:lang w:bidi="ar-SA"/>
        </w:rPr>
        <w:t>to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 achieve the required non-HT PPDU format (see Table 19-2 (PPDU format as a function of CH_BANDWIDTH and CH_OFFSET </w:t>
      </w:r>
      <w:r>
        <w:rPr>
          <w:rFonts w:ascii="TimesNewRomanPSMT" w:hAnsi="TimesNewRomanPSMT" w:cs="TimesNewRomanPSMT"/>
          <w:sz w:val="20"/>
          <w:szCs w:val="20"/>
          <w:lang w:bidi="ar-SA"/>
        </w:rPr>
        <w:lastRenderedPageBreak/>
        <w:t>parameters)); for 20 MHz bandwidth transmissions in a 40 MHz channel, the CH_OFFSET shall be CH_OFF_20U if the SECONDARY_CHANNEL_OFFSET parameter of the PHYCONFIG_VECTOR was SECONDARY_CHANNEL_ABOVE, or CH_OFF_20L otherwise.</w:t>
      </w:r>
    </w:p>
    <w:p w:rsidR="00711027" w:rsidRDefault="00711027" w:rsidP="009D6E58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0"/>
          <w:szCs w:val="20"/>
          <w:lang w:bidi="ar-SA"/>
        </w:rPr>
      </w:pPr>
    </w:p>
    <w:p w:rsidR="00711027" w:rsidRPr="00711027" w:rsidRDefault="00711027" w:rsidP="00711027">
      <w:pPr>
        <w:spacing w:after="0"/>
        <w:rPr>
          <w:u w:val="single"/>
        </w:rPr>
      </w:pPr>
      <w:r w:rsidRPr="00711027">
        <w:rPr>
          <w:u w:val="single"/>
        </w:rPr>
        <w:t xml:space="preserve">Proposed change for </w:t>
      </w:r>
      <w:r>
        <w:rPr>
          <w:u w:val="single"/>
        </w:rPr>
        <w:t>2504</w:t>
      </w:r>
      <w:r w:rsidRPr="00711027">
        <w:rPr>
          <w:u w:val="single"/>
        </w:rPr>
        <w:t>.</w:t>
      </w:r>
      <w:r>
        <w:rPr>
          <w:u w:val="single"/>
        </w:rPr>
        <w:t>27</w:t>
      </w:r>
      <w:r w:rsidRPr="00711027">
        <w:rPr>
          <w:u w:val="single"/>
        </w:rPr>
        <w:t>:</w:t>
      </w:r>
    </w:p>
    <w:p w:rsidR="009D6E58" w:rsidRDefault="009D6E58" w:rsidP="00D900DC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0"/>
          <w:szCs w:val="20"/>
          <w:lang w:bidi="ar-SA"/>
        </w:rPr>
      </w:pP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In order to transmit a non-HT PPDU, the </w:t>
      </w:r>
      <w:r w:rsidRPr="00D900DC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MAC shall set the CH_BANDWIDTH and CH_OFFSET in the</w:t>
      </w:r>
      <w:r w:rsidR="00D900DC" w:rsidRPr="00D900DC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bidi="ar-SA"/>
        </w:rPr>
        <w:t>TXVECTOR</w:t>
      </w:r>
      <w:r w:rsidR="00D900DC" w:rsidRPr="00D900DC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 xml:space="preserve"> </w:t>
      </w:r>
      <w:r w:rsidR="00D900DC" w:rsidRPr="009D6E58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>fields CH_BANDWIDTH and CH_OFFSET shall be set so as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 to achieve the required non-HT PPDU format (see Table 19-2 (PPDU format as a function of</w:t>
      </w:r>
      <w:r w:rsidR="00D900DC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bidi="ar-SA"/>
        </w:rPr>
        <w:t>CH_BANDWIDTH and CH_OFFSET parameters)); for 20 MHz bandwidth transmissions in a 40 MHz</w:t>
      </w:r>
      <w:r w:rsidR="00D900DC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channel, the CH_OFFSET shall be CH_OFF_20U if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  <w:lang w:bidi="ar-SA"/>
        </w:rPr>
        <w:t>f</w:t>
      </w:r>
      <w:r>
        <w:rPr>
          <w:rFonts w:ascii="TimesNewRomanPSMT" w:hAnsi="TimesNewRomanPSMT" w:cs="TimesNewRomanPSMT"/>
          <w:sz w:val="14"/>
          <w:szCs w:val="14"/>
          <w:lang w:bidi="ar-SA"/>
        </w:rPr>
        <w:t>P20</w:t>
      </w:r>
      <w:proofErr w:type="gramStart"/>
      <w:r w:rsidR="00D900DC">
        <w:rPr>
          <w:rFonts w:ascii="SymbolMT" w:eastAsia="SymbolMT" w:hAnsi="TimesNewRomanPS-ItalicMT" w:cs="SymbolMT" w:hint="eastAsia"/>
          <w:sz w:val="14"/>
          <w:szCs w:val="14"/>
          <w:lang w:bidi="ar-SA"/>
        </w:rPr>
        <w:t>,</w:t>
      </w:r>
      <w:r>
        <w:rPr>
          <w:rFonts w:ascii="TimesNewRomanPSMT" w:hAnsi="TimesNewRomanPSMT" w:cs="TimesNewRomanPSMT"/>
          <w:sz w:val="14"/>
          <w:szCs w:val="14"/>
          <w:lang w:bidi="ar-SA"/>
        </w:rPr>
        <w:t>idx</w:t>
      </w:r>
      <w:proofErr w:type="spellEnd"/>
      <w:proofErr w:type="gramEnd"/>
      <w:r w:rsidR="00D900DC">
        <w:rPr>
          <w:rFonts w:ascii="TimesNewRomanPSMT" w:hAnsi="TimesNewRomanPSMT" w:cs="TimesNewRomanPSMT"/>
          <w:sz w:val="14"/>
          <w:szCs w:val="14"/>
          <w:lang w:bidi="ar-SA"/>
        </w:rPr>
        <w:t xml:space="preserve"> </w:t>
      </w:r>
      <w:r w:rsidR="00D900DC" w:rsidRPr="00D900DC">
        <w:rPr>
          <w:rFonts w:ascii="TimesNewRomanPSMT" w:hAnsi="TimesNewRomanPSMT" w:cs="TimesNewRomanPSMT"/>
          <w:sz w:val="20"/>
          <w:szCs w:val="20"/>
          <w:lang w:bidi="ar-SA"/>
        </w:rPr>
        <w:t>&lt;</w:t>
      </w:r>
      <w:r w:rsidR="00D900DC">
        <w:rPr>
          <w:rFonts w:ascii="TimesNewRomanPSMT" w:hAnsi="TimesNewRomanPSMT" w:cs="TimesNewRomanPSMT"/>
          <w:sz w:val="14"/>
          <w:szCs w:val="14"/>
          <w:lang w:bidi="ar-SA"/>
        </w:rPr>
        <w:t xml:space="preserve"> </w:t>
      </w:r>
      <w:proofErr w:type="spellStart"/>
      <w:r w:rsidR="00D900DC">
        <w:rPr>
          <w:rFonts w:ascii="TimesNewRomanPS-ItalicMT" w:hAnsi="TimesNewRomanPS-ItalicMT" w:cs="TimesNewRomanPS-ItalicMT"/>
          <w:i/>
          <w:iCs/>
          <w:sz w:val="20"/>
          <w:szCs w:val="20"/>
          <w:lang w:bidi="ar-SA"/>
        </w:rPr>
        <w:t>f</w:t>
      </w:r>
      <w:r w:rsidR="00D900DC">
        <w:rPr>
          <w:rFonts w:ascii="TimesNewRomanPSMT" w:hAnsi="TimesNewRomanPSMT" w:cs="TimesNewRomanPSMT"/>
          <w:sz w:val="14"/>
          <w:szCs w:val="14"/>
          <w:lang w:bidi="ar-SA"/>
        </w:rPr>
        <w:t>S20</w:t>
      </w:r>
      <w:r w:rsidR="00D900DC">
        <w:rPr>
          <w:rFonts w:ascii="SymbolMT" w:eastAsia="SymbolMT" w:hAnsi="TimesNewRomanPS-ItalicMT" w:cs="SymbolMT" w:hint="eastAsia"/>
          <w:sz w:val="14"/>
          <w:szCs w:val="14"/>
          <w:lang w:bidi="ar-SA"/>
        </w:rPr>
        <w:t>,</w:t>
      </w:r>
      <w:r w:rsidR="00D900DC">
        <w:rPr>
          <w:rFonts w:ascii="TimesNewRomanPSMT" w:hAnsi="TimesNewRomanPSMT" w:cs="TimesNewRomanPSMT"/>
          <w:sz w:val="14"/>
          <w:szCs w:val="14"/>
          <w:lang w:bidi="ar-SA"/>
        </w:rPr>
        <w:t>idx</w:t>
      </w:r>
      <w:proofErr w:type="spellEnd"/>
      <w:r>
        <w:rPr>
          <w:rFonts w:ascii="TimesNewRomanPSMT" w:hAnsi="TimesNewRomanPSMT" w:cs="TimesNewRomanPSMT"/>
          <w:sz w:val="20"/>
          <w:szCs w:val="20"/>
          <w:lang w:bidi="ar-SA"/>
        </w:rPr>
        <w:t>, or CH_OFF_20L otherwise. The</w:t>
      </w:r>
      <w:r w:rsidR="00D900DC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quantities </w:t>
      </w:r>
      <w:proofErr w:type="spellStart"/>
      <w:r w:rsidR="00D900DC">
        <w:rPr>
          <w:rFonts w:ascii="TimesNewRomanPS-ItalicMT" w:hAnsi="TimesNewRomanPS-ItalicMT" w:cs="TimesNewRomanPS-ItalicMT"/>
          <w:i/>
          <w:iCs/>
          <w:sz w:val="20"/>
          <w:szCs w:val="20"/>
          <w:lang w:bidi="ar-SA"/>
        </w:rPr>
        <w:t>f</w:t>
      </w:r>
      <w:r w:rsidR="00D900DC">
        <w:rPr>
          <w:rFonts w:ascii="TimesNewRomanPSMT" w:hAnsi="TimesNewRomanPSMT" w:cs="TimesNewRomanPSMT"/>
          <w:sz w:val="14"/>
          <w:szCs w:val="14"/>
          <w:lang w:bidi="ar-SA"/>
        </w:rPr>
        <w:t>P20</w:t>
      </w:r>
      <w:proofErr w:type="gramStart"/>
      <w:r w:rsidR="00D900DC">
        <w:rPr>
          <w:rFonts w:ascii="SymbolMT" w:eastAsia="SymbolMT" w:hAnsi="TimesNewRomanPS-ItalicMT" w:cs="SymbolMT" w:hint="eastAsia"/>
          <w:sz w:val="14"/>
          <w:szCs w:val="14"/>
          <w:lang w:bidi="ar-SA"/>
        </w:rPr>
        <w:t>,</w:t>
      </w:r>
      <w:r w:rsidR="00D900DC">
        <w:rPr>
          <w:rFonts w:ascii="TimesNewRomanPSMT" w:hAnsi="TimesNewRomanPSMT" w:cs="TimesNewRomanPSMT"/>
          <w:sz w:val="14"/>
          <w:szCs w:val="14"/>
          <w:lang w:bidi="ar-SA"/>
        </w:rPr>
        <w:t>idx</w:t>
      </w:r>
      <w:proofErr w:type="spellEnd"/>
      <w:proofErr w:type="gramEnd"/>
      <w:r w:rsidR="00D900DC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and </w:t>
      </w:r>
      <w:proofErr w:type="spellStart"/>
      <w:r w:rsidR="00D900DC">
        <w:rPr>
          <w:rFonts w:ascii="TimesNewRomanPS-ItalicMT" w:hAnsi="TimesNewRomanPS-ItalicMT" w:cs="TimesNewRomanPS-ItalicMT"/>
          <w:i/>
          <w:iCs/>
          <w:sz w:val="20"/>
          <w:szCs w:val="20"/>
          <w:lang w:bidi="ar-SA"/>
        </w:rPr>
        <w:t>f</w:t>
      </w:r>
      <w:r w:rsidR="00D900DC">
        <w:rPr>
          <w:rFonts w:ascii="TimesNewRomanPSMT" w:hAnsi="TimesNewRomanPSMT" w:cs="TimesNewRomanPSMT"/>
          <w:sz w:val="14"/>
          <w:szCs w:val="14"/>
          <w:lang w:bidi="ar-SA"/>
        </w:rPr>
        <w:t>S20</w:t>
      </w:r>
      <w:r w:rsidR="00D900DC">
        <w:rPr>
          <w:rFonts w:ascii="SymbolMT" w:eastAsia="SymbolMT" w:hAnsi="TimesNewRomanPS-ItalicMT" w:cs="SymbolMT" w:hint="eastAsia"/>
          <w:sz w:val="14"/>
          <w:szCs w:val="14"/>
          <w:lang w:bidi="ar-SA"/>
        </w:rPr>
        <w:t>,</w:t>
      </w:r>
      <w:r w:rsidR="00D900DC">
        <w:rPr>
          <w:rFonts w:ascii="TimesNewRomanPSMT" w:hAnsi="TimesNewRomanPSMT" w:cs="TimesNewRomanPSMT"/>
          <w:sz w:val="14"/>
          <w:szCs w:val="14"/>
          <w:lang w:bidi="ar-SA"/>
        </w:rPr>
        <w:t>idx</w:t>
      </w:r>
      <w:proofErr w:type="spellEnd"/>
      <w:r w:rsidR="00D900DC">
        <w:rPr>
          <w:rFonts w:ascii="TimesNewRomanPSMT" w:hAnsi="TimesNewRomanPSMT" w:cs="TimesNewRomanPSMT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bidi="ar-SA"/>
        </w:rPr>
        <w:t>are defined in 21.3.7.3 (Channel frequencies).</w:t>
      </w:r>
    </w:p>
    <w:p w:rsidR="00711027" w:rsidRDefault="00711027" w:rsidP="00D900DC">
      <w:pPr>
        <w:spacing w:after="0"/>
      </w:pPr>
    </w:p>
    <w:p w:rsidR="00D900DC" w:rsidRDefault="00D900DC" w:rsidP="00D900DC">
      <w:pPr>
        <w:spacing w:after="0"/>
      </w:pPr>
      <w:r>
        <w:t xml:space="preserve">Note that both </w:t>
      </w:r>
      <w:proofErr w:type="spellStart"/>
      <w:r>
        <w:t>subclauses</w:t>
      </w:r>
      <w:proofErr w:type="spellEnd"/>
      <w:r w:rsidR="00711027">
        <w:t xml:space="preserve"> 19.2.5 and 21.2.5.2</w:t>
      </w:r>
      <w:r>
        <w:t xml:space="preserve"> </w:t>
      </w:r>
      <w:r w:rsidR="00711027">
        <w:t>have already been modified as a</w:t>
      </w:r>
      <w:r>
        <w:t xml:space="preserve"> result of other comment resolutions, so these changes should be merged with the latest agreements on these clauses.</w:t>
      </w:r>
    </w:p>
    <w:p w:rsidR="003221BD" w:rsidRDefault="003221BD" w:rsidP="00D900DC">
      <w:pPr>
        <w:spacing w:after="0"/>
      </w:pPr>
    </w:p>
    <w:p w:rsidR="003221BD" w:rsidRPr="003221BD" w:rsidRDefault="003221BD" w:rsidP="00D900DC">
      <w:pPr>
        <w:spacing w:after="0"/>
        <w:rPr>
          <w:u w:val="single"/>
        </w:rPr>
      </w:pPr>
      <w:r w:rsidRPr="003221BD">
        <w:rPr>
          <w:u w:val="single"/>
        </w:rPr>
        <w:t>Proposed resolution:</w:t>
      </w:r>
    </w:p>
    <w:p w:rsidR="003221BD" w:rsidRDefault="003221BD" w:rsidP="00D900DC">
      <w:pPr>
        <w:spacing w:after="0"/>
      </w:pPr>
      <w:r>
        <w:t>Revised</w:t>
      </w:r>
    </w:p>
    <w:p w:rsidR="003221BD" w:rsidRDefault="003221BD" w:rsidP="00D900DC">
      <w:pPr>
        <w:spacing w:after="0"/>
      </w:pPr>
      <w:r>
        <w:t>Change first line of 19.2.5 and first line of 21.2.5.2 as shown in this document.</w:t>
      </w:r>
    </w:p>
    <w:p w:rsidR="00FC2A11" w:rsidRDefault="00FC2A11" w:rsidP="00D900DC">
      <w:pPr>
        <w:spacing w:after="0"/>
      </w:pPr>
    </w:p>
    <w:p w:rsidR="00FC2A11" w:rsidRDefault="00FC2A11" w:rsidP="00FC2A11">
      <w:pPr>
        <w:pStyle w:val="Heading1"/>
      </w:pPr>
      <w:r>
        <w:t>CID 7412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941"/>
        <w:gridCol w:w="880"/>
        <w:gridCol w:w="767"/>
        <w:gridCol w:w="2882"/>
        <w:gridCol w:w="2497"/>
      </w:tblGrid>
      <w:tr w:rsidR="00BD17FF" w:rsidRPr="00BD17FF" w:rsidTr="00BD17FF">
        <w:trPr>
          <w:trHeight w:val="1275"/>
        </w:trPr>
        <w:tc>
          <w:tcPr>
            <w:tcW w:w="594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7412</w:t>
            </w:r>
          </w:p>
        </w:tc>
        <w:tc>
          <w:tcPr>
            <w:tcW w:w="910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21.2.5.3</w:t>
            </w:r>
          </w:p>
        </w:tc>
        <w:tc>
          <w:tcPr>
            <w:tcW w:w="894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2505</w:t>
            </w:r>
          </w:p>
        </w:tc>
        <w:tc>
          <w:tcPr>
            <w:tcW w:w="787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60</w:t>
            </w:r>
          </w:p>
        </w:tc>
        <w:tc>
          <w:tcPr>
            <w:tcW w:w="2886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"PHY-</w:t>
            </w:r>
            <w:proofErr w:type="spellStart"/>
            <w:proofErr w:type="gramStart"/>
            <w:r w:rsidRPr="00BD17FF">
              <w:t>TXSTART.request</w:t>
            </w:r>
            <w:proofErr w:type="spellEnd"/>
            <w:r w:rsidRPr="00BD17FF">
              <w:t>(</w:t>
            </w:r>
            <w:proofErr w:type="gramEnd"/>
            <w:r w:rsidRPr="00BD17FF">
              <w:t>TXVECTOR) primitive is issued" -- to what?  There is no OFDM PHY</w:t>
            </w:r>
          </w:p>
        </w:tc>
        <w:tc>
          <w:tcPr>
            <w:tcW w:w="2589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Use "as if" wording, as above</w:t>
            </w:r>
          </w:p>
        </w:tc>
      </w:tr>
    </w:tbl>
    <w:p w:rsidR="00BD17FF" w:rsidRDefault="00BD17FF" w:rsidP="00D900DC">
      <w:pPr>
        <w:spacing w:after="0"/>
      </w:pPr>
    </w:p>
    <w:p w:rsidR="00BD17FF" w:rsidRDefault="00FC2A11" w:rsidP="00D900DC">
      <w:pPr>
        <w:spacing w:after="0"/>
      </w:pPr>
      <w:r>
        <w:t>CID 7412 was addressed in 802.11-16/</w:t>
      </w:r>
      <w:proofErr w:type="spellStart"/>
      <w:r>
        <w:t>291r2</w:t>
      </w:r>
      <w:proofErr w:type="spellEnd"/>
      <w:r>
        <w:t xml:space="preserve">, where a resolution was proposed in line with CID 7411. </w:t>
      </w:r>
    </w:p>
    <w:p w:rsidR="003E55E0" w:rsidRDefault="003E55E0" w:rsidP="00D900D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941"/>
        <w:gridCol w:w="880"/>
        <w:gridCol w:w="767"/>
        <w:gridCol w:w="2882"/>
        <w:gridCol w:w="2497"/>
      </w:tblGrid>
      <w:tr w:rsidR="00BD17FF" w:rsidRPr="00BD17FF" w:rsidTr="00BD17FF">
        <w:trPr>
          <w:trHeight w:val="1275"/>
        </w:trPr>
        <w:tc>
          <w:tcPr>
            <w:tcW w:w="594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7411</w:t>
            </w:r>
          </w:p>
        </w:tc>
        <w:tc>
          <w:tcPr>
            <w:tcW w:w="910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21.2.5.2</w:t>
            </w:r>
          </w:p>
        </w:tc>
        <w:tc>
          <w:tcPr>
            <w:tcW w:w="894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2504</w:t>
            </w:r>
          </w:p>
        </w:tc>
        <w:tc>
          <w:tcPr>
            <w:tcW w:w="787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51</w:t>
            </w:r>
          </w:p>
        </w:tc>
        <w:tc>
          <w:tcPr>
            <w:tcW w:w="2886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"PHY-</w:t>
            </w:r>
            <w:proofErr w:type="spellStart"/>
            <w:proofErr w:type="gramStart"/>
            <w:r w:rsidRPr="00BD17FF">
              <w:t>TXSTART.request</w:t>
            </w:r>
            <w:proofErr w:type="spellEnd"/>
            <w:r w:rsidRPr="00BD17FF">
              <w:t>(</w:t>
            </w:r>
            <w:proofErr w:type="gramEnd"/>
            <w:r w:rsidRPr="00BD17FF">
              <w:t>TXVECTOR) primitive is issued" -- to what?  There is no OFDM PHY</w:t>
            </w:r>
          </w:p>
        </w:tc>
        <w:tc>
          <w:tcPr>
            <w:tcW w:w="2589" w:type="dxa"/>
            <w:hideMark/>
          </w:tcPr>
          <w:p w:rsidR="00BD17FF" w:rsidRPr="00BD17FF" w:rsidRDefault="00BD17FF" w:rsidP="00BD17FF">
            <w:pPr>
              <w:spacing w:after="0"/>
            </w:pPr>
            <w:r w:rsidRPr="00BD17FF">
              <w:t>Use "as if" wording, as above</w:t>
            </w:r>
          </w:p>
        </w:tc>
      </w:tr>
    </w:tbl>
    <w:p w:rsidR="00BD17FF" w:rsidRDefault="00BD17FF" w:rsidP="00D900DC">
      <w:pPr>
        <w:spacing w:after="0"/>
      </w:pPr>
    </w:p>
    <w:p w:rsidR="00FC2A11" w:rsidRDefault="00566DBE" w:rsidP="00D900DC">
      <w:pPr>
        <w:spacing w:after="0"/>
      </w:pPr>
      <w:r>
        <w:lastRenderedPageBreak/>
        <w:t xml:space="preserve">It appears that the resolution to 7411 was later pulled from the motion and modified. </w:t>
      </w:r>
      <w:r w:rsidR="00FC2A11">
        <w:t>From “</w:t>
      </w:r>
      <w:proofErr w:type="spellStart"/>
      <w:r w:rsidR="00FC2A11">
        <w:rPr>
          <w:rFonts w:ascii="Verdana" w:hAnsi="Verdana"/>
          <w:color w:val="000000"/>
          <w:szCs w:val="28"/>
        </w:rPr>
        <w:t>REVmc</w:t>
      </w:r>
      <w:proofErr w:type="spellEnd"/>
      <w:r w:rsidR="00FC2A11">
        <w:rPr>
          <w:rFonts w:ascii="Verdana" w:hAnsi="Verdana"/>
          <w:color w:val="000000"/>
          <w:szCs w:val="28"/>
        </w:rPr>
        <w:t xml:space="preserve"> BRC Minutes for March 2016 - Macau</w:t>
      </w:r>
      <w:r w:rsidR="00FC2A11">
        <w:t>” (802.11-16/250)</w:t>
      </w:r>
      <w:r w:rsidR="00BD17FF">
        <w:t>:</w:t>
      </w:r>
    </w:p>
    <w:p w:rsidR="00FC2A11" w:rsidRDefault="00FC2A11" w:rsidP="00BD17FF">
      <w:pPr>
        <w:spacing w:after="0"/>
        <w:ind w:left="720"/>
      </w:pPr>
      <w:r>
        <w:rPr>
          <w:noProof/>
          <w:lang w:bidi="ar-SA"/>
        </w:rPr>
        <w:drawing>
          <wp:inline distT="0" distB="0" distL="0" distR="0" wp14:anchorId="47C3877D" wp14:editId="1860F387">
            <wp:extent cx="5486400" cy="1591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11" w:rsidRDefault="00BD17FF" w:rsidP="00D900DC">
      <w:pPr>
        <w:spacing w:after="0"/>
      </w:pPr>
      <w:r>
        <w:t xml:space="preserve">NOTE: </w:t>
      </w:r>
      <w:r w:rsidR="00FC2A11">
        <w:t>This change has not yet been incorporated in the latest draft text.</w:t>
      </w:r>
      <w:r w:rsidR="00566DBE">
        <w:t xml:space="preserve"> Based on the report above, the change for 7411 would look like:</w:t>
      </w:r>
    </w:p>
    <w:p w:rsidR="00566DBE" w:rsidRDefault="00566DBE" w:rsidP="00D900DC">
      <w:pPr>
        <w:spacing w:after="0"/>
      </w:pPr>
      <w:r>
        <w:t>On page 2504, line 45:</w:t>
      </w:r>
    </w:p>
    <w:p w:rsidR="00566DBE" w:rsidRDefault="00566DBE" w:rsidP="00566DBE">
      <w:pPr>
        <w:autoSpaceDE w:val="0"/>
        <w:autoSpaceDN w:val="0"/>
        <w:adjustRightInd w:val="0"/>
        <w:spacing w:before="0" w:after="0" w:line="240" w:lineRule="auto"/>
      </w:pPr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The</w:t>
      </w:r>
      <w:r w:rsidRPr="00566DBE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 xml:space="preserve"> </w:t>
      </w:r>
      <w:r w:rsidRPr="00566DBE">
        <w:rPr>
          <w:rFonts w:ascii="TimesNewRomanPSMT" w:hAnsi="TimesNewRomanPSMT" w:cs="TimesNewRomanPSMT"/>
          <w:color w:val="FF0000"/>
          <w:sz w:val="20"/>
          <w:szCs w:val="20"/>
          <w:u w:val="single"/>
          <w:lang w:bidi="ar-SA"/>
        </w:rPr>
        <w:t>where the</w:t>
      </w:r>
      <w:r w:rsidRPr="00566DBE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Clause 21 (Very High Throughput (VHT) PHY specification) TXVECTOR parameters in Table 21-1 (TXVECTOR and RXVECTOR parameters) are mapped to Clause 17 (Orthogonal frequency division multiplexing (OFDM) PHY specification) TXVECTOR parameters in Table 17-1 (TXVECTOR parameters) according to Table 21-3 (Mapping of the VHT PHY parameters for NON_HT operation) </w:t>
      </w:r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 xml:space="preserve">and the Clause 17 (Orthogonal frequency division multiplexing (OFDM) PHY specification) PHYTXSTART. </w:t>
      </w:r>
      <w:proofErr w:type="gramStart"/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request(</w:t>
      </w:r>
      <w:proofErr w:type="gramEnd"/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TXVECTOR) primitive is issued</w:t>
      </w:r>
      <w:r>
        <w:rPr>
          <w:rFonts w:ascii="TimesNewRomanPSMT" w:hAnsi="TimesNewRomanPSMT" w:cs="TimesNewRomanPSMT"/>
          <w:sz w:val="20"/>
          <w:szCs w:val="20"/>
          <w:lang w:bidi="ar-SA"/>
        </w:rPr>
        <w:t>.</w:t>
      </w:r>
    </w:p>
    <w:p w:rsidR="00BD17FF" w:rsidRDefault="00BD17FF" w:rsidP="00D900DC">
      <w:pPr>
        <w:spacing w:after="0"/>
      </w:pPr>
    </w:p>
    <w:p w:rsidR="00FC2A11" w:rsidRDefault="00FC2A11" w:rsidP="00D900DC">
      <w:pPr>
        <w:spacing w:after="0"/>
      </w:pPr>
      <w:r>
        <w:t>Consequently, it appears like 7412 needs a resolution consistent with what was agreed for 7411.</w:t>
      </w:r>
    </w:p>
    <w:p w:rsidR="00FC2A11" w:rsidRDefault="00566DBE" w:rsidP="00D900DC">
      <w:pPr>
        <w:spacing w:after="0"/>
      </w:pPr>
      <w:r>
        <w:t>On page 2505, line 56</w:t>
      </w:r>
    </w:p>
    <w:p w:rsidR="00415407" w:rsidRDefault="00415407" w:rsidP="00415407">
      <w:pPr>
        <w:autoSpaceDE w:val="0"/>
        <w:autoSpaceDN w:val="0"/>
        <w:adjustRightInd w:val="0"/>
        <w:spacing w:before="0" w:after="0" w:line="240" w:lineRule="auto"/>
      </w:pPr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The</w:t>
      </w:r>
      <w:r w:rsidRPr="00566DBE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 xml:space="preserve"> </w:t>
      </w:r>
      <w:r w:rsidR="00566DBE" w:rsidRPr="00566DBE">
        <w:rPr>
          <w:rFonts w:ascii="TimesNewRomanPSMT" w:hAnsi="TimesNewRomanPSMT" w:cs="TimesNewRomanPSMT"/>
          <w:color w:val="FF0000"/>
          <w:sz w:val="20"/>
          <w:szCs w:val="20"/>
          <w:u w:val="single"/>
          <w:lang w:bidi="ar-SA"/>
        </w:rPr>
        <w:t>where the</w:t>
      </w:r>
      <w:r w:rsidR="00566DBE" w:rsidRPr="00566DBE">
        <w:rPr>
          <w:rFonts w:ascii="TimesNewRomanPSMT" w:hAnsi="TimesNewRomanPSMT" w:cs="TimesNewRomanPSMT"/>
          <w:color w:val="FF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Clause 21 (Very High Throughput (VHT) PHY specification) TXVECTOR parameters in Table 21-1 (TXVECTOR and RXVECTOR parameters) are mapped directly to Clause 19 (High Throughput (HT) PHY specification) TXVECTOR parameters in Table </w:t>
      </w:r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20</w:t>
      </w:r>
      <w:r w:rsidR="00566DBE" w:rsidRPr="00566DBE">
        <w:rPr>
          <w:rFonts w:ascii="TimesNewRomanPSMT" w:hAnsi="TimesNewRomanPSMT" w:cs="TimesNewRomanPSMT"/>
          <w:color w:val="FF0000"/>
          <w:sz w:val="20"/>
          <w:szCs w:val="20"/>
          <w:u w:val="single"/>
          <w:lang w:bidi="ar-SA"/>
        </w:rPr>
        <w:t>19</w:t>
      </w:r>
      <w:r>
        <w:rPr>
          <w:rFonts w:ascii="TimesNewRomanPSMT" w:hAnsi="TimesNewRomanPSMT" w:cs="TimesNewRomanPSMT"/>
          <w:sz w:val="20"/>
          <w:szCs w:val="20"/>
          <w:lang w:bidi="ar-SA"/>
        </w:rPr>
        <w:t xml:space="preserve">-1 </w:t>
      </w:r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and the Clause 19 (High Throughput (HT) PHY specification) PHY-</w:t>
      </w:r>
      <w:proofErr w:type="spellStart"/>
      <w:proofErr w:type="gramStart"/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TXSTART.request</w:t>
      </w:r>
      <w:proofErr w:type="spellEnd"/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(</w:t>
      </w:r>
      <w:proofErr w:type="gramEnd"/>
      <w:r w:rsidRPr="00566DBE">
        <w:rPr>
          <w:rFonts w:ascii="TimesNewRomanPSMT" w:hAnsi="TimesNewRomanPSMT" w:cs="TimesNewRomanPSMT"/>
          <w:strike/>
          <w:color w:val="FF0000"/>
          <w:sz w:val="20"/>
          <w:szCs w:val="20"/>
          <w:lang w:bidi="ar-SA"/>
        </w:rPr>
        <w:t>TXVECTOR) primitive is issued</w:t>
      </w:r>
      <w:r>
        <w:rPr>
          <w:rFonts w:ascii="TimesNewRomanPSMT" w:hAnsi="TimesNewRomanPSMT" w:cs="TimesNewRomanPSMT"/>
          <w:sz w:val="20"/>
          <w:szCs w:val="20"/>
          <w:lang w:bidi="ar-SA"/>
        </w:rPr>
        <w:t>.</w:t>
      </w:r>
    </w:p>
    <w:p w:rsidR="00415407" w:rsidRDefault="00415407" w:rsidP="00D900DC">
      <w:pPr>
        <w:spacing w:after="0"/>
      </w:pPr>
    </w:p>
    <w:p w:rsidR="00FC2A11" w:rsidRPr="00FC2A11" w:rsidRDefault="00FC2A11" w:rsidP="00D900DC">
      <w:pPr>
        <w:spacing w:after="0"/>
        <w:rPr>
          <w:u w:val="single"/>
        </w:rPr>
      </w:pPr>
      <w:r w:rsidRPr="00FC2A11">
        <w:rPr>
          <w:u w:val="single"/>
        </w:rPr>
        <w:t>Proposed resolution:</w:t>
      </w:r>
    </w:p>
    <w:p w:rsidR="00BD17FF" w:rsidRDefault="00BD17FF" w:rsidP="00BD17FF">
      <w:r>
        <w:t xml:space="preserve">Revised.  </w:t>
      </w:r>
    </w:p>
    <w:p w:rsidR="00566DBE" w:rsidRDefault="00566DBE" w:rsidP="00566DBE">
      <w:pPr>
        <w:pStyle w:val="ListParagraph"/>
        <w:numPr>
          <w:ilvl w:val="0"/>
          <w:numId w:val="20"/>
        </w:numPr>
      </w:pPr>
      <w:r>
        <w:t>At 2505.56</w:t>
      </w:r>
      <w:r w:rsidR="00BD17FF">
        <w:t xml:space="preserve">, replace “The” with “where the”.  </w:t>
      </w:r>
    </w:p>
    <w:p w:rsidR="00FC2A11" w:rsidRDefault="00566DBE" w:rsidP="00566DBE">
      <w:pPr>
        <w:pStyle w:val="ListParagraph"/>
        <w:numPr>
          <w:ilvl w:val="0"/>
          <w:numId w:val="20"/>
        </w:numPr>
      </w:pPr>
      <w:r>
        <w:t>At 2505.59</w:t>
      </w:r>
      <w:r w:rsidR="00BD17FF">
        <w:t xml:space="preserve"> delete “</w:t>
      </w:r>
      <w:r w:rsidRPr="00566DBE">
        <w:t>and the Clause 19 (High Throughput (HT) PHY</w:t>
      </w:r>
      <w:r>
        <w:t xml:space="preserve"> </w:t>
      </w:r>
      <w:r w:rsidRPr="00566DBE">
        <w:t>specification) PHY-</w:t>
      </w:r>
      <w:proofErr w:type="spellStart"/>
      <w:r w:rsidRPr="00566DBE">
        <w:t>TXSTART.request</w:t>
      </w:r>
      <w:proofErr w:type="spellEnd"/>
      <w:r w:rsidRPr="00566DBE">
        <w:t>(TXVECTOR) primitive is issued</w:t>
      </w:r>
      <w:r>
        <w:t>”</w:t>
      </w:r>
    </w:p>
    <w:p w:rsidR="004618C4" w:rsidRDefault="004618C4" w:rsidP="00566DBE">
      <w:pPr>
        <w:pStyle w:val="ListParagraph"/>
        <w:numPr>
          <w:ilvl w:val="0"/>
          <w:numId w:val="20"/>
        </w:numPr>
      </w:pPr>
      <w:r>
        <w:t>Change reference to Table 20-1 to Table 19-1</w:t>
      </w:r>
      <w:bookmarkStart w:id="0" w:name="_GoBack"/>
      <w:bookmarkEnd w:id="0"/>
    </w:p>
    <w:p w:rsidR="00E42D09" w:rsidRPr="00E42D09" w:rsidRDefault="00E42D09" w:rsidP="009B443D">
      <w:pPr>
        <w:rPr>
          <w:rStyle w:val="Heading1Char"/>
        </w:rPr>
      </w:pPr>
    </w:p>
    <w:sectPr w:rsidR="00E42D09" w:rsidRPr="00E42D09" w:rsidSect="00085889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48" w:rsidRDefault="00272248" w:rsidP="0035409E">
      <w:pPr>
        <w:spacing w:after="0" w:line="240" w:lineRule="auto"/>
      </w:pPr>
      <w:r>
        <w:separator/>
      </w:r>
    </w:p>
  </w:endnote>
  <w:endnote w:type="continuationSeparator" w:id="0">
    <w:p w:rsidR="00272248" w:rsidRDefault="00272248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3B" w:rsidRDefault="00B43485" w:rsidP="00BE1CBC">
    <w:pPr>
      <w:pStyle w:val="Footer"/>
      <w:pBdr>
        <w:top w:val="single" w:sz="4" w:space="1" w:color="auto"/>
      </w:pBdr>
      <w:jc w:val="both"/>
    </w:pPr>
    <w:r>
      <w:t>Submission</w:t>
    </w:r>
    <w:r>
      <w:ptab w:relativeTo="margin" w:alignment="center" w:leader="none"/>
    </w:r>
    <w:r>
      <w:t xml:space="preserve">page </w:t>
    </w:r>
    <w:sdt>
      <w:sdtPr>
        <w:id w:val="-17328334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8C4"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  <w:r>
      <w:ptab w:relativeTo="margin" w:alignment="right" w:leader="none"/>
    </w:r>
    <w:r>
      <w:t xml:space="preserve">Sigurd Schelstraete, </w:t>
    </w:r>
    <w:proofErr w:type="spellStart"/>
    <w:r>
      <w:t>Quantenna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48" w:rsidRDefault="00272248" w:rsidP="0035409E">
      <w:pPr>
        <w:spacing w:after="0" w:line="240" w:lineRule="auto"/>
      </w:pPr>
      <w:r>
        <w:separator/>
      </w:r>
    </w:p>
  </w:footnote>
  <w:footnote w:type="continuationSeparator" w:id="0">
    <w:p w:rsidR="00272248" w:rsidRDefault="00272248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3D" w:rsidRPr="00B43485" w:rsidRDefault="0072636B" w:rsidP="00B43485">
    <w:pPr>
      <w:pStyle w:val="Header"/>
      <w:pBdr>
        <w:bottom w:val="single" w:sz="6" w:space="2" w:color="auto"/>
      </w:pBdr>
      <w:tabs>
        <w:tab w:val="right" w:pos="12960"/>
      </w:tabs>
      <w:spacing w:before="0"/>
      <w:rPr>
        <w:rFonts w:ascii="Times New Roman" w:eastAsia="Times New Roman" w:hAnsi="Times New Roman" w:cs="Times New Roman"/>
        <w:b/>
        <w:sz w:val="28"/>
        <w:szCs w:val="20"/>
        <w:lang w:val="en-GB" w:bidi="ar-SA"/>
      </w:rPr>
    </w:pPr>
    <w:r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April 2016</w:t>
    </w:r>
    <w:r w:rsidR="00B43485" w:rsidRPr="00B43485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ab/>
    </w:r>
    <w:r w:rsidR="00B43485" w:rsidRPr="00B43485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ab/>
    </w:r>
    <w:r w:rsidR="00425CCF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doc.: IEEE 802.11-16/</w:t>
    </w:r>
    <w:r w:rsidR="00D874FD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0545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D22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D626DB"/>
    <w:multiLevelType w:val="hybridMultilevel"/>
    <w:tmpl w:val="9A06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67AC7"/>
    <w:multiLevelType w:val="hybridMultilevel"/>
    <w:tmpl w:val="E806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7E5C"/>
    <w:multiLevelType w:val="hybridMultilevel"/>
    <w:tmpl w:val="BDA4DC68"/>
    <w:lvl w:ilvl="0" w:tplc="85EEA30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8"/>
  </w:num>
  <w:num w:numId="5">
    <w:abstractNumId w:val="3"/>
  </w:num>
  <w:num w:numId="6">
    <w:abstractNumId w:val="4"/>
  </w:num>
  <w:num w:numId="7">
    <w:abstractNumId w:val="17"/>
  </w:num>
  <w:num w:numId="8">
    <w:abstractNumId w:val="11"/>
  </w:num>
  <w:num w:numId="9">
    <w:abstractNumId w:val="0"/>
  </w:num>
  <w:num w:numId="10">
    <w:abstractNumId w:val="16"/>
  </w:num>
  <w:num w:numId="11">
    <w:abstractNumId w:val="13"/>
  </w:num>
  <w:num w:numId="12">
    <w:abstractNumId w:val="19"/>
  </w:num>
  <w:num w:numId="13">
    <w:abstractNumId w:val="2"/>
  </w:num>
  <w:num w:numId="14">
    <w:abstractNumId w:val="8"/>
  </w:num>
  <w:num w:numId="15">
    <w:abstractNumId w:val="9"/>
  </w:num>
  <w:num w:numId="16">
    <w:abstractNumId w:val="14"/>
  </w:num>
  <w:num w:numId="17">
    <w:abstractNumId w:val="6"/>
  </w:num>
  <w:num w:numId="18">
    <w:abstractNumId w:val="1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6B"/>
    <w:rsid w:val="0000477D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94387"/>
    <w:rsid w:val="000A31C7"/>
    <w:rsid w:val="000B234B"/>
    <w:rsid w:val="000B60D2"/>
    <w:rsid w:val="000B6283"/>
    <w:rsid w:val="000B786E"/>
    <w:rsid w:val="000C5407"/>
    <w:rsid w:val="000D07D3"/>
    <w:rsid w:val="000D2E03"/>
    <w:rsid w:val="000D4E39"/>
    <w:rsid w:val="000E1D76"/>
    <w:rsid w:val="000F4DE1"/>
    <w:rsid w:val="000F661A"/>
    <w:rsid w:val="001012E7"/>
    <w:rsid w:val="00123880"/>
    <w:rsid w:val="00127AA7"/>
    <w:rsid w:val="00134749"/>
    <w:rsid w:val="00136F7E"/>
    <w:rsid w:val="00145AF1"/>
    <w:rsid w:val="001569BA"/>
    <w:rsid w:val="001908D2"/>
    <w:rsid w:val="001923C5"/>
    <w:rsid w:val="001A32CD"/>
    <w:rsid w:val="001B0C5E"/>
    <w:rsid w:val="001B55F1"/>
    <w:rsid w:val="001D2A9C"/>
    <w:rsid w:val="001D7B7F"/>
    <w:rsid w:val="001E40B9"/>
    <w:rsid w:val="001F5925"/>
    <w:rsid w:val="00221ECE"/>
    <w:rsid w:val="002254C5"/>
    <w:rsid w:val="00225736"/>
    <w:rsid w:val="00226386"/>
    <w:rsid w:val="00226FBF"/>
    <w:rsid w:val="0023074D"/>
    <w:rsid w:val="0023595F"/>
    <w:rsid w:val="00235BE0"/>
    <w:rsid w:val="00241C73"/>
    <w:rsid w:val="00250B91"/>
    <w:rsid w:val="00257CD0"/>
    <w:rsid w:val="002646A2"/>
    <w:rsid w:val="00267C18"/>
    <w:rsid w:val="00272248"/>
    <w:rsid w:val="00274BAD"/>
    <w:rsid w:val="002913F7"/>
    <w:rsid w:val="002A2327"/>
    <w:rsid w:val="002A4536"/>
    <w:rsid w:val="002B2ED2"/>
    <w:rsid w:val="002B6639"/>
    <w:rsid w:val="002C58BE"/>
    <w:rsid w:val="002C68E8"/>
    <w:rsid w:val="002C6943"/>
    <w:rsid w:val="002D602E"/>
    <w:rsid w:val="002E14F4"/>
    <w:rsid w:val="002E1DB6"/>
    <w:rsid w:val="002E20BD"/>
    <w:rsid w:val="002E55B8"/>
    <w:rsid w:val="002F0734"/>
    <w:rsid w:val="002F0EFB"/>
    <w:rsid w:val="002F6D5F"/>
    <w:rsid w:val="00316F36"/>
    <w:rsid w:val="003221BD"/>
    <w:rsid w:val="00344E71"/>
    <w:rsid w:val="0035409E"/>
    <w:rsid w:val="00354C2F"/>
    <w:rsid w:val="00363B59"/>
    <w:rsid w:val="003673B0"/>
    <w:rsid w:val="0038282B"/>
    <w:rsid w:val="00387F4C"/>
    <w:rsid w:val="00391D07"/>
    <w:rsid w:val="00391DCF"/>
    <w:rsid w:val="0039245E"/>
    <w:rsid w:val="00397E79"/>
    <w:rsid w:val="003B290D"/>
    <w:rsid w:val="003B34F8"/>
    <w:rsid w:val="003B6AEB"/>
    <w:rsid w:val="003C500D"/>
    <w:rsid w:val="003D32AA"/>
    <w:rsid w:val="003E55E0"/>
    <w:rsid w:val="003E57BF"/>
    <w:rsid w:val="003F5B53"/>
    <w:rsid w:val="00401240"/>
    <w:rsid w:val="00413B24"/>
    <w:rsid w:val="00413C93"/>
    <w:rsid w:val="004148F8"/>
    <w:rsid w:val="00415407"/>
    <w:rsid w:val="00425CCF"/>
    <w:rsid w:val="00431BB7"/>
    <w:rsid w:val="004344E8"/>
    <w:rsid w:val="00442CBC"/>
    <w:rsid w:val="004618C4"/>
    <w:rsid w:val="00461DD5"/>
    <w:rsid w:val="00465843"/>
    <w:rsid w:val="00470BF7"/>
    <w:rsid w:val="00471186"/>
    <w:rsid w:val="00480F1D"/>
    <w:rsid w:val="00483FA2"/>
    <w:rsid w:val="00484F0A"/>
    <w:rsid w:val="00485E58"/>
    <w:rsid w:val="00487F26"/>
    <w:rsid w:val="00494CAB"/>
    <w:rsid w:val="00495F20"/>
    <w:rsid w:val="00496CCE"/>
    <w:rsid w:val="004A09A5"/>
    <w:rsid w:val="004C5CDC"/>
    <w:rsid w:val="004D001E"/>
    <w:rsid w:val="004D6147"/>
    <w:rsid w:val="004D6DE3"/>
    <w:rsid w:val="004F7294"/>
    <w:rsid w:val="005052A0"/>
    <w:rsid w:val="00516713"/>
    <w:rsid w:val="0051758F"/>
    <w:rsid w:val="0052327F"/>
    <w:rsid w:val="005251EA"/>
    <w:rsid w:val="00540C15"/>
    <w:rsid w:val="00553CD5"/>
    <w:rsid w:val="00561034"/>
    <w:rsid w:val="0056228C"/>
    <w:rsid w:val="00566DBE"/>
    <w:rsid w:val="005805F0"/>
    <w:rsid w:val="00584D1D"/>
    <w:rsid w:val="00585180"/>
    <w:rsid w:val="00595939"/>
    <w:rsid w:val="005A1B18"/>
    <w:rsid w:val="005A685B"/>
    <w:rsid w:val="005B559B"/>
    <w:rsid w:val="005B76EB"/>
    <w:rsid w:val="005C6CF8"/>
    <w:rsid w:val="005E33D0"/>
    <w:rsid w:val="005F4AEA"/>
    <w:rsid w:val="00613359"/>
    <w:rsid w:val="00615044"/>
    <w:rsid w:val="00615333"/>
    <w:rsid w:val="00623744"/>
    <w:rsid w:val="006241EC"/>
    <w:rsid w:val="00651DA4"/>
    <w:rsid w:val="00653DE4"/>
    <w:rsid w:val="006551E5"/>
    <w:rsid w:val="00677360"/>
    <w:rsid w:val="00680F41"/>
    <w:rsid w:val="00690216"/>
    <w:rsid w:val="0069365C"/>
    <w:rsid w:val="00693F0D"/>
    <w:rsid w:val="006B08BC"/>
    <w:rsid w:val="006B244C"/>
    <w:rsid w:val="006B4CFE"/>
    <w:rsid w:val="006B52A0"/>
    <w:rsid w:val="006B607E"/>
    <w:rsid w:val="006C7FFC"/>
    <w:rsid w:val="006D51EF"/>
    <w:rsid w:val="006D5E78"/>
    <w:rsid w:val="006E0FB0"/>
    <w:rsid w:val="006E28BD"/>
    <w:rsid w:val="00711027"/>
    <w:rsid w:val="007144CC"/>
    <w:rsid w:val="00722983"/>
    <w:rsid w:val="00725E78"/>
    <w:rsid w:val="0072636B"/>
    <w:rsid w:val="007334CE"/>
    <w:rsid w:val="00733B3B"/>
    <w:rsid w:val="00742851"/>
    <w:rsid w:val="00750576"/>
    <w:rsid w:val="0075205E"/>
    <w:rsid w:val="00782609"/>
    <w:rsid w:val="00795D0D"/>
    <w:rsid w:val="007A014F"/>
    <w:rsid w:val="007A4FDF"/>
    <w:rsid w:val="007A6334"/>
    <w:rsid w:val="007B525A"/>
    <w:rsid w:val="007B7AFF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3F91"/>
    <w:rsid w:val="00824D9D"/>
    <w:rsid w:val="0082626D"/>
    <w:rsid w:val="008309C2"/>
    <w:rsid w:val="008318E7"/>
    <w:rsid w:val="00833A74"/>
    <w:rsid w:val="00861400"/>
    <w:rsid w:val="00865AA8"/>
    <w:rsid w:val="00871D10"/>
    <w:rsid w:val="0088551B"/>
    <w:rsid w:val="008A1568"/>
    <w:rsid w:val="008B51BB"/>
    <w:rsid w:val="008D60AC"/>
    <w:rsid w:val="008E63F6"/>
    <w:rsid w:val="008F2A6F"/>
    <w:rsid w:val="009024A3"/>
    <w:rsid w:val="00920873"/>
    <w:rsid w:val="00927211"/>
    <w:rsid w:val="009325CE"/>
    <w:rsid w:val="00933057"/>
    <w:rsid w:val="009336FA"/>
    <w:rsid w:val="00936501"/>
    <w:rsid w:val="009603B9"/>
    <w:rsid w:val="009612D5"/>
    <w:rsid w:val="00963E8E"/>
    <w:rsid w:val="009645E9"/>
    <w:rsid w:val="00976D9E"/>
    <w:rsid w:val="0098239C"/>
    <w:rsid w:val="0099171E"/>
    <w:rsid w:val="009A18C5"/>
    <w:rsid w:val="009A4522"/>
    <w:rsid w:val="009B0ECD"/>
    <w:rsid w:val="009B1195"/>
    <w:rsid w:val="009B1DBC"/>
    <w:rsid w:val="009B3DBD"/>
    <w:rsid w:val="009B443D"/>
    <w:rsid w:val="009B480D"/>
    <w:rsid w:val="009B61EF"/>
    <w:rsid w:val="009C4E84"/>
    <w:rsid w:val="009D3302"/>
    <w:rsid w:val="009D4F2E"/>
    <w:rsid w:val="009D5361"/>
    <w:rsid w:val="009D6E58"/>
    <w:rsid w:val="009E3511"/>
    <w:rsid w:val="009E7163"/>
    <w:rsid w:val="009F5DBF"/>
    <w:rsid w:val="009F7D53"/>
    <w:rsid w:val="00A11E72"/>
    <w:rsid w:val="00A177F7"/>
    <w:rsid w:val="00A20796"/>
    <w:rsid w:val="00A356E3"/>
    <w:rsid w:val="00A44B09"/>
    <w:rsid w:val="00A5607F"/>
    <w:rsid w:val="00A57928"/>
    <w:rsid w:val="00A73EE2"/>
    <w:rsid w:val="00A75D71"/>
    <w:rsid w:val="00A768D8"/>
    <w:rsid w:val="00A84758"/>
    <w:rsid w:val="00A85FE1"/>
    <w:rsid w:val="00AA24A3"/>
    <w:rsid w:val="00AB6601"/>
    <w:rsid w:val="00AC03E9"/>
    <w:rsid w:val="00AC420D"/>
    <w:rsid w:val="00AC7BA3"/>
    <w:rsid w:val="00AE249D"/>
    <w:rsid w:val="00AE7BE4"/>
    <w:rsid w:val="00AF03E4"/>
    <w:rsid w:val="00AF20A6"/>
    <w:rsid w:val="00B013CA"/>
    <w:rsid w:val="00B21E3F"/>
    <w:rsid w:val="00B30266"/>
    <w:rsid w:val="00B31CF1"/>
    <w:rsid w:val="00B416DE"/>
    <w:rsid w:val="00B43485"/>
    <w:rsid w:val="00B562C8"/>
    <w:rsid w:val="00B6072D"/>
    <w:rsid w:val="00B61C41"/>
    <w:rsid w:val="00B653CB"/>
    <w:rsid w:val="00B6640B"/>
    <w:rsid w:val="00B8720F"/>
    <w:rsid w:val="00BA34E0"/>
    <w:rsid w:val="00BA750B"/>
    <w:rsid w:val="00BB1BB2"/>
    <w:rsid w:val="00BB4292"/>
    <w:rsid w:val="00BC3762"/>
    <w:rsid w:val="00BD17FF"/>
    <w:rsid w:val="00BE1CBC"/>
    <w:rsid w:val="00C0597C"/>
    <w:rsid w:val="00C10B98"/>
    <w:rsid w:val="00C12505"/>
    <w:rsid w:val="00C25793"/>
    <w:rsid w:val="00C26761"/>
    <w:rsid w:val="00C26FDF"/>
    <w:rsid w:val="00C450CF"/>
    <w:rsid w:val="00C47731"/>
    <w:rsid w:val="00C57BD6"/>
    <w:rsid w:val="00C71F6C"/>
    <w:rsid w:val="00C7395A"/>
    <w:rsid w:val="00C822AB"/>
    <w:rsid w:val="00C827FF"/>
    <w:rsid w:val="00C82885"/>
    <w:rsid w:val="00C82F17"/>
    <w:rsid w:val="00C85DEB"/>
    <w:rsid w:val="00C93380"/>
    <w:rsid w:val="00C93D60"/>
    <w:rsid w:val="00CA0F27"/>
    <w:rsid w:val="00CB10A6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0ADC"/>
    <w:rsid w:val="00D36711"/>
    <w:rsid w:val="00D4060A"/>
    <w:rsid w:val="00D5285A"/>
    <w:rsid w:val="00D57AA4"/>
    <w:rsid w:val="00D64BF0"/>
    <w:rsid w:val="00D65579"/>
    <w:rsid w:val="00D6606A"/>
    <w:rsid w:val="00D86583"/>
    <w:rsid w:val="00D874FD"/>
    <w:rsid w:val="00D900DC"/>
    <w:rsid w:val="00D92FBB"/>
    <w:rsid w:val="00DB251A"/>
    <w:rsid w:val="00DB4A67"/>
    <w:rsid w:val="00DE78F2"/>
    <w:rsid w:val="00DE7CF7"/>
    <w:rsid w:val="00E05C77"/>
    <w:rsid w:val="00E061F9"/>
    <w:rsid w:val="00E12F1C"/>
    <w:rsid w:val="00E335E2"/>
    <w:rsid w:val="00E411AD"/>
    <w:rsid w:val="00E41DE0"/>
    <w:rsid w:val="00E42D09"/>
    <w:rsid w:val="00E562BB"/>
    <w:rsid w:val="00E60AC4"/>
    <w:rsid w:val="00E61CD7"/>
    <w:rsid w:val="00E63434"/>
    <w:rsid w:val="00E71EB6"/>
    <w:rsid w:val="00E73BDA"/>
    <w:rsid w:val="00E77022"/>
    <w:rsid w:val="00E81246"/>
    <w:rsid w:val="00E92289"/>
    <w:rsid w:val="00EB2DF9"/>
    <w:rsid w:val="00EC306E"/>
    <w:rsid w:val="00EC526D"/>
    <w:rsid w:val="00EE2CCF"/>
    <w:rsid w:val="00F026D3"/>
    <w:rsid w:val="00F0393D"/>
    <w:rsid w:val="00F10979"/>
    <w:rsid w:val="00F122EC"/>
    <w:rsid w:val="00F4195C"/>
    <w:rsid w:val="00F506E7"/>
    <w:rsid w:val="00F633A3"/>
    <w:rsid w:val="00F66727"/>
    <w:rsid w:val="00F70F9B"/>
    <w:rsid w:val="00F71256"/>
    <w:rsid w:val="00F82F01"/>
    <w:rsid w:val="00FA08A6"/>
    <w:rsid w:val="00FA3697"/>
    <w:rsid w:val="00FB2A1A"/>
    <w:rsid w:val="00FC2A11"/>
    <w:rsid w:val="00FC2CC7"/>
    <w:rsid w:val="00FD2A48"/>
    <w:rsid w:val="00FD330C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28EAC-601F-4A46-88E5-392A322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iPriority w:val="99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3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6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urd@quantenn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Documents\Custom%20Office%20Templates\IEEE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7E65-61DB-400A-A2D7-F3740265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IEEE_2016</Template>
  <TotalTime>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Schelstraete</dc:creator>
  <cp:lastModifiedBy>Sigurd Schelstraete</cp:lastModifiedBy>
  <cp:revision>4</cp:revision>
  <dcterms:created xsi:type="dcterms:W3CDTF">2016-04-20T23:39:00Z</dcterms:created>
  <dcterms:modified xsi:type="dcterms:W3CDTF">2016-04-21T14:03:00Z</dcterms:modified>
</cp:coreProperties>
</file>