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C71F24" w:rsidRDefault="00CA09B2">
      <w:pPr>
        <w:pStyle w:val="T1"/>
        <w:pBdr>
          <w:bottom w:val="single" w:sz="6" w:space="0" w:color="auto"/>
        </w:pBdr>
        <w:spacing w:after="240"/>
        <w:rPr>
          <w:rFonts w:ascii="Arial" w:hAnsi="Arial" w:cs="Arial"/>
        </w:rPr>
      </w:pPr>
      <w:r w:rsidRPr="00C71F24">
        <w:rPr>
          <w:rFonts w:ascii="Arial" w:hAnsi="Arial" w:cs="Arial"/>
        </w:rPr>
        <w:t>IEEE P802.11</w:t>
      </w:r>
      <w:r w:rsidRPr="00C71F24">
        <w:rPr>
          <w:rFonts w:ascii="Arial" w:hAnsi="Arial" w:cs="Arial"/>
        </w:rPr>
        <w:br/>
        <w:t>Wireless LANs</w:t>
      </w:r>
    </w:p>
    <w:tbl>
      <w:tblPr>
        <w:tblW w:w="0" w:type="auto"/>
        <w:jc w:val="center"/>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C71F24" w:rsidTr="00C41A87">
        <w:tblPrEx>
          <w:tblCellMar>
            <w:top w:w="0" w:type="dxa"/>
            <w:bottom w:w="0" w:type="dxa"/>
          </w:tblCellMar>
        </w:tblPrEx>
        <w:trPr>
          <w:trHeight w:val="1566"/>
          <w:jc w:val="center"/>
        </w:trPr>
        <w:tc>
          <w:tcPr>
            <w:tcW w:w="10139" w:type="dxa"/>
            <w:gridSpan w:val="3"/>
            <w:tcBorders>
              <w:top w:val="nil"/>
              <w:left w:val="nil"/>
              <w:bottom w:val="nil"/>
              <w:right w:val="nil"/>
            </w:tcBorders>
            <w:vAlign w:val="center"/>
          </w:tcPr>
          <w:p w:rsidR="00C41A87" w:rsidRPr="00C71F24" w:rsidRDefault="00C41A87" w:rsidP="00C41A87">
            <w:pPr>
              <w:pStyle w:val="T2"/>
              <w:spacing w:after="0"/>
              <w:ind w:left="0" w:right="0"/>
              <w:rPr>
                <w:rFonts w:ascii="Arial" w:hAnsi="Arial" w:cs="Arial"/>
                <w:sz w:val="20"/>
              </w:rPr>
            </w:pPr>
            <w:r w:rsidRPr="00C71F24">
              <w:rPr>
                <w:rFonts w:ascii="Arial" w:hAnsi="Arial" w:cs="Arial"/>
              </w:rPr>
              <w:t>Minutes of IEEE 802 JTC1 Standing Committee</w:t>
            </w:r>
            <w:r w:rsidRPr="00C71F24">
              <w:rPr>
                <w:rFonts w:ascii="Arial" w:hAnsi="Arial" w:cs="Arial"/>
              </w:rPr>
              <w:br/>
              <w:t xml:space="preserve">in </w:t>
            </w:r>
            <w:r>
              <w:rPr>
                <w:rFonts w:ascii="Arial" w:hAnsi="Arial" w:cs="Arial"/>
              </w:rPr>
              <w:t>Macau, China</w:t>
            </w:r>
            <w:r w:rsidRPr="00C71F24">
              <w:rPr>
                <w:rFonts w:ascii="Arial" w:hAnsi="Arial" w:cs="Arial"/>
              </w:rPr>
              <w:br/>
              <w:t xml:space="preserve">in </w:t>
            </w:r>
            <w:r>
              <w:rPr>
                <w:rFonts w:ascii="Arial" w:hAnsi="Arial" w:cs="Arial"/>
              </w:rPr>
              <w:t xml:space="preserve">Mar </w:t>
            </w:r>
            <w:r>
              <w:rPr>
                <w:rFonts w:ascii="Arial" w:hAnsi="Arial" w:cs="Arial"/>
              </w:rPr>
              <w:t xml:space="preserve"> </w:t>
            </w:r>
            <w:r w:rsidRPr="00C71F24">
              <w:rPr>
                <w:rFonts w:ascii="Arial" w:hAnsi="Arial" w:cs="Arial"/>
              </w:rPr>
              <w:t>201</w:t>
            </w:r>
            <w:r>
              <w:rPr>
                <w:rFonts w:ascii="Arial" w:hAnsi="Arial" w:cs="Arial"/>
              </w:rPr>
              <w:t>6</w:t>
            </w:r>
          </w:p>
        </w:tc>
      </w:tr>
      <w:tr w:rsidR="00C41A87" w:rsidRPr="00C71F24" w:rsidTr="00C41A87">
        <w:tblPrEx>
          <w:tblCellMar>
            <w:top w:w="0" w:type="dxa"/>
            <w:bottom w:w="0" w:type="dxa"/>
          </w:tblCellMar>
        </w:tblPrEx>
        <w:trPr>
          <w:trHeight w:val="1135"/>
          <w:jc w:val="center"/>
        </w:trPr>
        <w:tc>
          <w:tcPr>
            <w:tcW w:w="10139" w:type="dxa"/>
            <w:gridSpan w:val="3"/>
            <w:tcBorders>
              <w:top w:val="nil"/>
              <w:left w:val="nil"/>
              <w:bottom w:val="single" w:sz="4" w:space="0" w:color="auto"/>
              <w:right w:val="nil"/>
            </w:tcBorders>
            <w:vAlign w:val="center"/>
          </w:tcPr>
          <w:p w:rsidR="00C41A87" w:rsidRPr="00C71F24" w:rsidRDefault="00C41A87" w:rsidP="00C41A87">
            <w:pPr>
              <w:pStyle w:val="T2"/>
              <w:spacing w:after="0"/>
              <w:ind w:left="0" w:righ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Pr>
                <w:rFonts w:ascii="Arial" w:hAnsi="Arial" w:cs="Arial"/>
                <w:b w:val="0"/>
                <w:sz w:val="20"/>
              </w:rPr>
              <w:t>20160412</w:t>
            </w:r>
          </w:p>
        </w:tc>
      </w:tr>
      <w:tr w:rsidR="00C41A87" w:rsidRPr="00C71F24" w:rsidTr="00C41A87">
        <w:tblPrEx>
          <w:tblCellMar>
            <w:top w:w="0" w:type="dxa"/>
            <w:bottom w:w="0" w:type="dxa"/>
          </w:tblCellMar>
        </w:tblPrEx>
        <w:trPr>
          <w:jc w:val="center"/>
        </w:trPr>
        <w:tc>
          <w:tcPr>
            <w:tcW w:w="10139" w:type="dxa"/>
            <w:gridSpan w:val="3"/>
            <w:tcBorders>
              <w:top w:val="single" w:sz="4" w:space="0" w:color="auto"/>
            </w:tcBorders>
            <w:vAlign w:val="center"/>
          </w:tcPr>
          <w:p w:rsidR="00C41A87" w:rsidRPr="00C71F24" w:rsidRDefault="00C41A87" w:rsidP="000F7BFE">
            <w:pPr>
              <w:pStyle w:val="T2"/>
              <w:spacing w:after="0"/>
              <w:ind w:left="0" w:right="0"/>
              <w:jc w:val="left"/>
              <w:rPr>
                <w:rFonts w:ascii="Arial" w:hAnsi="Arial" w:cs="Arial"/>
                <w:sz w:val="20"/>
              </w:rPr>
            </w:pPr>
            <w:r w:rsidRPr="00C71F24">
              <w:rPr>
                <w:rFonts w:ascii="Arial" w:hAnsi="Arial" w:cs="Arial"/>
                <w:sz w:val="20"/>
              </w:rPr>
              <w:t>Author(s):</w:t>
            </w:r>
          </w:p>
        </w:tc>
      </w:tr>
      <w:tr w:rsidR="00C41A87" w:rsidRPr="00C71F24" w:rsidTr="00C41A87">
        <w:tblPrEx>
          <w:tblCellMar>
            <w:top w:w="0" w:type="dxa"/>
            <w:bottom w:w="0" w:type="dxa"/>
          </w:tblCellMar>
        </w:tblPrEx>
        <w:trPr>
          <w:jc w:val="center"/>
        </w:trPr>
        <w:tc>
          <w:tcPr>
            <w:tcW w:w="1995"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Name</w:t>
            </w:r>
          </w:p>
        </w:tc>
        <w:tc>
          <w:tcPr>
            <w:tcW w:w="2590"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Affiliation</w:t>
            </w:r>
          </w:p>
        </w:tc>
        <w:tc>
          <w:tcPr>
            <w:tcW w:w="5554"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email</w:t>
            </w:r>
          </w:p>
        </w:tc>
      </w:tr>
      <w:tr w:rsidR="00C41A87" w:rsidRPr="00C71F24" w:rsidTr="00C41A87">
        <w:tblPrEx>
          <w:tblCellMar>
            <w:top w:w="0" w:type="dxa"/>
            <w:bottom w:w="0" w:type="dxa"/>
          </w:tblCellMar>
        </w:tblPrEx>
        <w:trPr>
          <w:jc w:val="center"/>
        </w:trPr>
        <w:tc>
          <w:tcPr>
            <w:tcW w:w="1995"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Andrew Myles</w:t>
            </w:r>
          </w:p>
        </w:tc>
        <w:tc>
          <w:tcPr>
            <w:tcW w:w="2590"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Cisco</w:t>
            </w:r>
          </w:p>
        </w:tc>
        <w:tc>
          <w:tcPr>
            <w:tcW w:w="5554" w:type="dxa"/>
            <w:vAlign w:val="center"/>
          </w:tcPr>
          <w:p w:rsidR="00C41A87" w:rsidRPr="00C41A87" w:rsidRDefault="00C41A87" w:rsidP="00506212">
            <w:pPr>
              <w:pStyle w:val="T2"/>
              <w:spacing w:after="0"/>
              <w:ind w:left="0" w:right="0"/>
              <w:jc w:val="left"/>
              <w:rPr>
                <w:rFonts w:ascii="Arial" w:hAnsi="Arial" w:cs="Arial"/>
                <w:b w:val="0"/>
                <w:sz w:val="20"/>
              </w:rPr>
            </w:pPr>
            <w:r w:rsidRPr="00C41A87">
              <w:rPr>
                <w:rFonts w:ascii="Arial" w:hAnsi="Arial" w:cs="Arial"/>
                <w:b w:val="0"/>
                <w:sz w:val="20"/>
              </w:rPr>
              <w:t>amyles@cisco.com</w:t>
            </w:r>
          </w:p>
        </w:tc>
      </w:tr>
      <w:tr w:rsidR="00C41A87" w:rsidRPr="00C71F24" w:rsidTr="00C41A87">
        <w:tblPrEx>
          <w:tblCellMar>
            <w:top w:w="0" w:type="dxa"/>
            <w:bottom w:w="0" w:type="dxa"/>
          </w:tblCellMar>
        </w:tblPrEx>
        <w:trPr>
          <w:jc w:val="center"/>
        </w:trPr>
        <w:tc>
          <w:tcPr>
            <w:tcW w:w="1995" w:type="dxa"/>
            <w:vAlign w:val="center"/>
          </w:tcPr>
          <w:p w:rsidR="00C41A87" w:rsidRPr="00C41A87" w:rsidRDefault="00C41A87" w:rsidP="00C41A87">
            <w:pPr>
              <w:pStyle w:val="T2"/>
              <w:spacing w:after="0"/>
              <w:ind w:left="0" w:right="0"/>
              <w:jc w:val="left"/>
              <w:rPr>
                <w:rFonts w:ascii="Arial" w:hAnsi="Arial" w:cs="Arial"/>
                <w:b w:val="0"/>
                <w:sz w:val="20"/>
              </w:rPr>
            </w:pPr>
            <w:r w:rsidRPr="00C41A87">
              <w:rPr>
                <w:rFonts w:ascii="Arial" w:hAnsi="Arial" w:cs="Arial"/>
                <w:b w:val="0"/>
                <w:sz w:val="20"/>
              </w:rPr>
              <w:t>Peter Yee</w:t>
            </w:r>
          </w:p>
        </w:tc>
        <w:tc>
          <w:tcPr>
            <w:tcW w:w="2590" w:type="dxa"/>
            <w:vAlign w:val="center"/>
          </w:tcPr>
          <w:p w:rsidR="00C41A87" w:rsidRPr="00C41A87" w:rsidRDefault="00C41A87">
            <w:pPr>
              <w:pStyle w:val="T2"/>
              <w:spacing w:after="0"/>
              <w:ind w:left="0" w:right="0"/>
              <w:rPr>
                <w:rFonts w:ascii="Arial" w:hAnsi="Arial" w:cs="Arial"/>
                <w:b w:val="0"/>
                <w:sz w:val="20"/>
              </w:rPr>
            </w:pPr>
          </w:p>
        </w:tc>
        <w:tc>
          <w:tcPr>
            <w:tcW w:w="5554" w:type="dxa"/>
            <w:vAlign w:val="center"/>
          </w:tcPr>
          <w:p w:rsidR="00C41A87" w:rsidRPr="00C41A87" w:rsidRDefault="00C41A87" w:rsidP="00C41A87">
            <w:pPr>
              <w:pStyle w:val="T2"/>
              <w:spacing w:after="0"/>
              <w:ind w:left="0" w:right="0"/>
              <w:jc w:val="left"/>
              <w:rPr>
                <w:rFonts w:ascii="Arial" w:hAnsi="Arial" w:cs="Arial"/>
                <w:b w:val="0"/>
                <w:sz w:val="20"/>
              </w:rPr>
            </w:pPr>
            <w:r w:rsidRPr="00C41A87">
              <w:rPr>
                <w:rFonts w:ascii="Arial" w:hAnsi="Arial" w:cs="Arial"/>
                <w:b w:val="0"/>
                <w:sz w:val="20"/>
              </w:rPr>
              <w:t>peter@akayla.com</w:t>
            </w:r>
          </w:p>
        </w:tc>
      </w:tr>
    </w:tbl>
    <w:p w:rsidR="00CA09B2" w:rsidRPr="00C71F24" w:rsidRDefault="00732CAB">
      <w:pPr>
        <w:pStyle w:val="T1"/>
        <w:spacing w:after="120"/>
        <w:rPr>
          <w:rFonts w:ascii="Arial" w:hAnsi="Arial" w:cs="Arial"/>
          <w:sz w:val="22"/>
        </w:rPr>
      </w:pPr>
      <w:r>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Default="0062716A">
                            <w:pPr>
                              <w:pStyle w:val="T1"/>
                              <w:spacing w:after="120"/>
                            </w:pPr>
                            <w:r>
                              <w:t>Abstract</w:t>
                            </w:r>
                          </w:p>
                          <w:p w:rsidR="0062716A" w:rsidRDefault="0062716A">
                            <w:pPr>
                              <w:jc w:val="both"/>
                            </w:pPr>
                            <w:r>
                              <w:t xml:space="preserve">Minutes of </w:t>
                            </w:r>
                            <w:r w:rsidR="00127769">
                              <w:t xml:space="preserve">IEEE 802 </w:t>
                            </w:r>
                            <w:r>
                              <w:t xml:space="preserve">JTC1 </w:t>
                            </w:r>
                            <w:r w:rsidR="00127769">
                              <w:t xml:space="preserve">Standing Commitee </w:t>
                            </w:r>
                            <w:r w:rsidR="00EC0859">
                              <w:t>sessions</w:t>
                            </w:r>
                            <w:r>
                              <w:t xml:space="preserve"> at </w:t>
                            </w:r>
                            <w:r w:rsidR="00BF0E4E">
                              <w:t xml:space="preserve">IEEE 802 plenary session in </w:t>
                            </w:r>
                            <w:r w:rsidR="00C41A87">
                              <w:t>Macau, China</w:t>
                            </w:r>
                            <w:r>
                              <w:t xml:space="preserve"> in </w:t>
                            </w:r>
                            <w:r w:rsidR="00C41A87">
                              <w:t>March</w:t>
                            </w:r>
                            <w:r w:rsidR="00256BBD">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Default="0062716A">
                      <w:pPr>
                        <w:pStyle w:val="T1"/>
                        <w:spacing w:after="120"/>
                      </w:pPr>
                      <w:r>
                        <w:t>Abstract</w:t>
                      </w:r>
                    </w:p>
                    <w:p w:rsidR="0062716A" w:rsidRDefault="0062716A">
                      <w:pPr>
                        <w:jc w:val="both"/>
                      </w:pPr>
                      <w:r>
                        <w:t xml:space="preserve">Minutes of </w:t>
                      </w:r>
                      <w:r w:rsidR="00127769">
                        <w:t xml:space="preserve">IEEE 802 </w:t>
                      </w:r>
                      <w:r>
                        <w:t xml:space="preserve">JTC1 </w:t>
                      </w:r>
                      <w:r w:rsidR="00127769">
                        <w:t xml:space="preserve">Standing Commitee </w:t>
                      </w:r>
                      <w:r w:rsidR="00EC0859">
                        <w:t>sessions</w:t>
                      </w:r>
                      <w:r>
                        <w:t xml:space="preserve"> at </w:t>
                      </w:r>
                      <w:r w:rsidR="00BF0E4E">
                        <w:t xml:space="preserve">IEEE 802 plenary session in </w:t>
                      </w:r>
                      <w:r w:rsidR="00C41A87">
                        <w:t>Macau, China</w:t>
                      </w:r>
                      <w:r>
                        <w:t xml:space="preserve"> in </w:t>
                      </w:r>
                      <w:r w:rsidR="00C41A87">
                        <w:t>March</w:t>
                      </w:r>
                      <w:r w:rsidR="00256BBD">
                        <w:t xml:space="preserve"> 2016</w:t>
                      </w:r>
                    </w:p>
                  </w:txbxContent>
                </v:textbox>
              </v:shape>
            </w:pict>
          </mc:Fallback>
        </mc:AlternateContent>
      </w:r>
    </w:p>
    <w:p w:rsidR="0000075F" w:rsidRDefault="00CA09B2" w:rsidP="009927FC">
      <w:pPr>
        <w:pStyle w:val="Heading1"/>
      </w:pPr>
      <w:r w:rsidRPr="00C71F24">
        <w:br w:type="page"/>
      </w:r>
      <w:r w:rsidR="0087484A" w:rsidRPr="00C71F24">
        <w:lastRenderedPageBreak/>
        <w:t>Minutes of Meeting</w:t>
      </w:r>
      <w:r w:rsidR="00385A3D" w:rsidRPr="00C71F24">
        <w:t xml:space="preserve"> on</w:t>
      </w:r>
      <w:r w:rsidR="0087484A" w:rsidRPr="00C71F24">
        <w:t xml:space="preserve"> </w:t>
      </w:r>
      <w:r w:rsidR="00053842">
        <w:t>Tue</w:t>
      </w:r>
      <w:r w:rsidR="00C41A87">
        <w:t>,</w:t>
      </w:r>
      <w:r w:rsidR="00F940B7">
        <w:t xml:space="preserve"> </w:t>
      </w:r>
      <w:r w:rsidR="00C41A87">
        <w:t>15 Mar</w:t>
      </w:r>
      <w:r w:rsidR="001B5F9E">
        <w:t xml:space="preserve"> </w:t>
      </w:r>
      <w:r w:rsidR="00256BBD">
        <w:t>2016</w:t>
      </w:r>
      <w:r w:rsidR="0000075F">
        <w:rPr>
          <w:rFonts w:ascii="Helv" w:hAnsi="Helv"/>
        </w:rPr>
        <w:t> </w:t>
      </w:r>
    </w:p>
    <w:p w:rsidR="009927FC" w:rsidRDefault="009927FC" w:rsidP="009927FC">
      <w:pPr>
        <w:pStyle w:val="Heading3"/>
      </w:pPr>
      <w:r>
        <w:t>Order</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 Chair, Andrew Myles, called the JTC1 SC meeting to order at 1:35 p.m.</w:t>
      </w:r>
    </w:p>
    <w:p w:rsidR="00C41A87" w:rsidRPr="00C41A87" w:rsidRDefault="00C41A87" w:rsidP="00C41A87">
      <w:pPr>
        <w:pStyle w:val="Heading3"/>
      </w:pPr>
      <w:r>
        <w:t>Agenda</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 SC agenda is found in 11-16/0330r02. Subir Das moved approval of the agenda. Dan Harkins seconded the motion. The agenda was accepted without modification.</w:t>
      </w:r>
    </w:p>
    <w:p w:rsidR="00C41A87" w:rsidRPr="00C41A87" w:rsidRDefault="00C41A87" w:rsidP="00C41A87">
      <w:pPr>
        <w:pStyle w:val="Heading3"/>
      </w:pPr>
      <w:r>
        <w:t>Minutes</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Dan Harkins moved to approve the minutes (11-16/0255r00) of the Atlanta meeting. Subir Das seconded the motion. The motion was approved unanimously.</w:t>
      </w:r>
    </w:p>
    <w:p w:rsidR="00C41A87" w:rsidRPr="00C41A87" w:rsidRDefault="00C41A87" w:rsidP="00C41A87">
      <w:pPr>
        <w:pStyle w:val="Heading3"/>
      </w:pPr>
      <w:r>
        <w:t>Goals</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 goals of the SC (from slide 11) were reiterated for those who have not previously attended meetings of the group.</w:t>
      </w:r>
    </w:p>
    <w:p w:rsidR="00C41A87" w:rsidRPr="00C41A87" w:rsidRDefault="00C41A87" w:rsidP="00C41A87">
      <w:pPr>
        <w:pStyle w:val="Heading3"/>
      </w:pPr>
      <w:r>
        <w:t>Meeting goals</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 main efforts of this meeting will be to an update on the status of various IEEE 802 documents that are making their way through the PSDO process or are</w:t>
      </w:r>
      <w:r>
        <w:rPr>
          <w:rFonts w:ascii="Calibri" w:hAnsi="Calibri"/>
          <w:color w:val="000000"/>
          <w:sz w:val="21"/>
          <w:szCs w:val="21"/>
        </w:rPr>
        <w:t xml:space="preserve"> near to entering that process.</w:t>
      </w:r>
    </w:p>
    <w:p w:rsidR="00C41A87" w:rsidRP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An update on the outcome of the recently concluded JTC1/SC6 meeting in Xi’an, CN will also be given.</w:t>
      </w:r>
    </w:p>
    <w:p w:rsidR="00C41A87" w:rsidRDefault="00C41A87" w:rsidP="00C41A87">
      <w:pPr>
        <w:pStyle w:val="Heading3"/>
      </w:pPr>
      <w:r>
        <w:t>802.11 updates</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 xml:space="preserve">IEEE 802.11ah D6.0 may be ready </w:t>
      </w:r>
      <w:r>
        <w:rPr>
          <w:rFonts w:ascii="Calibri" w:hAnsi="Calibri"/>
          <w:color w:val="000000"/>
          <w:sz w:val="21"/>
          <w:szCs w:val="21"/>
        </w:rPr>
        <w:t>to send in liaison to JTC1/SC6.</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Myles will discuss t</w:t>
      </w:r>
      <w:r>
        <w:rPr>
          <w:rFonts w:ascii="Calibri" w:hAnsi="Calibri"/>
          <w:color w:val="000000"/>
          <w:sz w:val="21"/>
          <w:szCs w:val="21"/>
        </w:rPr>
        <w:t>hat with the IEEE 802.11 chair.</w:t>
      </w:r>
    </w:p>
    <w:p w:rsidR="00C41A87" w:rsidRDefault="00C41A87" w:rsidP="00C41A87">
      <w:pPr>
        <w:pStyle w:val="Heading3"/>
      </w:pPr>
      <w:r>
        <w:t>802.11 updates</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IEEE 802.1 will be sending additional documents to JTC1/</w:t>
      </w:r>
      <w:r>
        <w:rPr>
          <w:rFonts w:ascii="Calibri" w:hAnsi="Calibri"/>
          <w:color w:val="000000"/>
          <w:sz w:val="21"/>
          <w:szCs w:val="21"/>
        </w:rPr>
        <w:t>SC6 coming out of this meeting.</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John Messenger (NXP Semiconductor) noted that IEEE 802.1AB-2016, IEEE 802.1Qca-2015, and IEEE 802.1Qbv-2015 are ready to enter</w:t>
      </w:r>
      <w:r>
        <w:rPr>
          <w:rFonts w:ascii="Calibri" w:hAnsi="Calibri"/>
          <w:color w:val="000000"/>
          <w:sz w:val="21"/>
          <w:szCs w:val="21"/>
        </w:rPr>
        <w:t xml:space="preserve"> the PSDO ratification process.</w:t>
      </w:r>
    </w:p>
    <w:p w:rsidR="00986360" w:rsidRDefault="00C41A87" w:rsidP="00986360">
      <w:pPr>
        <w:keepNext/>
        <w:numPr>
          <w:ilvl w:val="0"/>
          <w:numId w:val="29"/>
        </w:numPr>
        <w:rPr>
          <w:rFonts w:ascii="Calibri" w:hAnsi="Calibri"/>
          <w:color w:val="000000"/>
          <w:sz w:val="21"/>
          <w:szCs w:val="21"/>
        </w:rPr>
      </w:pPr>
      <w:r w:rsidRPr="00C41A87">
        <w:rPr>
          <w:rFonts w:ascii="Calibri" w:hAnsi="Calibri"/>
          <w:color w:val="000000"/>
          <w:sz w:val="21"/>
          <w:szCs w:val="21"/>
        </w:rPr>
        <w:t>IEEE 802.1Qcd-2015 is also ready to go and will be appro</w:t>
      </w:r>
      <w:r w:rsidR="00986360">
        <w:rPr>
          <w:rFonts w:ascii="Calibri" w:hAnsi="Calibri"/>
          <w:color w:val="000000"/>
          <w:sz w:val="21"/>
          <w:szCs w:val="21"/>
        </w:rPr>
        <w:t>ved for release on Thursday.</w:t>
      </w:r>
    </w:p>
    <w:p w:rsidR="00986360" w:rsidRDefault="00C41A87" w:rsidP="00986360">
      <w:pPr>
        <w:keepNext/>
        <w:numPr>
          <w:ilvl w:val="1"/>
          <w:numId w:val="29"/>
        </w:numPr>
        <w:rPr>
          <w:rFonts w:ascii="Calibri" w:hAnsi="Calibri"/>
          <w:color w:val="000000"/>
          <w:sz w:val="21"/>
          <w:szCs w:val="21"/>
        </w:rPr>
      </w:pPr>
      <w:r w:rsidRPr="00C41A87">
        <w:rPr>
          <w:rFonts w:ascii="Calibri" w:hAnsi="Calibri"/>
          <w:color w:val="000000"/>
          <w:sz w:val="21"/>
          <w:szCs w:val="21"/>
        </w:rPr>
        <w:t>Karen Randall will be preparin</w:t>
      </w:r>
      <w:r w:rsidR="00986360">
        <w:rPr>
          <w:rFonts w:ascii="Calibri" w:hAnsi="Calibri"/>
          <w:color w:val="000000"/>
          <w:sz w:val="21"/>
          <w:szCs w:val="21"/>
        </w:rPr>
        <w:t>g the motion for that document</w:t>
      </w:r>
    </w:p>
    <w:p w:rsidR="00986360"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 expectation is that these documents will be ready for thei</w:t>
      </w:r>
      <w:r w:rsidR="00986360">
        <w:rPr>
          <w:rFonts w:ascii="Calibri" w:hAnsi="Calibri"/>
          <w:color w:val="000000"/>
          <w:sz w:val="21"/>
          <w:szCs w:val="21"/>
        </w:rPr>
        <w:t>r 5-month FDIS ballots in July.</w:t>
      </w:r>
    </w:p>
    <w:p w:rsidR="00986360"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IEEE 802.1Qbu is i</w:t>
      </w:r>
      <w:r w:rsidR="00986360">
        <w:rPr>
          <w:rFonts w:ascii="Calibri" w:hAnsi="Calibri"/>
          <w:color w:val="000000"/>
          <w:sz w:val="21"/>
          <w:szCs w:val="21"/>
        </w:rPr>
        <w:t>n Sponsor Ballot recirculation.</w:t>
      </w:r>
    </w:p>
    <w:p w:rsidR="00986360" w:rsidRDefault="00C41A87" w:rsidP="00986360">
      <w:pPr>
        <w:keepNext/>
        <w:numPr>
          <w:ilvl w:val="1"/>
          <w:numId w:val="29"/>
        </w:numPr>
        <w:rPr>
          <w:rFonts w:ascii="Calibri" w:hAnsi="Calibri"/>
          <w:color w:val="000000"/>
          <w:sz w:val="21"/>
          <w:szCs w:val="21"/>
        </w:rPr>
      </w:pPr>
      <w:r w:rsidRPr="00C41A87">
        <w:rPr>
          <w:rFonts w:ascii="Calibri" w:hAnsi="Calibri"/>
          <w:color w:val="000000"/>
          <w:sz w:val="21"/>
          <w:szCs w:val="21"/>
        </w:rPr>
        <w:t>A draft of that document was se</w:t>
      </w:r>
      <w:r w:rsidR="00986360">
        <w:rPr>
          <w:rFonts w:ascii="Calibri" w:hAnsi="Calibri"/>
          <w:color w:val="000000"/>
          <w:sz w:val="21"/>
          <w:szCs w:val="21"/>
        </w:rPr>
        <w:t>nt informationally in November.</w:t>
      </w:r>
    </w:p>
    <w:p w:rsidR="00986360" w:rsidRDefault="00C41A87" w:rsidP="00986360">
      <w:pPr>
        <w:keepNext/>
        <w:numPr>
          <w:ilvl w:val="1"/>
          <w:numId w:val="29"/>
        </w:numPr>
        <w:rPr>
          <w:rFonts w:ascii="Calibri" w:hAnsi="Calibri"/>
          <w:color w:val="000000"/>
          <w:sz w:val="21"/>
          <w:szCs w:val="21"/>
        </w:rPr>
      </w:pPr>
      <w:r w:rsidRPr="00C41A87">
        <w:rPr>
          <w:rFonts w:ascii="Calibri" w:hAnsi="Calibri"/>
          <w:color w:val="000000"/>
          <w:sz w:val="21"/>
          <w:szCs w:val="21"/>
        </w:rPr>
        <w:t>IEEE 802.1Qbu will be sent to IEEE RevCom once</w:t>
      </w:r>
      <w:r w:rsidR="00986360">
        <w:rPr>
          <w:rFonts w:ascii="Calibri" w:hAnsi="Calibri"/>
          <w:color w:val="000000"/>
          <w:sz w:val="21"/>
          <w:szCs w:val="21"/>
        </w:rPr>
        <w:t xml:space="preserve"> IEEE 802.3br is further along.</w:t>
      </w:r>
    </w:p>
    <w:p w:rsidR="00986360" w:rsidRDefault="00C41A87" w:rsidP="00986360">
      <w:pPr>
        <w:keepNext/>
        <w:numPr>
          <w:ilvl w:val="0"/>
          <w:numId w:val="29"/>
        </w:numPr>
        <w:rPr>
          <w:rFonts w:ascii="Calibri" w:hAnsi="Calibri"/>
          <w:color w:val="000000"/>
          <w:sz w:val="21"/>
          <w:szCs w:val="21"/>
        </w:rPr>
      </w:pPr>
      <w:r w:rsidRPr="00C41A87">
        <w:rPr>
          <w:rFonts w:ascii="Calibri" w:hAnsi="Calibri"/>
          <w:color w:val="000000"/>
          <w:sz w:val="21"/>
          <w:szCs w:val="21"/>
        </w:rPr>
        <w:t>IEEE 802.1Qbz is in a recirculation Sponsor Ballot, and has been updated since it was liaised.</w:t>
      </w:r>
    </w:p>
    <w:p w:rsidR="00986360" w:rsidRDefault="00C41A87" w:rsidP="00986360">
      <w:pPr>
        <w:keepNext/>
        <w:numPr>
          <w:ilvl w:val="0"/>
          <w:numId w:val="29"/>
        </w:numPr>
        <w:rPr>
          <w:rFonts w:ascii="Calibri" w:hAnsi="Calibri"/>
          <w:color w:val="000000"/>
          <w:sz w:val="21"/>
          <w:szCs w:val="21"/>
        </w:rPr>
      </w:pPr>
      <w:r w:rsidRPr="00C41A87">
        <w:rPr>
          <w:rFonts w:ascii="Calibri" w:hAnsi="Calibri"/>
          <w:color w:val="000000"/>
          <w:sz w:val="21"/>
          <w:szCs w:val="21"/>
        </w:rPr>
        <w:t xml:space="preserve">IEEE 802.1AC-REV is a bit stalled in its </w:t>
      </w:r>
      <w:r w:rsidR="00986360">
        <w:rPr>
          <w:rFonts w:ascii="Calibri" w:hAnsi="Calibri"/>
          <w:color w:val="000000"/>
          <w:sz w:val="21"/>
          <w:szCs w:val="21"/>
        </w:rPr>
        <w:t>approval process.</w:t>
      </w:r>
    </w:p>
    <w:p w:rsidR="00986360" w:rsidRDefault="00986360" w:rsidP="00986360">
      <w:pPr>
        <w:pStyle w:val="Heading3"/>
      </w:pPr>
      <w:r>
        <w:t>802.3 updates</w:t>
      </w:r>
    </w:p>
    <w:p w:rsidR="00986360" w:rsidRDefault="00C41A87" w:rsidP="00986360">
      <w:pPr>
        <w:keepNext/>
        <w:numPr>
          <w:ilvl w:val="0"/>
          <w:numId w:val="29"/>
        </w:numPr>
        <w:rPr>
          <w:rFonts w:ascii="Calibri" w:hAnsi="Calibri"/>
          <w:color w:val="000000"/>
          <w:sz w:val="21"/>
          <w:szCs w:val="21"/>
        </w:rPr>
      </w:pPr>
      <w:r w:rsidRPr="00C41A87">
        <w:rPr>
          <w:rFonts w:ascii="Calibri" w:hAnsi="Calibri"/>
          <w:color w:val="000000"/>
          <w:sz w:val="21"/>
          <w:szCs w:val="21"/>
        </w:rPr>
        <w:t>IEEE 802.</w:t>
      </w:r>
      <w:r w:rsidR="00986360">
        <w:rPr>
          <w:rFonts w:ascii="Calibri" w:hAnsi="Calibri"/>
          <w:color w:val="000000"/>
          <w:sz w:val="21"/>
          <w:szCs w:val="21"/>
        </w:rPr>
        <w:t>3 sent 5 documents in February.</w:t>
      </w:r>
    </w:p>
    <w:p w:rsidR="00986360" w:rsidRDefault="00986360" w:rsidP="00986360">
      <w:pPr>
        <w:pStyle w:val="Heading3"/>
      </w:pPr>
      <w:r>
        <w:t>802.15</w:t>
      </w:r>
      <w:r>
        <w:t xml:space="preserve"> updates</w:t>
      </w:r>
    </w:p>
    <w:p w:rsidR="0010535D" w:rsidRDefault="00C41A87" w:rsidP="00986360">
      <w:pPr>
        <w:keepNext/>
        <w:numPr>
          <w:ilvl w:val="0"/>
          <w:numId w:val="29"/>
        </w:numPr>
        <w:rPr>
          <w:rFonts w:ascii="Calibri" w:hAnsi="Calibri"/>
          <w:color w:val="000000"/>
          <w:sz w:val="21"/>
          <w:szCs w:val="21"/>
        </w:rPr>
      </w:pPr>
      <w:r w:rsidRPr="00C41A87">
        <w:rPr>
          <w:rFonts w:ascii="Calibri" w:hAnsi="Calibri"/>
          <w:color w:val="000000"/>
          <w:sz w:val="21"/>
          <w:szCs w:val="21"/>
        </w:rPr>
        <w:t>IEEE 802.15.3 has been sent, while IEEE 802.15.4-2015, IEEE 802.15.6, and maybe IEEE 802.15.9 will probably be authorized for release during the week, although Soo Kim (IEEE Staff) will verify if IEEE 802.15.9, as a Recommended Practice, can be sent</w:t>
      </w:r>
      <w:r w:rsidR="0010535D">
        <w:rPr>
          <w:rFonts w:ascii="Calibri" w:hAnsi="Calibri"/>
          <w:color w:val="000000"/>
          <w:sz w:val="21"/>
          <w:szCs w:val="21"/>
        </w:rPr>
        <w:t xml:space="preserve"> or if only standards are sent.</w:t>
      </w:r>
    </w:p>
    <w:p w:rsidR="0010535D" w:rsidRDefault="00C41A87" w:rsidP="00986360">
      <w:pPr>
        <w:keepNext/>
        <w:numPr>
          <w:ilvl w:val="0"/>
          <w:numId w:val="29"/>
        </w:numPr>
        <w:rPr>
          <w:rFonts w:ascii="Calibri" w:hAnsi="Calibri"/>
          <w:color w:val="000000"/>
          <w:sz w:val="21"/>
          <w:szCs w:val="21"/>
        </w:rPr>
      </w:pPr>
      <w:r w:rsidRPr="00C41A87">
        <w:rPr>
          <w:rFonts w:ascii="Calibri" w:hAnsi="Calibri"/>
          <w:color w:val="000000"/>
          <w:sz w:val="21"/>
          <w:szCs w:val="21"/>
        </w:rPr>
        <w:t>IEEE 802.21-Rev will probabl</w:t>
      </w:r>
      <w:r w:rsidR="0010535D">
        <w:rPr>
          <w:rFonts w:ascii="Calibri" w:hAnsi="Calibri"/>
          <w:color w:val="000000"/>
          <w:sz w:val="21"/>
          <w:szCs w:val="21"/>
        </w:rPr>
        <w:t>y go to Sponsor Ballot in July.</w:t>
      </w:r>
    </w:p>
    <w:p w:rsidR="0010535D" w:rsidRDefault="00C41A87" w:rsidP="00986360">
      <w:pPr>
        <w:keepNext/>
        <w:numPr>
          <w:ilvl w:val="0"/>
          <w:numId w:val="29"/>
        </w:numPr>
        <w:rPr>
          <w:rFonts w:ascii="Calibri" w:hAnsi="Calibri"/>
          <w:color w:val="000000"/>
          <w:sz w:val="21"/>
          <w:szCs w:val="21"/>
        </w:rPr>
      </w:pPr>
      <w:r w:rsidRPr="00C41A87">
        <w:rPr>
          <w:rFonts w:ascii="Calibri" w:hAnsi="Calibri"/>
          <w:color w:val="000000"/>
          <w:sz w:val="21"/>
          <w:szCs w:val="21"/>
        </w:rPr>
        <w:t>IEEE 802.21.1 will also be se</w:t>
      </w:r>
      <w:r w:rsidR="0010535D">
        <w:rPr>
          <w:rFonts w:ascii="Calibri" w:hAnsi="Calibri"/>
          <w:color w:val="000000"/>
          <w:sz w:val="21"/>
          <w:szCs w:val="21"/>
        </w:rPr>
        <w:t>nt out for Sponsor Ballot then.</w:t>
      </w:r>
    </w:p>
    <w:p w:rsidR="0010535D" w:rsidRDefault="00C41A87" w:rsidP="00986360">
      <w:pPr>
        <w:keepNext/>
        <w:numPr>
          <w:ilvl w:val="0"/>
          <w:numId w:val="29"/>
        </w:numPr>
        <w:rPr>
          <w:rFonts w:ascii="Calibri" w:hAnsi="Calibri"/>
          <w:color w:val="000000"/>
          <w:sz w:val="21"/>
          <w:szCs w:val="21"/>
        </w:rPr>
      </w:pPr>
      <w:r w:rsidRPr="00C41A87">
        <w:rPr>
          <w:rFonts w:ascii="Calibri" w:hAnsi="Calibri"/>
          <w:color w:val="000000"/>
          <w:sz w:val="21"/>
          <w:szCs w:val="21"/>
        </w:rPr>
        <w:t xml:space="preserve">Myles suggested that IEEE 802.21 send the draft documents for information to JTC1/SC6 at the time they are sent to Sponsor Ballot. </w:t>
      </w:r>
    </w:p>
    <w:p w:rsidR="00C41A87" w:rsidRPr="00C41A87" w:rsidRDefault="00C41A87" w:rsidP="00986360">
      <w:pPr>
        <w:keepNext/>
        <w:numPr>
          <w:ilvl w:val="0"/>
          <w:numId w:val="29"/>
        </w:numPr>
        <w:rPr>
          <w:rFonts w:ascii="Calibri" w:hAnsi="Calibri"/>
          <w:color w:val="000000"/>
          <w:sz w:val="21"/>
          <w:szCs w:val="21"/>
        </w:rPr>
      </w:pPr>
      <w:r w:rsidRPr="00C41A87">
        <w:rPr>
          <w:rFonts w:ascii="Calibri" w:hAnsi="Calibri"/>
          <w:color w:val="000000"/>
          <w:sz w:val="21"/>
          <w:szCs w:val="21"/>
        </w:rPr>
        <w:lastRenderedPageBreak/>
        <w:t>The IEEE 802.21 WG will need to obtain approval of the EC to forward its documents, as is usual.</w:t>
      </w:r>
    </w:p>
    <w:p w:rsidR="0010535D" w:rsidRDefault="0010535D" w:rsidP="0010535D">
      <w:pPr>
        <w:pStyle w:val="Heading3"/>
      </w:pPr>
      <w:r>
        <w:t>PSDO status</w:t>
      </w:r>
    </w:p>
    <w:p w:rsidR="0010535D"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There are 11 documents that are in the PSDO</w:t>
      </w:r>
      <w:r w:rsidR="0010535D">
        <w:rPr>
          <w:rFonts w:ascii="Calibri" w:hAnsi="Calibri"/>
          <w:color w:val="000000"/>
          <w:sz w:val="21"/>
          <w:szCs w:val="21"/>
        </w:rPr>
        <w:t xml:space="preserve"> approval process or nearly so.</w:t>
      </w:r>
    </w:p>
    <w:p w:rsidR="0010535D"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 xml:space="preserve">IEEE 802.1Xbx-2014 completed </w:t>
      </w:r>
      <w:r w:rsidR="0010535D">
        <w:rPr>
          <w:rFonts w:ascii="Calibri" w:hAnsi="Calibri"/>
          <w:color w:val="000000"/>
          <w:sz w:val="21"/>
          <w:szCs w:val="21"/>
        </w:rPr>
        <w:t>its 5-month ballot in December.</w:t>
      </w:r>
    </w:p>
    <w:p w:rsidR="0010535D" w:rsidRDefault="00C41A87" w:rsidP="0010535D">
      <w:pPr>
        <w:keepNext/>
        <w:numPr>
          <w:ilvl w:val="1"/>
          <w:numId w:val="29"/>
        </w:numPr>
        <w:rPr>
          <w:rFonts w:ascii="Calibri" w:hAnsi="Calibri"/>
          <w:color w:val="000000"/>
          <w:sz w:val="21"/>
          <w:szCs w:val="21"/>
        </w:rPr>
      </w:pPr>
      <w:r w:rsidRPr="00C41A87">
        <w:rPr>
          <w:rFonts w:ascii="Calibri" w:hAnsi="Calibri"/>
          <w:color w:val="000000"/>
          <w:sz w:val="21"/>
          <w:szCs w:val="21"/>
        </w:rPr>
        <w:t>Responses to the ballot comments will b</w:t>
      </w:r>
      <w:r w:rsidR="0010535D">
        <w:rPr>
          <w:rFonts w:ascii="Calibri" w:hAnsi="Calibri"/>
          <w:color w:val="000000"/>
          <w:sz w:val="21"/>
          <w:szCs w:val="21"/>
        </w:rPr>
        <w:t>e approved during this meeting.</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 xml:space="preserve">IEEE 802.1Q-2014 received one comment from the China NB requesting the removal of IEEE 802.1X-2010 from its references. </w:t>
      </w:r>
    </w:p>
    <w:p w:rsidR="0010535D" w:rsidRDefault="00C41A87" w:rsidP="0010535D">
      <w:pPr>
        <w:keepNext/>
        <w:numPr>
          <w:ilvl w:val="1"/>
          <w:numId w:val="29"/>
        </w:numPr>
        <w:rPr>
          <w:rFonts w:ascii="Calibri" w:hAnsi="Calibri"/>
          <w:color w:val="000000"/>
          <w:sz w:val="21"/>
          <w:szCs w:val="21"/>
        </w:rPr>
      </w:pPr>
      <w:r w:rsidRPr="00C41A87">
        <w:rPr>
          <w:rFonts w:ascii="Calibri" w:hAnsi="Calibri"/>
          <w:color w:val="000000"/>
          <w:sz w:val="21"/>
          <w:szCs w:val="21"/>
        </w:rPr>
        <w:t>IEEE 802.1 looked at doing so at this meeting and determined</w:t>
      </w:r>
      <w:r w:rsidR="0010535D">
        <w:rPr>
          <w:rFonts w:ascii="Calibri" w:hAnsi="Calibri"/>
          <w:color w:val="000000"/>
          <w:sz w:val="21"/>
          <w:szCs w:val="21"/>
        </w:rPr>
        <w:t xml:space="preserve"> that they cannot be decoupled.</w:t>
      </w:r>
    </w:p>
    <w:p w:rsidR="0010535D" w:rsidRDefault="00C41A87" w:rsidP="0010535D">
      <w:pPr>
        <w:keepNext/>
        <w:numPr>
          <w:ilvl w:val="1"/>
          <w:numId w:val="29"/>
        </w:numPr>
        <w:rPr>
          <w:rFonts w:ascii="Calibri" w:hAnsi="Calibri"/>
          <w:color w:val="000000"/>
          <w:sz w:val="21"/>
          <w:szCs w:val="21"/>
        </w:rPr>
      </w:pPr>
      <w:r w:rsidRPr="00C41A87">
        <w:rPr>
          <w:rFonts w:ascii="Calibri" w:hAnsi="Calibri"/>
          <w:color w:val="000000"/>
          <w:sz w:val="21"/>
          <w:szCs w:val="21"/>
        </w:rPr>
        <w:t xml:space="preserve">That response will be approved for return </w:t>
      </w:r>
      <w:r w:rsidR="0010535D">
        <w:rPr>
          <w:rFonts w:ascii="Calibri" w:hAnsi="Calibri"/>
          <w:color w:val="000000"/>
          <w:sz w:val="21"/>
          <w:szCs w:val="21"/>
        </w:rPr>
        <w:t>to JTC1/SC6 during this meeting</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IEEE 802.1BR-2012 finishe</w:t>
      </w:r>
      <w:r w:rsidR="0010535D">
        <w:rPr>
          <w:rFonts w:ascii="Calibri" w:hAnsi="Calibri"/>
          <w:color w:val="000000"/>
          <w:sz w:val="21"/>
          <w:szCs w:val="21"/>
        </w:rPr>
        <w:t>d its 60-day ballot in January.</w:t>
      </w:r>
    </w:p>
    <w:p w:rsidR="0010535D" w:rsidRDefault="00C41A87" w:rsidP="0010535D">
      <w:pPr>
        <w:keepNext/>
        <w:numPr>
          <w:ilvl w:val="1"/>
          <w:numId w:val="29"/>
        </w:numPr>
        <w:rPr>
          <w:rFonts w:ascii="Calibri" w:hAnsi="Calibri"/>
          <w:color w:val="000000"/>
          <w:sz w:val="21"/>
          <w:szCs w:val="21"/>
        </w:rPr>
      </w:pPr>
      <w:r w:rsidRPr="00C41A87">
        <w:rPr>
          <w:rFonts w:ascii="Calibri" w:hAnsi="Calibri"/>
          <w:color w:val="000000"/>
          <w:sz w:val="21"/>
          <w:szCs w:val="21"/>
        </w:rPr>
        <w:t>A response to comments was sent in Janua</w:t>
      </w:r>
      <w:r w:rsidR="0010535D">
        <w:rPr>
          <w:rFonts w:ascii="Calibri" w:hAnsi="Calibri"/>
          <w:color w:val="000000"/>
          <w:sz w:val="21"/>
          <w:szCs w:val="21"/>
        </w:rPr>
        <w:t>ry.</w:t>
      </w:r>
    </w:p>
    <w:p w:rsidR="0010535D" w:rsidRDefault="00C41A87" w:rsidP="0010535D">
      <w:pPr>
        <w:keepNext/>
        <w:numPr>
          <w:ilvl w:val="1"/>
          <w:numId w:val="29"/>
        </w:numPr>
        <w:rPr>
          <w:rFonts w:ascii="Calibri" w:hAnsi="Calibri"/>
          <w:color w:val="000000"/>
          <w:sz w:val="21"/>
          <w:szCs w:val="21"/>
        </w:rPr>
      </w:pPr>
      <w:r w:rsidRPr="00C41A87">
        <w:rPr>
          <w:rFonts w:ascii="Calibri" w:hAnsi="Calibri"/>
          <w:color w:val="000000"/>
          <w:sz w:val="21"/>
          <w:szCs w:val="21"/>
        </w:rPr>
        <w:t>The 5-month FDIS ballot still does n</w:t>
      </w:r>
      <w:r w:rsidR="0010535D">
        <w:rPr>
          <w:rFonts w:ascii="Calibri" w:hAnsi="Calibri"/>
          <w:color w:val="000000"/>
          <w:sz w:val="21"/>
          <w:szCs w:val="21"/>
        </w:rPr>
        <w:t>ot have an assigned start date.</w:t>
      </w:r>
    </w:p>
    <w:p w:rsidR="0010535D" w:rsidRDefault="0010535D" w:rsidP="0010535D">
      <w:pPr>
        <w:keepNext/>
        <w:numPr>
          <w:ilvl w:val="1"/>
          <w:numId w:val="29"/>
        </w:numPr>
        <w:rPr>
          <w:rFonts w:ascii="Calibri" w:hAnsi="Calibri"/>
          <w:color w:val="000000"/>
          <w:sz w:val="21"/>
          <w:szCs w:val="21"/>
        </w:rPr>
      </w:pPr>
      <w:r>
        <w:rPr>
          <w:rFonts w:ascii="Calibri" w:hAnsi="Calibri"/>
          <w:color w:val="000000"/>
          <w:sz w:val="21"/>
          <w:szCs w:val="21"/>
        </w:rPr>
        <w:t>of that ballot.</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IEEE 820.1BA-2011 has a similar status and Soo Kim will also look into that one.</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IEEE 802.22a is in its 60-day pre-ballot, ending in Ap</w:t>
      </w:r>
      <w:r w:rsidR="0010535D">
        <w:rPr>
          <w:rFonts w:ascii="Calibri" w:hAnsi="Calibri"/>
          <w:color w:val="000000"/>
          <w:sz w:val="21"/>
          <w:szCs w:val="21"/>
        </w:rPr>
        <w:t>ril.</w:t>
      </w:r>
    </w:p>
    <w:p w:rsidR="0010535D" w:rsidRDefault="00C41A87" w:rsidP="0010535D">
      <w:pPr>
        <w:keepNext/>
        <w:numPr>
          <w:ilvl w:val="1"/>
          <w:numId w:val="29"/>
        </w:numPr>
        <w:rPr>
          <w:rFonts w:ascii="Calibri" w:hAnsi="Calibri"/>
          <w:color w:val="000000"/>
          <w:sz w:val="21"/>
          <w:szCs w:val="21"/>
        </w:rPr>
      </w:pPr>
      <w:r w:rsidRPr="00C41A87">
        <w:rPr>
          <w:rFonts w:ascii="Calibri" w:hAnsi="Calibri"/>
          <w:color w:val="000000"/>
          <w:sz w:val="21"/>
          <w:szCs w:val="21"/>
        </w:rPr>
        <w:t>Any comments received will be dea</w:t>
      </w:r>
      <w:r w:rsidR="0010535D">
        <w:rPr>
          <w:rFonts w:ascii="Calibri" w:hAnsi="Calibri"/>
          <w:color w:val="000000"/>
          <w:sz w:val="21"/>
          <w:szCs w:val="21"/>
        </w:rPr>
        <w:t>lt with during the May meeting.</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 xml:space="preserve">IEEE 802.3bx should be ready to go to 60-day pre-ballot as </w:t>
      </w:r>
      <w:r w:rsidR="0010535D">
        <w:rPr>
          <w:rFonts w:ascii="Calibri" w:hAnsi="Calibri"/>
          <w:color w:val="000000"/>
          <w:sz w:val="21"/>
          <w:szCs w:val="21"/>
        </w:rPr>
        <w:t>soon as IEEE RevCom blesses it.</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 xml:space="preserve">IEEE 802.3bw was supposed to be submitted to the PSDO process out of this meeting, but there’s </w:t>
      </w:r>
      <w:r w:rsidR="0010535D">
        <w:rPr>
          <w:rFonts w:ascii="Calibri" w:hAnsi="Calibri"/>
          <w:color w:val="000000"/>
          <w:sz w:val="21"/>
          <w:szCs w:val="21"/>
        </w:rPr>
        <w:t>been no update on its status.</w:t>
      </w:r>
    </w:p>
    <w:p w:rsidR="00C41A87" w:rsidRPr="00C41A87" w:rsidRDefault="00C41A87" w:rsidP="0010535D">
      <w:pPr>
        <w:keepNext/>
        <w:numPr>
          <w:ilvl w:val="1"/>
          <w:numId w:val="29"/>
        </w:numPr>
        <w:rPr>
          <w:rFonts w:ascii="Calibri" w:hAnsi="Calibri"/>
          <w:color w:val="000000"/>
          <w:sz w:val="21"/>
          <w:szCs w:val="21"/>
        </w:rPr>
      </w:pPr>
      <w:r w:rsidRPr="00C41A87">
        <w:rPr>
          <w:rFonts w:ascii="Calibri" w:hAnsi="Calibri"/>
          <w:color w:val="000000"/>
          <w:sz w:val="21"/>
          <w:szCs w:val="21"/>
        </w:rPr>
        <w:t>Myles will check with David Law to get more information.</w:t>
      </w:r>
    </w:p>
    <w:p w:rsidR="0010535D" w:rsidRDefault="0010535D" w:rsidP="0010535D">
      <w:pPr>
        <w:pStyle w:val="Heading3"/>
      </w:pPr>
      <w:r>
        <w:t>SC6 meeting</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The last JTC1/SC6 meeting was held</w:t>
      </w:r>
      <w:r w:rsidR="0010535D">
        <w:rPr>
          <w:rFonts w:ascii="Calibri" w:hAnsi="Calibri"/>
          <w:color w:val="000000"/>
          <w:sz w:val="21"/>
          <w:szCs w:val="21"/>
        </w:rPr>
        <w:t xml:space="preserve"> in February 2016 in Xi’an, CN.</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No minutes or official liaisons have b</w:t>
      </w:r>
      <w:r w:rsidR="0010535D">
        <w:rPr>
          <w:rFonts w:ascii="Calibri" w:hAnsi="Calibri"/>
          <w:color w:val="000000"/>
          <w:sz w:val="21"/>
          <w:szCs w:val="21"/>
        </w:rPr>
        <w:t>een received from that meeting.</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 xml:space="preserve">IEEE 802 did not have a delegation present and the US delegation only participated in WG10 only, whereas most IEEE 802-related topics are handled by WG1 and sometimes WG7. </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 xml:space="preserve">IEEE 802 did, however, provide updates for various participating IEEE 802 working groups. </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 xml:space="preserve">While there was supposed to be a discussion on WBANs (Wireless Body Area Networks), no details are available on how that went. </w:t>
      </w:r>
    </w:p>
    <w:p w:rsidR="0010535D" w:rsidRDefault="00C41A87" w:rsidP="0010535D">
      <w:pPr>
        <w:keepNext/>
        <w:numPr>
          <w:ilvl w:val="1"/>
          <w:numId w:val="29"/>
        </w:numPr>
        <w:rPr>
          <w:rFonts w:ascii="Calibri" w:hAnsi="Calibri"/>
          <w:color w:val="000000"/>
          <w:sz w:val="21"/>
          <w:szCs w:val="21"/>
        </w:rPr>
      </w:pPr>
      <w:r w:rsidRPr="00C41A87">
        <w:rPr>
          <w:rFonts w:ascii="Calibri" w:hAnsi="Calibri"/>
          <w:color w:val="000000"/>
          <w:sz w:val="21"/>
          <w:szCs w:val="21"/>
        </w:rPr>
        <w:t>IEEE 802.15.6 is a related specification an</w:t>
      </w:r>
      <w:r w:rsidR="0010535D">
        <w:rPr>
          <w:rFonts w:ascii="Calibri" w:hAnsi="Calibri"/>
          <w:color w:val="000000"/>
          <w:sz w:val="21"/>
          <w:szCs w:val="21"/>
        </w:rPr>
        <w:t>d has been liaised to JTC1/SC6.</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 xml:space="preserve">JTC1/SC6/WG1 discussed Low Power Wide Area Networks and apparently approved the formation </w:t>
      </w:r>
      <w:r w:rsidR="0010535D">
        <w:rPr>
          <w:rFonts w:ascii="Calibri" w:hAnsi="Calibri"/>
          <w:color w:val="000000"/>
          <w:sz w:val="21"/>
          <w:szCs w:val="21"/>
        </w:rPr>
        <w:t>of a study group on that topic.</w:t>
      </w:r>
    </w:p>
    <w:p w:rsidR="0010535D" w:rsidRDefault="00C41A87" w:rsidP="0010535D">
      <w:pPr>
        <w:keepNext/>
        <w:numPr>
          <w:ilvl w:val="1"/>
          <w:numId w:val="29"/>
        </w:numPr>
        <w:rPr>
          <w:rFonts w:ascii="Calibri" w:hAnsi="Calibri"/>
          <w:color w:val="000000"/>
          <w:sz w:val="21"/>
          <w:szCs w:val="21"/>
        </w:rPr>
      </w:pPr>
      <w:r w:rsidRPr="00C41A87">
        <w:rPr>
          <w:rFonts w:ascii="Calibri" w:hAnsi="Calibri"/>
          <w:color w:val="000000"/>
          <w:sz w:val="21"/>
          <w:szCs w:val="21"/>
        </w:rPr>
        <w:t>This might intersect with the IEEE 802.11 Low</w:t>
      </w:r>
      <w:r w:rsidR="0010535D">
        <w:rPr>
          <w:rFonts w:ascii="Calibri" w:hAnsi="Calibri"/>
          <w:color w:val="000000"/>
          <w:sz w:val="21"/>
          <w:szCs w:val="21"/>
        </w:rPr>
        <w:t>-Power, Long-Range Study Group.</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JTC1/SC6/WG7 discussed wireless access controllers, but with no minutes yet available, w</w:t>
      </w:r>
      <w:r w:rsidR="0010535D">
        <w:rPr>
          <w:rFonts w:ascii="Calibri" w:hAnsi="Calibri"/>
          <w:color w:val="000000"/>
          <w:sz w:val="21"/>
          <w:szCs w:val="21"/>
        </w:rPr>
        <w:t>e don’t know where that stands.</w:t>
      </w:r>
    </w:p>
    <w:p w:rsidR="0010535D"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The fact that no resolutions were reached on these topics does not mean that a national body cannot submi</w:t>
      </w:r>
      <w:r w:rsidR="0010535D">
        <w:rPr>
          <w:rFonts w:ascii="Calibri" w:hAnsi="Calibri"/>
          <w:color w:val="000000"/>
          <w:sz w:val="21"/>
          <w:szCs w:val="21"/>
        </w:rPr>
        <w:t>t a request to spin up a group.</w:t>
      </w:r>
    </w:p>
    <w:p w:rsidR="00C41A87" w:rsidRDefault="00C41A87" w:rsidP="0010535D">
      <w:pPr>
        <w:keepNext/>
        <w:numPr>
          <w:ilvl w:val="0"/>
          <w:numId w:val="29"/>
        </w:numPr>
        <w:rPr>
          <w:rFonts w:ascii="Calibri" w:hAnsi="Calibri"/>
          <w:color w:val="000000"/>
          <w:sz w:val="21"/>
          <w:szCs w:val="21"/>
        </w:rPr>
      </w:pPr>
      <w:r w:rsidRPr="00C41A87">
        <w:rPr>
          <w:rFonts w:ascii="Calibri" w:hAnsi="Calibri"/>
          <w:color w:val="000000"/>
          <w:sz w:val="21"/>
          <w:szCs w:val="21"/>
        </w:rPr>
        <w:t>The next meeting is planned for January/February 2016 in Tunisia, which is a larger than usual gap between meetings.</w:t>
      </w:r>
    </w:p>
    <w:p w:rsidR="0010535D" w:rsidRPr="00C41A87" w:rsidRDefault="0010535D" w:rsidP="0010535D">
      <w:pPr>
        <w:pStyle w:val="Heading3"/>
      </w:pPr>
      <w:r>
        <w:t>SC6/WG1 liaision to IEEE 802</w:t>
      </w:r>
    </w:p>
    <w:p w:rsidR="0010535D"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JTC1/SC6/WG1 will be sending a liaison to IEEE 802 in relation to the “status of pro</w:t>
      </w:r>
      <w:r w:rsidR="0010535D">
        <w:rPr>
          <w:rFonts w:ascii="Calibri" w:hAnsi="Calibri"/>
          <w:color w:val="000000"/>
          <w:sz w:val="21"/>
          <w:szCs w:val="21"/>
        </w:rPr>
        <w:t>gressing IEEE projects in SC6”.</w:t>
      </w:r>
    </w:p>
    <w:p w:rsidR="0010535D"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 xml:space="preserve">While not officially received, an out-of-band copy of </w:t>
      </w:r>
      <w:r w:rsidR="0010535D">
        <w:rPr>
          <w:rFonts w:ascii="Calibri" w:hAnsi="Calibri"/>
          <w:color w:val="000000"/>
          <w:sz w:val="21"/>
          <w:szCs w:val="21"/>
        </w:rPr>
        <w:t>that liaison has been obtained.</w:t>
      </w:r>
    </w:p>
    <w:p w:rsidR="00BC5AD4"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That liaison was confusing and Myles wrote to the WG1 chair attempting to find what informat</w:t>
      </w:r>
      <w:r w:rsidR="00BC5AD4">
        <w:rPr>
          <w:rFonts w:ascii="Calibri" w:hAnsi="Calibri"/>
          <w:color w:val="000000"/>
          <w:sz w:val="21"/>
          <w:szCs w:val="21"/>
        </w:rPr>
        <w:t>ion they are seeking to obtain.</w:t>
      </w:r>
    </w:p>
    <w:p w:rsidR="00BC5AD4"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 xml:space="preserve">After some back and forth, it appears that WG1 would like to get a full status of all projects in a succinct format that simplifies WG1’s understanding of where everything is. </w:t>
      </w:r>
    </w:p>
    <w:p w:rsidR="00BC5AD4"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 xml:space="preserve">This could be done by IEEE 802 by taking the status slide in the JTC1 SC agenda and adding numeric voting results to that, but any request for additional information would probably be best </w:t>
      </w:r>
      <w:r w:rsidR="00BC5AD4">
        <w:rPr>
          <w:rFonts w:ascii="Calibri" w:hAnsi="Calibri"/>
          <w:color w:val="000000"/>
          <w:sz w:val="21"/>
          <w:szCs w:val="21"/>
        </w:rPr>
        <w:t>handled by the SC6 Secretariat.</w:t>
      </w:r>
    </w:p>
    <w:p w:rsidR="00BC5AD4"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lastRenderedPageBreak/>
        <w:t xml:space="preserve">Considering that the JTC1 SC has not officially received the liaison and the unofficially received liaison is not clear in its meaning, it would be better if a response to the liaison was generated during the July IEEE 802 plenary. </w:t>
      </w:r>
    </w:p>
    <w:p w:rsid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In the meantime, Andrew Myles has requested that the WG1 Chair work with the SC6 Secretariat to clarify the meaning of the liaison.</w:t>
      </w:r>
    </w:p>
    <w:p w:rsidR="00BC5AD4" w:rsidRPr="00C41A87" w:rsidRDefault="00BC5AD4" w:rsidP="00BC5AD4">
      <w:pPr>
        <w:pStyle w:val="Heading3"/>
      </w:pPr>
      <w:r>
        <w:t>Hawaii meeting</w:t>
      </w:r>
    </w:p>
    <w:p w:rsidR="00BC5AD4"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 xml:space="preserve">Andrew Myles will not be able to make it to the May IEEE 802 wireless interim meeting, as he will be at the IEEE-SA Board of </w:t>
      </w:r>
      <w:r w:rsidR="00BC5AD4">
        <w:rPr>
          <w:rFonts w:ascii="Calibri" w:hAnsi="Calibri"/>
          <w:color w:val="000000"/>
          <w:sz w:val="21"/>
          <w:szCs w:val="21"/>
        </w:rPr>
        <w:t>Governors meeting at that time.</w:t>
      </w:r>
    </w:p>
    <w:p w:rsidR="00C41A87" w:rsidRPr="00C41A87"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 SC Vice-chair (Peter Yee) will convene the May session. IEEE 802.1 won’t be at that meeting, but the Vice Chair will obtain a status update from Karen Randall for that working group.</w:t>
      </w:r>
    </w:p>
    <w:p w:rsidR="00BC5AD4" w:rsidRDefault="00BC5AD4" w:rsidP="00BC5AD4">
      <w:pPr>
        <w:pStyle w:val="Heading3"/>
      </w:pPr>
      <w:r>
        <w:t>Adjoiurnment</w:t>
      </w:r>
    </w:p>
    <w:p w:rsidR="00256BBD" w:rsidRPr="00256BBD" w:rsidRDefault="00C41A87" w:rsidP="00C41A87">
      <w:pPr>
        <w:keepNext/>
        <w:numPr>
          <w:ilvl w:val="0"/>
          <w:numId w:val="29"/>
        </w:numPr>
        <w:rPr>
          <w:rFonts w:ascii="Calibri" w:hAnsi="Calibri"/>
          <w:color w:val="000000"/>
          <w:sz w:val="21"/>
          <w:szCs w:val="21"/>
        </w:rPr>
      </w:pPr>
      <w:r w:rsidRPr="00C41A87">
        <w:rPr>
          <w:rFonts w:ascii="Calibri" w:hAnsi="Calibri"/>
          <w:color w:val="000000"/>
          <w:sz w:val="21"/>
          <w:szCs w:val="21"/>
        </w:rPr>
        <w:t>The meeting was adjourned at 2:21 p.m.</w:t>
      </w:r>
      <w:r w:rsidR="00256BBD">
        <w:rPr>
          <w:rFonts w:ascii="Calibri" w:hAnsi="Calibri"/>
          <w:color w:val="000000"/>
          <w:sz w:val="21"/>
          <w:szCs w:val="21"/>
        </w:rPr>
        <w:t>.</w:t>
      </w:r>
    </w:p>
    <w:sectPr w:rsidR="00256BBD" w:rsidRPr="00256BBD" w:rsidSect="00C41A8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5A" w:rsidRDefault="0065555A">
      <w:r>
        <w:separator/>
      </w:r>
    </w:p>
  </w:endnote>
  <w:endnote w:type="continuationSeparator" w:id="0">
    <w:p w:rsidR="0065555A" w:rsidRDefault="0065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94" w:rsidRDefault="001E3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62716A">
    <w:pPr>
      <w:pStyle w:val="Footer"/>
      <w:tabs>
        <w:tab w:val="clear" w:pos="6480"/>
        <w:tab w:val="center" w:pos="4680"/>
        <w:tab w:val="right" w:pos="9360"/>
      </w:tabs>
    </w:pPr>
    <w:fldSimple w:instr=" SUBJECT  \* MERGEFORMAT ">
      <w:r w:rsidR="00506212">
        <w:t>Submission</w:t>
      </w:r>
    </w:fldSimple>
    <w:r>
      <w:tab/>
      <w:t xml:space="preserve">page </w:t>
    </w:r>
    <w:r>
      <w:fldChar w:fldCharType="begin"/>
    </w:r>
    <w:r>
      <w:instrText xml:space="preserve">page </w:instrText>
    </w:r>
    <w:r>
      <w:fldChar w:fldCharType="separate"/>
    </w:r>
    <w:r w:rsidR="001E3294">
      <w:rPr>
        <w:noProof/>
      </w:rPr>
      <w:t>4</w:t>
    </w:r>
    <w:r>
      <w:fldChar w:fldCharType="end"/>
    </w:r>
    <w:r>
      <w:tab/>
    </w:r>
    <w:r w:rsidR="00506212">
      <w:t>Andrew Myles (Cisco)</w:t>
    </w:r>
  </w:p>
  <w:p w:rsidR="0062716A" w:rsidRDefault="006271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94" w:rsidRDefault="001E3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5A" w:rsidRDefault="0065555A">
      <w:r>
        <w:separator/>
      </w:r>
    </w:p>
  </w:footnote>
  <w:footnote w:type="continuationSeparator" w:id="0">
    <w:p w:rsidR="0065555A" w:rsidRDefault="00655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94" w:rsidRDefault="001E3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C41A87" w:rsidP="001E3294">
    <w:pPr>
      <w:pStyle w:val="Header"/>
      <w:tabs>
        <w:tab w:val="clear" w:pos="6480"/>
        <w:tab w:val="center" w:pos="4680"/>
        <w:tab w:val="right" w:pos="10065"/>
      </w:tabs>
    </w:pPr>
    <w:r>
      <w:t>Mar</w:t>
    </w:r>
    <w:r w:rsidR="00F44332">
      <w:t xml:space="preserve"> </w:t>
    </w:r>
    <w:r w:rsidR="00256BBD">
      <w:t xml:space="preserve"> 2016</w:t>
    </w:r>
    <w:r w:rsidR="0062716A">
      <w:tab/>
    </w:r>
    <w:r w:rsidR="0062716A">
      <w:tab/>
    </w:r>
    <w:fldSimple w:instr=" TITLE  \* MERGEFORMAT ">
      <w:r w:rsidR="00256BBD">
        <w:t>doc.: IEEE 802.11-16/</w:t>
      </w:r>
      <w:r w:rsidR="00104F2B">
        <w:t>0533</w:t>
      </w:r>
      <w:r w:rsidR="00506212">
        <w:t>r0</w:t>
      </w:r>
    </w:fldSimple>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94" w:rsidRDefault="001E3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CF2"/>
    <w:multiLevelType w:val="hybridMultilevel"/>
    <w:tmpl w:val="D7A6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EA3B9B"/>
    <w:multiLevelType w:val="hybridMultilevel"/>
    <w:tmpl w:val="E5CE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0809C4"/>
    <w:multiLevelType w:val="hybridMultilevel"/>
    <w:tmpl w:val="E2D6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3954FA"/>
    <w:multiLevelType w:val="hybridMultilevel"/>
    <w:tmpl w:val="8CA06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196242"/>
    <w:multiLevelType w:val="hybridMultilevel"/>
    <w:tmpl w:val="A1445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C45647"/>
    <w:multiLevelType w:val="hybridMultilevel"/>
    <w:tmpl w:val="272E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D00F1B"/>
    <w:multiLevelType w:val="hybridMultilevel"/>
    <w:tmpl w:val="52C6E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E25AC0"/>
    <w:multiLevelType w:val="hybridMultilevel"/>
    <w:tmpl w:val="A432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821DF2"/>
    <w:multiLevelType w:val="hybridMultilevel"/>
    <w:tmpl w:val="15B6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C40D8F"/>
    <w:multiLevelType w:val="hybridMultilevel"/>
    <w:tmpl w:val="98161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434679"/>
    <w:multiLevelType w:val="hybridMultilevel"/>
    <w:tmpl w:val="9D323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F04DF2"/>
    <w:multiLevelType w:val="hybridMultilevel"/>
    <w:tmpl w:val="E0B8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0F631F"/>
    <w:multiLevelType w:val="hybridMultilevel"/>
    <w:tmpl w:val="DCF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7E066D"/>
    <w:multiLevelType w:val="hybridMultilevel"/>
    <w:tmpl w:val="4B96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790471"/>
    <w:multiLevelType w:val="hybridMultilevel"/>
    <w:tmpl w:val="09601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EE686C"/>
    <w:multiLevelType w:val="hybridMultilevel"/>
    <w:tmpl w:val="6E56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493F22"/>
    <w:multiLevelType w:val="hybridMultilevel"/>
    <w:tmpl w:val="94D4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7F164F"/>
    <w:multiLevelType w:val="hybridMultilevel"/>
    <w:tmpl w:val="F8F4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630147"/>
    <w:multiLevelType w:val="hybridMultilevel"/>
    <w:tmpl w:val="7F4C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AE385E"/>
    <w:multiLevelType w:val="hybridMultilevel"/>
    <w:tmpl w:val="60122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E305E8"/>
    <w:multiLevelType w:val="hybridMultilevel"/>
    <w:tmpl w:val="E800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CD661C"/>
    <w:multiLevelType w:val="hybridMultilevel"/>
    <w:tmpl w:val="00749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2979D4"/>
    <w:multiLevelType w:val="hybridMultilevel"/>
    <w:tmpl w:val="8EEA2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4F4A9D"/>
    <w:multiLevelType w:val="hybridMultilevel"/>
    <w:tmpl w:val="5E7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2A4B52"/>
    <w:multiLevelType w:val="hybridMultilevel"/>
    <w:tmpl w:val="D3829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3F0D4E"/>
    <w:multiLevelType w:val="hybridMultilevel"/>
    <w:tmpl w:val="F8B86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2F4B89"/>
    <w:multiLevelType w:val="hybridMultilevel"/>
    <w:tmpl w:val="47D8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98294A"/>
    <w:multiLevelType w:val="hybridMultilevel"/>
    <w:tmpl w:val="4B1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F1393A"/>
    <w:multiLevelType w:val="hybridMultilevel"/>
    <w:tmpl w:val="3342D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294640"/>
    <w:multiLevelType w:val="hybridMultilevel"/>
    <w:tmpl w:val="E9E6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1479C4"/>
    <w:multiLevelType w:val="hybridMultilevel"/>
    <w:tmpl w:val="4E5A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F8B50CA"/>
    <w:multiLevelType w:val="hybridMultilevel"/>
    <w:tmpl w:val="4E383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30"/>
  </w:num>
  <w:num w:numId="5">
    <w:abstractNumId w:val="1"/>
  </w:num>
  <w:num w:numId="6">
    <w:abstractNumId w:val="12"/>
  </w:num>
  <w:num w:numId="7">
    <w:abstractNumId w:val="17"/>
  </w:num>
  <w:num w:numId="8">
    <w:abstractNumId w:val="23"/>
  </w:num>
  <w:num w:numId="9">
    <w:abstractNumId w:val="7"/>
  </w:num>
  <w:num w:numId="10">
    <w:abstractNumId w:val="9"/>
  </w:num>
  <w:num w:numId="11">
    <w:abstractNumId w:val="3"/>
  </w:num>
  <w:num w:numId="12">
    <w:abstractNumId w:val="16"/>
  </w:num>
  <w:num w:numId="13">
    <w:abstractNumId w:val="11"/>
  </w:num>
  <w:num w:numId="14">
    <w:abstractNumId w:val="19"/>
  </w:num>
  <w:num w:numId="15">
    <w:abstractNumId w:val="8"/>
  </w:num>
  <w:num w:numId="16">
    <w:abstractNumId w:val="24"/>
  </w:num>
  <w:num w:numId="17">
    <w:abstractNumId w:val="26"/>
  </w:num>
  <w:num w:numId="18">
    <w:abstractNumId w:val="22"/>
  </w:num>
  <w:num w:numId="19">
    <w:abstractNumId w:val="15"/>
  </w:num>
  <w:num w:numId="20">
    <w:abstractNumId w:val="2"/>
  </w:num>
  <w:num w:numId="21">
    <w:abstractNumId w:val="29"/>
  </w:num>
  <w:num w:numId="22">
    <w:abstractNumId w:val="28"/>
  </w:num>
  <w:num w:numId="23">
    <w:abstractNumId w:val="31"/>
  </w:num>
  <w:num w:numId="24">
    <w:abstractNumId w:val="21"/>
  </w:num>
  <w:num w:numId="25">
    <w:abstractNumId w:val="14"/>
  </w:num>
  <w:num w:numId="26">
    <w:abstractNumId w:val="25"/>
  </w:num>
  <w:num w:numId="27">
    <w:abstractNumId w:val="0"/>
  </w:num>
  <w:num w:numId="28">
    <w:abstractNumId w:val="18"/>
  </w:num>
  <w:num w:numId="29">
    <w:abstractNumId w:val="20"/>
  </w:num>
  <w:num w:numId="30">
    <w:abstractNumId w:val="10"/>
  </w:num>
  <w:num w:numId="31">
    <w:abstractNumId w:val="6"/>
  </w:num>
  <w:num w:numId="3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75F"/>
    <w:rsid w:val="0001155F"/>
    <w:rsid w:val="0001400E"/>
    <w:rsid w:val="00014365"/>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C0574"/>
    <w:rsid w:val="001D296F"/>
    <w:rsid w:val="001D723B"/>
    <w:rsid w:val="001E3294"/>
    <w:rsid w:val="002301C9"/>
    <w:rsid w:val="002500F4"/>
    <w:rsid w:val="00256BBD"/>
    <w:rsid w:val="00263901"/>
    <w:rsid w:val="00263E90"/>
    <w:rsid w:val="00267A0F"/>
    <w:rsid w:val="00281B9A"/>
    <w:rsid w:val="00287259"/>
    <w:rsid w:val="0029020B"/>
    <w:rsid w:val="00293654"/>
    <w:rsid w:val="002D44BE"/>
    <w:rsid w:val="002D7E31"/>
    <w:rsid w:val="002F4CEF"/>
    <w:rsid w:val="003040FE"/>
    <w:rsid w:val="00306274"/>
    <w:rsid w:val="003112B4"/>
    <w:rsid w:val="00316A63"/>
    <w:rsid w:val="0032578B"/>
    <w:rsid w:val="003266AB"/>
    <w:rsid w:val="00337AD9"/>
    <w:rsid w:val="00352B38"/>
    <w:rsid w:val="003652A8"/>
    <w:rsid w:val="00373F8E"/>
    <w:rsid w:val="00376A3F"/>
    <w:rsid w:val="00385A3D"/>
    <w:rsid w:val="003B60ED"/>
    <w:rsid w:val="003C09AD"/>
    <w:rsid w:val="003C4D92"/>
    <w:rsid w:val="003D22C5"/>
    <w:rsid w:val="003F3EE9"/>
    <w:rsid w:val="003F4703"/>
    <w:rsid w:val="004033D5"/>
    <w:rsid w:val="004239A7"/>
    <w:rsid w:val="00442037"/>
    <w:rsid w:val="004640D9"/>
    <w:rsid w:val="004806A3"/>
    <w:rsid w:val="00494EC7"/>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53062"/>
    <w:rsid w:val="0057222A"/>
    <w:rsid w:val="00576AFB"/>
    <w:rsid w:val="005829B5"/>
    <w:rsid w:val="005945A8"/>
    <w:rsid w:val="005A1B1D"/>
    <w:rsid w:val="005B3EB1"/>
    <w:rsid w:val="005D2AE7"/>
    <w:rsid w:val="005F4E00"/>
    <w:rsid w:val="00600CD7"/>
    <w:rsid w:val="0060555E"/>
    <w:rsid w:val="00610234"/>
    <w:rsid w:val="0062440B"/>
    <w:rsid w:val="006252C6"/>
    <w:rsid w:val="0062716A"/>
    <w:rsid w:val="00627E45"/>
    <w:rsid w:val="006326CE"/>
    <w:rsid w:val="00654C39"/>
    <w:rsid w:val="0065555A"/>
    <w:rsid w:val="006660CE"/>
    <w:rsid w:val="006744DF"/>
    <w:rsid w:val="00692903"/>
    <w:rsid w:val="006A7C8A"/>
    <w:rsid w:val="006B2190"/>
    <w:rsid w:val="006C0727"/>
    <w:rsid w:val="006C2EEC"/>
    <w:rsid w:val="006E145F"/>
    <w:rsid w:val="006E1D13"/>
    <w:rsid w:val="006E29C0"/>
    <w:rsid w:val="006E45AB"/>
    <w:rsid w:val="006F3F14"/>
    <w:rsid w:val="006F4754"/>
    <w:rsid w:val="0071122E"/>
    <w:rsid w:val="00727513"/>
    <w:rsid w:val="00732CAB"/>
    <w:rsid w:val="00743212"/>
    <w:rsid w:val="0075639D"/>
    <w:rsid w:val="00770572"/>
    <w:rsid w:val="00770B0D"/>
    <w:rsid w:val="007A4014"/>
    <w:rsid w:val="007B1F37"/>
    <w:rsid w:val="007C5C4A"/>
    <w:rsid w:val="007D3AAD"/>
    <w:rsid w:val="007D7E4A"/>
    <w:rsid w:val="008075C4"/>
    <w:rsid w:val="0081108D"/>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E04BD"/>
    <w:rsid w:val="008E33B1"/>
    <w:rsid w:val="008F7B8D"/>
    <w:rsid w:val="009008E9"/>
    <w:rsid w:val="00921976"/>
    <w:rsid w:val="00940415"/>
    <w:rsid w:val="00955C4D"/>
    <w:rsid w:val="0096307E"/>
    <w:rsid w:val="00975F0B"/>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671D6"/>
    <w:rsid w:val="00A80526"/>
    <w:rsid w:val="00A82BA8"/>
    <w:rsid w:val="00A84CDC"/>
    <w:rsid w:val="00A976E3"/>
    <w:rsid w:val="00AA427C"/>
    <w:rsid w:val="00AA7B09"/>
    <w:rsid w:val="00AC6551"/>
    <w:rsid w:val="00AD1BB9"/>
    <w:rsid w:val="00AD4607"/>
    <w:rsid w:val="00AE47BE"/>
    <w:rsid w:val="00B01F88"/>
    <w:rsid w:val="00B034C0"/>
    <w:rsid w:val="00B0637C"/>
    <w:rsid w:val="00B27A8C"/>
    <w:rsid w:val="00B33D42"/>
    <w:rsid w:val="00B46209"/>
    <w:rsid w:val="00B51E11"/>
    <w:rsid w:val="00B6469C"/>
    <w:rsid w:val="00B6591F"/>
    <w:rsid w:val="00B74473"/>
    <w:rsid w:val="00B85874"/>
    <w:rsid w:val="00BC321F"/>
    <w:rsid w:val="00BC5AD4"/>
    <w:rsid w:val="00BC727A"/>
    <w:rsid w:val="00BE66EC"/>
    <w:rsid w:val="00BE68C2"/>
    <w:rsid w:val="00BF0E4E"/>
    <w:rsid w:val="00BF3B5E"/>
    <w:rsid w:val="00C36CA5"/>
    <w:rsid w:val="00C41A87"/>
    <w:rsid w:val="00C42569"/>
    <w:rsid w:val="00C55B1B"/>
    <w:rsid w:val="00C55E87"/>
    <w:rsid w:val="00C64A7D"/>
    <w:rsid w:val="00C71F24"/>
    <w:rsid w:val="00C73B9B"/>
    <w:rsid w:val="00C74E63"/>
    <w:rsid w:val="00C84407"/>
    <w:rsid w:val="00C91F4D"/>
    <w:rsid w:val="00CA09B2"/>
    <w:rsid w:val="00CD65D2"/>
    <w:rsid w:val="00CD6DCE"/>
    <w:rsid w:val="00CD7939"/>
    <w:rsid w:val="00CE2280"/>
    <w:rsid w:val="00CE4F9D"/>
    <w:rsid w:val="00D14957"/>
    <w:rsid w:val="00D26826"/>
    <w:rsid w:val="00D27E5C"/>
    <w:rsid w:val="00D54D6D"/>
    <w:rsid w:val="00D673A2"/>
    <w:rsid w:val="00D75DD9"/>
    <w:rsid w:val="00D77168"/>
    <w:rsid w:val="00D80240"/>
    <w:rsid w:val="00D92C0D"/>
    <w:rsid w:val="00D95A18"/>
    <w:rsid w:val="00DB5647"/>
    <w:rsid w:val="00DC5A7B"/>
    <w:rsid w:val="00DF3948"/>
    <w:rsid w:val="00DF46FB"/>
    <w:rsid w:val="00E31486"/>
    <w:rsid w:val="00E46D02"/>
    <w:rsid w:val="00E801BA"/>
    <w:rsid w:val="00EB2B50"/>
    <w:rsid w:val="00EC0859"/>
    <w:rsid w:val="00EC455F"/>
    <w:rsid w:val="00EF1A12"/>
    <w:rsid w:val="00F01455"/>
    <w:rsid w:val="00F03CFD"/>
    <w:rsid w:val="00F1500C"/>
    <w:rsid w:val="00F32F4F"/>
    <w:rsid w:val="00F34F42"/>
    <w:rsid w:val="00F36CB7"/>
    <w:rsid w:val="00F418A1"/>
    <w:rsid w:val="00F41D66"/>
    <w:rsid w:val="00F44332"/>
    <w:rsid w:val="00F84DC6"/>
    <w:rsid w:val="00F940B7"/>
    <w:rsid w:val="00FA608E"/>
    <w:rsid w:val="00FB51EA"/>
    <w:rsid w:val="00FC037C"/>
    <w:rsid w:val="00FC3C25"/>
    <w:rsid w:val="00FD150A"/>
    <w:rsid w:val="00FD171D"/>
    <w:rsid w:val="00FD21D8"/>
    <w:rsid w:val="00FE065A"/>
    <w:rsid w:val="00FE2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B344-3EDA-4CEF-B8F8-6FF275B6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6645</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cp:lastModifiedBy>
  <cp:revision>2</cp:revision>
  <dcterms:created xsi:type="dcterms:W3CDTF">2016-04-12T04:59:00Z</dcterms:created>
  <dcterms:modified xsi:type="dcterms:W3CDTF">2016-04-12T04:59:00Z</dcterms:modified>
</cp:coreProperties>
</file>