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8B1430" w:rsidP="008B1430">
            <w:pPr>
              <w:pStyle w:val="T2"/>
            </w:pPr>
            <w:r>
              <w:rPr>
                <w:rFonts w:hint="eastAsia"/>
                <w:lang w:eastAsia="ko-KR"/>
              </w:rPr>
              <w:t>SB</w:t>
            </w:r>
            <w:r w:rsidR="00F5651C">
              <w:rPr>
                <w:rFonts w:hint="eastAsia"/>
                <w:lang w:eastAsia="ko-KR"/>
              </w:rPr>
              <w:t>1</w:t>
            </w:r>
            <w:r>
              <w:rPr>
                <w:rFonts w:hint="eastAsia"/>
                <w:lang w:eastAsia="ko-KR"/>
              </w:rPr>
              <w:t xml:space="preserve">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w:t>
            </w:r>
            <w:r w:rsidR="00DB20DB">
              <w:rPr>
                <w:rFonts w:hint="eastAsia"/>
                <w:lang w:eastAsia="ko-KR"/>
              </w:rPr>
              <w:t>4</w:t>
            </w:r>
          </w:p>
        </w:tc>
      </w:tr>
      <w:tr w:rsidR="005E768D" w:rsidRPr="00183F4C">
        <w:trPr>
          <w:trHeight w:val="359"/>
          <w:jc w:val="center"/>
        </w:trPr>
        <w:tc>
          <w:tcPr>
            <w:tcW w:w="9576" w:type="dxa"/>
            <w:gridSpan w:val="5"/>
            <w:vAlign w:val="center"/>
          </w:tcPr>
          <w:p w:rsidR="005E768D" w:rsidRPr="00183F4C" w:rsidRDefault="005E768D" w:rsidP="00980EAC">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03</w:t>
            </w:r>
            <w:r w:rsidR="0088012D">
              <w:rPr>
                <w:rFonts w:hint="eastAsia"/>
                <w:b w:val="0"/>
                <w:sz w:val="20"/>
                <w:lang w:eastAsia="ko-KR"/>
              </w:rPr>
              <w:t>-</w:t>
            </w:r>
            <w:r w:rsidR="00AC1F28">
              <w:rPr>
                <w:rFonts w:hint="eastAsia"/>
                <w:b w:val="0"/>
                <w:sz w:val="20"/>
                <w:lang w:eastAsia="ko-KR"/>
              </w:rPr>
              <w:t>1</w:t>
            </w:r>
            <w:r w:rsidR="00344736">
              <w:rPr>
                <w:rFonts w:hint="eastAsia"/>
                <w:b w:val="0"/>
                <w:sz w:val="20"/>
                <w:lang w:eastAsia="ko-KR"/>
              </w:rPr>
              <w:t>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r w:rsidR="005B6C64" w:rsidRPr="00183F4C">
        <w:trPr>
          <w:jc w:val="center"/>
        </w:trPr>
        <w:tc>
          <w:tcPr>
            <w:tcW w:w="1548" w:type="dxa"/>
            <w:vAlign w:val="center"/>
          </w:tcPr>
          <w:p w:rsidR="005B6C64" w:rsidRDefault="007A1574" w:rsidP="004051EE">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5B6C64" w:rsidRDefault="007A1574">
            <w:pPr>
              <w:pStyle w:val="T2"/>
              <w:spacing w:after="0"/>
              <w:ind w:left="0" w:right="0"/>
              <w:jc w:val="left"/>
              <w:rPr>
                <w:b w:val="0"/>
                <w:sz w:val="18"/>
                <w:szCs w:val="18"/>
                <w:lang w:eastAsia="ko-KR"/>
              </w:rPr>
            </w:pPr>
            <w:r>
              <w:rPr>
                <w:b w:val="0"/>
                <w:sz w:val="18"/>
                <w:szCs w:val="18"/>
                <w:lang w:eastAsia="ko-KR"/>
              </w:rPr>
              <w:t xml:space="preserve">Qualcomm Inc. </w:t>
            </w:r>
          </w:p>
        </w:tc>
        <w:tc>
          <w:tcPr>
            <w:tcW w:w="2880" w:type="dxa"/>
            <w:vAlign w:val="center"/>
          </w:tcPr>
          <w:p w:rsidR="005B6C64" w:rsidRPr="00183F4C" w:rsidRDefault="005B6C64" w:rsidP="00520B8C">
            <w:pPr>
              <w:pStyle w:val="T2"/>
              <w:spacing w:after="0"/>
              <w:ind w:left="0" w:right="0"/>
              <w:jc w:val="left"/>
              <w:rPr>
                <w:b w:val="0"/>
                <w:sz w:val="18"/>
                <w:szCs w:val="18"/>
              </w:rPr>
            </w:pPr>
          </w:p>
        </w:tc>
        <w:tc>
          <w:tcPr>
            <w:tcW w:w="1530" w:type="dxa"/>
            <w:vAlign w:val="center"/>
          </w:tcPr>
          <w:p w:rsidR="005B6C64" w:rsidRPr="00183F4C" w:rsidRDefault="005B6C64" w:rsidP="00520B8C">
            <w:pPr>
              <w:pStyle w:val="T2"/>
              <w:spacing w:after="0"/>
              <w:ind w:left="0" w:right="0"/>
              <w:rPr>
                <w:b w:val="0"/>
                <w:sz w:val="18"/>
                <w:szCs w:val="18"/>
                <w:lang w:eastAsia="ko-KR"/>
              </w:rPr>
            </w:pPr>
          </w:p>
        </w:tc>
        <w:tc>
          <w:tcPr>
            <w:tcW w:w="2178" w:type="dxa"/>
            <w:vAlign w:val="center"/>
          </w:tcPr>
          <w:p w:rsidR="005B6C64" w:rsidRPr="00183F4C" w:rsidRDefault="005B6C64" w:rsidP="004C0F0A">
            <w:pPr>
              <w:pStyle w:val="T2"/>
              <w:spacing w:after="0"/>
              <w:ind w:left="0" w:right="0"/>
              <w:jc w:val="left"/>
              <w:rPr>
                <w:b w:val="0"/>
                <w:sz w:val="18"/>
                <w:szCs w:val="18"/>
                <w:lang w:eastAsia="ko-KR"/>
              </w:rPr>
            </w:pPr>
          </w:p>
        </w:tc>
      </w:tr>
    </w:tbl>
    <w:p w:rsidR="005E768D" w:rsidRPr="004D2D75" w:rsidRDefault="00246ED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6D8CE11" wp14:editId="46660E75">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FF5" w:rsidRDefault="00054FF5">
                            <w:pPr>
                              <w:pStyle w:val="T1"/>
                              <w:spacing w:after="120"/>
                            </w:pPr>
                            <w:r>
                              <w:t>Abstract</w:t>
                            </w:r>
                          </w:p>
                          <w:p w:rsidR="00054FF5" w:rsidRDefault="00054FF5"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TGah 1</w:t>
                            </w:r>
                            <w:r w:rsidRPr="00ED1332">
                              <w:rPr>
                                <w:vertAlign w:val="superscript"/>
                                <w:lang w:eastAsia="ko-KR"/>
                              </w:rPr>
                              <w:t>st</w:t>
                            </w:r>
                            <w:r>
                              <w:rPr>
                                <w:rFonts w:hint="eastAsia"/>
                                <w:lang w:eastAsia="ko-KR"/>
                              </w:rPr>
                              <w:t xml:space="preserve"> Sponsor Recirculation Ballot (TGah Draft 6.0).</w:t>
                            </w:r>
                          </w:p>
                          <w:p w:rsidR="00054FF5" w:rsidRDefault="00054FF5" w:rsidP="00EC50C2">
                            <w:pPr>
                              <w:pStyle w:val="ListParagraph"/>
                              <w:numPr>
                                <w:ilvl w:val="0"/>
                                <w:numId w:val="1"/>
                              </w:numPr>
                              <w:ind w:leftChars="0"/>
                              <w:jc w:val="both"/>
                              <w:rPr>
                                <w:lang w:eastAsia="ko-KR"/>
                              </w:rPr>
                            </w:pPr>
                            <w:r>
                              <w:rPr>
                                <w:rFonts w:hint="eastAsia"/>
                                <w:lang w:eastAsia="ko-KR"/>
                              </w:rPr>
                              <w:t xml:space="preserve">CIDs: </w:t>
                            </w:r>
                            <w:r w:rsidRPr="00EC50C2">
                              <w:rPr>
                                <w:lang w:eastAsia="ko-KR"/>
                              </w:rPr>
                              <w:t>9059, 9060, 9063</w:t>
                            </w:r>
                            <w:r w:rsidR="00F25C90">
                              <w:rPr>
                                <w:rFonts w:hint="eastAsia"/>
                                <w:lang w:eastAsia="ko-KR"/>
                              </w:rPr>
                              <w:t>,</w:t>
                            </w:r>
                            <w:r>
                              <w:rPr>
                                <w:rFonts w:hint="eastAsia"/>
                                <w:lang w:eastAsia="ko-KR"/>
                              </w:rPr>
                              <w:t xml:space="preserve"> </w:t>
                            </w:r>
                            <w:r w:rsidR="00F25C90" w:rsidRPr="00EC50C2">
                              <w:rPr>
                                <w:lang w:eastAsia="ko-KR"/>
                              </w:rPr>
                              <w:t>9061, 9062</w:t>
                            </w:r>
                            <w:r w:rsidR="00F25C90">
                              <w:rPr>
                                <w:rFonts w:hint="eastAsia"/>
                                <w:lang w:eastAsia="ko-KR"/>
                              </w:rPr>
                              <w:t xml:space="preserve"> </w:t>
                            </w:r>
                            <w:r>
                              <w:rPr>
                                <w:rFonts w:hint="eastAsia"/>
                                <w:lang w:eastAsia="ko-KR"/>
                              </w:rPr>
                              <w:t>(5 CID)</w:t>
                            </w:r>
                          </w:p>
                          <w:p w:rsidR="00054FF5" w:rsidRDefault="00054FF5" w:rsidP="008E6AF0">
                            <w:pPr>
                              <w:ind w:left="400"/>
                              <w:jc w:val="both"/>
                              <w:rPr>
                                <w:lang w:eastAsia="ko-KR"/>
                              </w:rPr>
                            </w:pPr>
                          </w:p>
                          <w:p w:rsidR="00417124" w:rsidRDefault="00417124" w:rsidP="008E6AF0">
                            <w:pPr>
                              <w:ind w:left="400"/>
                              <w:jc w:val="both"/>
                              <w:rPr>
                                <w:lang w:eastAsia="ko-KR"/>
                              </w:rPr>
                            </w:pPr>
                          </w:p>
                          <w:p w:rsidR="00417124" w:rsidRDefault="00417124"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8CE11"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054FF5" w:rsidRDefault="00054FF5">
                      <w:pPr>
                        <w:pStyle w:val="T1"/>
                        <w:spacing w:after="120"/>
                      </w:pPr>
                      <w:r>
                        <w:t>Abstract</w:t>
                      </w:r>
                    </w:p>
                    <w:p w:rsidR="00054FF5" w:rsidRDefault="00054FF5"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TGah 1</w:t>
                      </w:r>
                      <w:r w:rsidRPr="00ED1332">
                        <w:rPr>
                          <w:vertAlign w:val="superscript"/>
                          <w:lang w:eastAsia="ko-KR"/>
                        </w:rPr>
                        <w:t>st</w:t>
                      </w:r>
                      <w:r>
                        <w:rPr>
                          <w:rFonts w:hint="eastAsia"/>
                          <w:lang w:eastAsia="ko-KR"/>
                        </w:rPr>
                        <w:t xml:space="preserve"> Sponsor Recirculation Ballot (TGah Draft 6.0).</w:t>
                      </w:r>
                    </w:p>
                    <w:p w:rsidR="00054FF5" w:rsidRDefault="00054FF5" w:rsidP="00EC50C2">
                      <w:pPr>
                        <w:pStyle w:val="ListParagraph"/>
                        <w:numPr>
                          <w:ilvl w:val="0"/>
                          <w:numId w:val="1"/>
                        </w:numPr>
                        <w:ind w:leftChars="0"/>
                        <w:jc w:val="both"/>
                        <w:rPr>
                          <w:lang w:eastAsia="ko-KR"/>
                        </w:rPr>
                      </w:pPr>
                      <w:r>
                        <w:rPr>
                          <w:rFonts w:hint="eastAsia"/>
                          <w:lang w:eastAsia="ko-KR"/>
                        </w:rPr>
                        <w:t xml:space="preserve">CIDs: </w:t>
                      </w:r>
                      <w:r w:rsidRPr="00EC50C2">
                        <w:rPr>
                          <w:lang w:eastAsia="ko-KR"/>
                        </w:rPr>
                        <w:t>9059, 9060, 9063</w:t>
                      </w:r>
                      <w:r w:rsidR="00F25C90">
                        <w:rPr>
                          <w:rFonts w:hint="eastAsia"/>
                          <w:lang w:eastAsia="ko-KR"/>
                        </w:rPr>
                        <w:t>,</w:t>
                      </w:r>
                      <w:r>
                        <w:rPr>
                          <w:rFonts w:hint="eastAsia"/>
                          <w:lang w:eastAsia="ko-KR"/>
                        </w:rPr>
                        <w:t xml:space="preserve"> </w:t>
                      </w:r>
                      <w:r w:rsidR="00F25C90" w:rsidRPr="00EC50C2">
                        <w:rPr>
                          <w:lang w:eastAsia="ko-KR"/>
                        </w:rPr>
                        <w:t>9061, 9062</w:t>
                      </w:r>
                      <w:r w:rsidR="00F25C90">
                        <w:rPr>
                          <w:rFonts w:hint="eastAsia"/>
                          <w:lang w:eastAsia="ko-KR"/>
                        </w:rPr>
                        <w:t xml:space="preserve"> </w:t>
                      </w:r>
                      <w:r>
                        <w:rPr>
                          <w:rFonts w:hint="eastAsia"/>
                          <w:lang w:eastAsia="ko-KR"/>
                        </w:rPr>
                        <w:t>(5 CID)</w:t>
                      </w:r>
                    </w:p>
                    <w:p w:rsidR="00054FF5" w:rsidRDefault="00054FF5" w:rsidP="008E6AF0">
                      <w:pPr>
                        <w:ind w:left="400"/>
                        <w:jc w:val="both"/>
                        <w:rPr>
                          <w:lang w:eastAsia="ko-KR"/>
                        </w:rPr>
                      </w:pPr>
                    </w:p>
                    <w:p w:rsidR="00417124" w:rsidRDefault="00417124" w:rsidP="008E6AF0">
                      <w:pPr>
                        <w:ind w:left="400"/>
                        <w:jc w:val="both"/>
                        <w:rPr>
                          <w:lang w:eastAsia="ko-KR"/>
                        </w:rPr>
                      </w:pPr>
                    </w:p>
                    <w:p w:rsidR="00417124" w:rsidRDefault="00417124" w:rsidP="008E6AF0">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85752A" w:rsidRDefault="0085752A" w:rsidP="00ED1332">
      <w:pPr>
        <w:jc w:val="both"/>
        <w:rPr>
          <w:color w:val="000000"/>
          <w:sz w:val="20"/>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85752A" w:rsidRPr="00B4526A" w:rsidTr="00054FF5">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5752A" w:rsidRPr="00B4526A" w:rsidRDefault="0085752A"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85752A" w:rsidRPr="00926C31" w:rsidTr="00054FF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85752A" w:rsidRPr="00EC50C2" w:rsidRDefault="0085752A" w:rsidP="00054FF5">
            <w:pPr>
              <w:jc w:val="right"/>
              <w:rPr>
                <w:rFonts w:ascii="Arial" w:eastAsia="Gulim" w:hAnsi="Arial" w:cs="Arial"/>
                <w:sz w:val="20"/>
                <w:lang w:val="en-US" w:eastAsia="ko-KR"/>
              </w:rPr>
            </w:pPr>
            <w:r w:rsidRPr="00EC50C2">
              <w:rPr>
                <w:rFonts w:ascii="Arial" w:eastAsia="Gulim" w:hAnsi="Arial" w:cs="Arial"/>
                <w:sz w:val="20"/>
                <w:lang w:val="en-US" w:eastAsia="ko-KR"/>
              </w:rPr>
              <w:t>9059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85752A" w:rsidRPr="00EC50C2" w:rsidRDefault="0085752A" w:rsidP="00054FF5">
            <w:pPr>
              <w:jc w:val="right"/>
              <w:rPr>
                <w:rFonts w:ascii="Arial" w:hAnsi="Arial" w:cs="Arial"/>
                <w:sz w:val="20"/>
                <w:lang w:eastAsia="ko-KR"/>
              </w:rPr>
            </w:pPr>
            <w:r w:rsidRPr="00EC50C2">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85752A" w:rsidRPr="00EC50C2" w:rsidRDefault="0085752A" w:rsidP="00054FF5">
            <w:pPr>
              <w:rPr>
                <w:rFonts w:ascii="Arial" w:hAnsi="Arial" w:cs="Arial"/>
                <w:sz w:val="20"/>
              </w:rPr>
            </w:pPr>
            <w:r w:rsidRPr="00EC50C2">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85752A" w:rsidRPr="00EC50C2" w:rsidRDefault="0085752A" w:rsidP="00054FF5">
            <w:pPr>
              <w:rPr>
                <w:rFonts w:ascii="Arial" w:hAnsi="Arial" w:cs="Arial"/>
                <w:sz w:val="20"/>
              </w:rPr>
            </w:pPr>
            <w:r w:rsidRPr="00EC50C2">
              <w:rPr>
                <w:rFonts w:ascii="Arial" w:hAnsi="Arial" w:cs="Arial"/>
                <w:sz w:val="20"/>
              </w:rPr>
              <w:t>The reason given for rejecting i-442 asserts that the BRC has no idea what is MAC functionality and what is MAC service interface.  This reinforces the commenters assertion that there is inappropriate text in the clause  and that the change is inconsistent with the base 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85752A" w:rsidRPr="00EC50C2" w:rsidRDefault="0085752A" w:rsidP="00054FF5">
            <w:pPr>
              <w:rPr>
                <w:rFonts w:ascii="Arial" w:hAnsi="Arial" w:cs="Arial"/>
                <w:sz w:val="20"/>
              </w:rPr>
            </w:pPr>
            <w:r w:rsidRPr="00EC50C2">
              <w:rPr>
                <w:rFonts w:ascii="Arial" w:hAnsi="Arial" w:cs="Arial"/>
                <w:sz w:val="20"/>
              </w:rPr>
              <w:t>Remove all changes to the 802.11 MAC contained in this amendment.  Delete clauses 5, 6, 9, 10, 11, and 12 from this draft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5752A" w:rsidRDefault="00257BEA">
            <w:pPr>
              <w:rPr>
                <w:rFonts w:ascii="Arial" w:eastAsia="Gulim" w:hAnsi="Arial" w:cs="Arial"/>
                <w:sz w:val="20"/>
                <w:lang w:val="en-US" w:eastAsia="ko-KR"/>
              </w:rPr>
            </w:pPr>
            <w:r>
              <w:rPr>
                <w:rFonts w:ascii="Arial" w:eastAsia="Gulim" w:hAnsi="Arial" w:cs="Arial"/>
                <w:sz w:val="20"/>
                <w:lang w:val="en-US" w:eastAsia="ko-KR"/>
              </w:rPr>
              <w:t>Revised</w:t>
            </w:r>
            <w:r w:rsidR="00113C45">
              <w:rPr>
                <w:rFonts w:ascii="Arial" w:eastAsia="Gulim" w:hAnsi="Arial" w:cs="Arial"/>
                <w:sz w:val="20"/>
                <w:lang w:val="en-US" w:eastAsia="ko-KR"/>
              </w:rPr>
              <w:t xml:space="preserve"> –</w:t>
            </w:r>
          </w:p>
          <w:p w:rsidR="00113C45" w:rsidRDefault="00113C45">
            <w:pPr>
              <w:rPr>
                <w:rFonts w:ascii="Arial" w:eastAsia="Gulim" w:hAnsi="Arial" w:cs="Arial"/>
                <w:sz w:val="20"/>
                <w:lang w:val="en-US" w:eastAsia="ko-KR"/>
              </w:rPr>
            </w:pPr>
          </w:p>
          <w:p w:rsidR="00113C45" w:rsidRDefault="00113C45">
            <w:pPr>
              <w:rPr>
                <w:rFonts w:ascii="Arial" w:eastAsia="Gulim" w:hAnsi="Arial" w:cs="Arial"/>
                <w:sz w:val="20"/>
                <w:lang w:val="en-US" w:eastAsia="ko-KR"/>
              </w:rPr>
            </w:pPr>
            <w:r w:rsidRPr="00113C45">
              <w:rPr>
                <w:rFonts w:ascii="Arial" w:eastAsia="Gulim" w:hAnsi="Arial" w:cs="Arial"/>
                <w:sz w:val="20"/>
                <w:lang w:val="en-US" w:eastAsia="ko-KR"/>
              </w:rPr>
              <w:t xml:space="preserve">The </w:t>
            </w:r>
            <w:r>
              <w:rPr>
                <w:rFonts w:ascii="Arial" w:eastAsia="Gulim" w:hAnsi="Arial" w:cs="Arial"/>
                <w:sz w:val="20"/>
                <w:lang w:val="en-US" w:eastAsia="ko-KR"/>
              </w:rPr>
              <w:t xml:space="preserve">following </w:t>
            </w:r>
            <w:r w:rsidRPr="00113C45">
              <w:rPr>
                <w:rFonts w:ascii="Arial" w:eastAsia="Gulim" w:hAnsi="Arial" w:cs="Arial"/>
                <w:sz w:val="20"/>
                <w:lang w:val="en-US" w:eastAsia="ko-KR"/>
              </w:rPr>
              <w:t>BRC’s response to comment i-</w:t>
            </w:r>
            <w:r w:rsidR="009F3750">
              <w:rPr>
                <w:rFonts w:ascii="Arial" w:eastAsia="Gulim" w:hAnsi="Arial" w:cs="Arial"/>
                <w:sz w:val="20"/>
                <w:lang w:val="en-US" w:eastAsia="ko-KR"/>
              </w:rPr>
              <w:t>442</w:t>
            </w:r>
            <w:r w:rsidRPr="00113C45">
              <w:rPr>
                <w:rFonts w:ascii="Arial" w:eastAsia="Gulim" w:hAnsi="Arial" w:cs="Arial"/>
                <w:sz w:val="20"/>
                <w:lang w:val="en-US" w:eastAsia="ko-KR"/>
              </w:rPr>
              <w:t xml:space="preserve"> was incorrect</w:t>
            </w:r>
            <w:r>
              <w:rPr>
                <w:rFonts w:ascii="Arial" w:eastAsia="Gulim" w:hAnsi="Arial" w:cs="Arial"/>
                <w:sz w:val="20"/>
                <w:lang w:val="en-US" w:eastAsia="ko-KR"/>
              </w:rPr>
              <w:t xml:space="preserve"> “</w:t>
            </w:r>
            <w:r w:rsidRPr="00113C45">
              <w:rPr>
                <w:rFonts w:ascii="Arial" w:eastAsia="Gulim" w:hAnsi="Arial" w:cs="Arial"/>
                <w:sz w:val="20"/>
                <w:lang w:val="en-US" w:eastAsia="ko-KR"/>
              </w:rPr>
              <w:t>The BRC can not identify which operation is considered as the MAC functionality.</w:t>
            </w:r>
            <w:r>
              <w:rPr>
                <w:rFonts w:ascii="Arial" w:eastAsia="Gulim" w:hAnsi="Arial" w:cs="Arial"/>
                <w:sz w:val="20"/>
                <w:lang w:val="en-US" w:eastAsia="ko-KR"/>
              </w:rPr>
              <w:t>”</w:t>
            </w:r>
          </w:p>
          <w:p w:rsidR="00570154" w:rsidRDefault="00570154">
            <w:pPr>
              <w:rPr>
                <w:rFonts w:ascii="Arial" w:eastAsia="Gulim" w:hAnsi="Arial" w:cs="Arial"/>
                <w:sz w:val="20"/>
                <w:lang w:val="en-US" w:eastAsia="ko-KR"/>
              </w:rPr>
            </w:pPr>
          </w:p>
          <w:p w:rsidR="00570154" w:rsidRDefault="00257BEA" w:rsidP="00570154">
            <w:pPr>
              <w:rPr>
                <w:rFonts w:ascii="Arial" w:eastAsia="Gulim" w:hAnsi="Arial" w:cs="Arial"/>
                <w:sz w:val="20"/>
                <w:lang w:val="en-US" w:eastAsia="ko-KR"/>
              </w:rPr>
            </w:pPr>
            <w:r>
              <w:rPr>
                <w:rFonts w:ascii="Arial" w:eastAsia="Gulim" w:hAnsi="Arial" w:cs="Arial"/>
                <w:sz w:val="20"/>
                <w:lang w:val="en-US" w:eastAsia="ko-KR"/>
              </w:rPr>
              <w:t xml:space="preserve">The BRC has </w:t>
            </w:r>
            <w:r w:rsidR="00B07BCF">
              <w:rPr>
                <w:rFonts w:ascii="Arial" w:eastAsia="Gulim" w:hAnsi="Arial" w:cs="Arial"/>
                <w:sz w:val="20"/>
                <w:lang w:val="en-US" w:eastAsia="ko-KR"/>
              </w:rPr>
              <w:t>agreed to move</w:t>
            </w:r>
            <w:r>
              <w:rPr>
                <w:rFonts w:ascii="Arial" w:eastAsia="Gulim" w:hAnsi="Arial" w:cs="Arial"/>
                <w:sz w:val="20"/>
                <w:lang w:val="en-US" w:eastAsia="ko-KR"/>
              </w:rPr>
              <w:t xml:space="preserve"> portions of the text to the MAC subclause, and kept the MLME portions in clause 11, inline with the general comment. </w:t>
            </w:r>
          </w:p>
          <w:p w:rsidR="00D26D84" w:rsidRDefault="00D26D84" w:rsidP="00570154">
            <w:pPr>
              <w:rPr>
                <w:rFonts w:ascii="Arial" w:eastAsia="Gulim" w:hAnsi="Arial" w:cs="Arial"/>
                <w:sz w:val="20"/>
                <w:lang w:val="en-US" w:eastAsia="ko-KR"/>
              </w:rPr>
            </w:pPr>
          </w:p>
          <w:p w:rsidR="00D26D84" w:rsidRPr="00EC50C2" w:rsidRDefault="00D26D84" w:rsidP="00570154">
            <w:pPr>
              <w:rPr>
                <w:rFonts w:ascii="Arial" w:eastAsia="Gulim" w:hAnsi="Arial" w:cs="Arial"/>
                <w:sz w:val="20"/>
                <w:lang w:val="en-US" w:eastAsia="ko-KR"/>
              </w:rPr>
            </w:pPr>
            <w:r>
              <w:rPr>
                <w:rFonts w:ascii="Arial" w:eastAsia="Gulim" w:hAnsi="Arial" w:cs="Arial"/>
                <w:sz w:val="20"/>
                <w:lang w:val="en-US" w:eastAsia="ko-KR"/>
              </w:rPr>
              <w:t>TGah editor to make the changes shown in 11-16/0453r2 under all headings for CID 9059</w:t>
            </w:r>
          </w:p>
        </w:tc>
      </w:tr>
    </w:tbl>
    <w:p w:rsidR="0085752A" w:rsidRDefault="0085752A" w:rsidP="00ED1332">
      <w:pPr>
        <w:jc w:val="both"/>
        <w:rPr>
          <w:color w:val="000000"/>
          <w:sz w:val="20"/>
          <w:lang w:val="en-US" w:eastAsia="ko-KR"/>
        </w:rPr>
      </w:pPr>
    </w:p>
    <w:p w:rsidR="00D36FBF" w:rsidRDefault="00D36FBF" w:rsidP="00ED1332">
      <w:pPr>
        <w:jc w:val="both"/>
        <w:rPr>
          <w:color w:val="000000"/>
          <w:sz w:val="20"/>
          <w:lang w:val="en-US" w:eastAsia="ko-KR"/>
        </w:rPr>
      </w:pPr>
    </w:p>
    <w:p w:rsidR="00D36FBF" w:rsidRDefault="00D36FBF" w:rsidP="00D36FBF">
      <w:pPr>
        <w:jc w:val="both"/>
        <w:rPr>
          <w:color w:val="000000"/>
          <w:sz w:val="20"/>
          <w:lang w:val="en-US" w:eastAsia="ko-KR"/>
        </w:rPr>
      </w:pPr>
      <w:r w:rsidRPr="00392C7E">
        <w:rPr>
          <w:rFonts w:hint="eastAsia"/>
          <w:b/>
          <w:i/>
          <w:color w:val="000000"/>
          <w:sz w:val="20"/>
          <w:highlight w:val="yellow"/>
          <w:lang w:val="en-US" w:eastAsia="ko-KR"/>
        </w:rPr>
        <w:t>TGah Editor modifies sub-clause 11.51 as the following</w:t>
      </w:r>
      <w:r w:rsidR="00D26D84" w:rsidRPr="00392C7E">
        <w:rPr>
          <w:b/>
          <w:i/>
          <w:color w:val="000000"/>
          <w:sz w:val="20"/>
          <w:highlight w:val="yellow"/>
          <w:lang w:val="en-US" w:eastAsia="ko-KR"/>
        </w:rPr>
        <w:t xml:space="preserve"> (9059)</w:t>
      </w:r>
      <w:r w:rsidRPr="00392C7E">
        <w:rPr>
          <w:rFonts w:hint="eastAsia"/>
          <w:b/>
          <w:i/>
          <w:color w:val="000000"/>
          <w:sz w:val="20"/>
          <w:highlight w:val="yellow"/>
          <w:lang w:val="en-US" w:eastAsia="ko-KR"/>
        </w:rPr>
        <w:t>:</w:t>
      </w:r>
      <w:r>
        <w:rPr>
          <w:rFonts w:hint="eastAsia"/>
          <w:b/>
          <w:i/>
          <w:color w:val="000000"/>
          <w:sz w:val="20"/>
          <w:lang w:val="en-US" w:eastAsia="ko-KR"/>
        </w:rPr>
        <w:t xml:space="preserve">  </w:t>
      </w:r>
    </w:p>
    <w:p w:rsidR="00D36FBF" w:rsidRPr="00C91CCE" w:rsidRDefault="00D36FBF" w:rsidP="00D36FBF">
      <w:pPr>
        <w:widowControl w:val="0"/>
        <w:autoSpaceDE w:val="0"/>
        <w:autoSpaceDN w:val="0"/>
        <w:adjustRightInd w:val="0"/>
        <w:spacing w:before="360" w:after="240"/>
        <w:rPr>
          <w:rFonts w:ascii="Arial" w:hAnsi="Arial" w:cs="Arial"/>
          <w:color w:val="000000"/>
          <w:szCs w:val="22"/>
          <w:lang w:val="en-US" w:eastAsia="ko-KR"/>
        </w:rPr>
      </w:pPr>
      <w:r w:rsidRPr="00C91CCE">
        <w:rPr>
          <w:rFonts w:ascii="Arial" w:hAnsi="Arial" w:cs="Arial"/>
          <w:b/>
          <w:bCs/>
          <w:color w:val="000000"/>
          <w:szCs w:val="22"/>
          <w:lang w:val="en-US" w:eastAsia="ko-KR"/>
        </w:rPr>
        <w:t>11.51</w:t>
      </w:r>
      <w:r>
        <w:rPr>
          <w:rFonts w:ascii="Arial" w:hAnsi="Arial" w:cs="Arial" w:hint="eastAsia"/>
          <w:b/>
          <w:bCs/>
          <w:color w:val="000000"/>
          <w:szCs w:val="22"/>
          <w:lang w:val="en-US" w:eastAsia="ko-KR"/>
        </w:rPr>
        <w:t xml:space="preserve"> </w:t>
      </w:r>
      <w:r w:rsidRPr="00C91CCE">
        <w:rPr>
          <w:rFonts w:ascii="Arial" w:hAnsi="Arial" w:cs="Arial"/>
          <w:b/>
          <w:bCs/>
          <w:color w:val="000000"/>
          <w:szCs w:val="22"/>
          <w:lang w:val="en-US" w:eastAsia="ko-KR"/>
        </w:rPr>
        <w:t>Support for energy limited STAs</w:t>
      </w:r>
    </w:p>
    <w:p w:rsidR="00D36FBF" w:rsidRDefault="00D36FBF" w:rsidP="00D36FBF">
      <w:pPr>
        <w:widowControl w:val="0"/>
        <w:autoSpaceDE w:val="0"/>
        <w:autoSpaceDN w:val="0"/>
        <w:adjustRightInd w:val="0"/>
        <w:spacing w:before="240"/>
        <w:rPr>
          <w:color w:val="000000"/>
          <w:sz w:val="20"/>
          <w:lang w:val="en-US" w:eastAsia="ko-KR"/>
        </w:rPr>
      </w:pPr>
      <w:r w:rsidRPr="00C91CCE">
        <w:rPr>
          <w:color w:val="000000"/>
          <w:sz w:val="20"/>
          <w:lang w:val="en-US" w:eastAsia="ko-KR"/>
        </w:rPr>
        <w:t>An energy limited (EL) STA is an S1G STA with dot11S1GELOperationActivated equal to true that is powered by a small energy supply and is limited in terms of its ability to transmit or receive in certain intervals of time. An EL STA may indicate these limitations to an S1G STA that intends to communicate with it by using the signalling described in this subclause. The procedure described below increases the likelihood that frame exchanges between these two STAs are performed successfully.</w:t>
      </w:r>
      <w:r w:rsidRPr="00061837">
        <w:rPr>
          <w:rFonts w:hint="eastAsia"/>
          <w:color w:val="000000"/>
          <w:sz w:val="20"/>
          <w:lang w:val="en-US" w:eastAsia="ko-KR"/>
        </w:rPr>
        <w:t xml:space="preserve"> </w:t>
      </w:r>
    </w:p>
    <w:p w:rsidR="00D36FBF" w:rsidRDefault="00D36FBF" w:rsidP="00D36FBF">
      <w:pPr>
        <w:widowControl w:val="0"/>
        <w:autoSpaceDE w:val="0"/>
        <w:autoSpaceDN w:val="0"/>
        <w:adjustRightInd w:val="0"/>
        <w:rPr>
          <w:color w:val="000000"/>
          <w:sz w:val="20"/>
          <w:lang w:val="en-US" w:eastAsia="ko-KR"/>
        </w:rPr>
      </w:pPr>
    </w:p>
    <w:p w:rsidR="00D36FBF" w:rsidRDefault="00D36FBF" w:rsidP="00D36FBF">
      <w:pPr>
        <w:widowControl w:val="0"/>
        <w:autoSpaceDE w:val="0"/>
        <w:autoSpaceDN w:val="0"/>
        <w:adjustRightInd w:val="0"/>
        <w:rPr>
          <w:color w:val="000000"/>
          <w:sz w:val="20"/>
          <w:lang w:val="en-US" w:eastAsia="ko-KR"/>
        </w:rPr>
      </w:pPr>
      <w:r w:rsidRPr="00C91CCE">
        <w:rPr>
          <w:color w:val="000000"/>
          <w:sz w:val="20"/>
          <w:lang w:val="en-US" w:eastAsia="ko-KR"/>
        </w:rPr>
        <w:t xml:space="preserve">An EL STA </w:t>
      </w:r>
      <w:r w:rsidRPr="006C4802">
        <w:rPr>
          <w:rFonts w:ascii="TimesNewRomanPSMT" w:hAnsi="TimesNewRomanPSMT" w:cs="TimesNewRomanPSMT"/>
          <w:sz w:val="20"/>
          <w:u w:val="single"/>
          <w:lang w:val="en-US" w:eastAsia="ko-KR"/>
        </w:rPr>
        <w:t>receiving</w:t>
      </w:r>
      <w:r w:rsidRPr="006C4802">
        <w:rPr>
          <w:color w:val="000000"/>
          <w:sz w:val="20"/>
          <w:u w:val="single"/>
          <w:lang w:val="en-US" w:eastAsia="ko-KR"/>
        </w:rPr>
        <w:t xml:space="preserve"> </w:t>
      </w:r>
      <w:r w:rsidRPr="006C4802">
        <w:rPr>
          <w:rFonts w:ascii="TimesNewRomanPSMT" w:hAnsi="TimesNewRomanPSMT" w:cs="TimesNewRomanPSMT"/>
          <w:sz w:val="20"/>
          <w:u w:val="single"/>
          <w:lang w:val="en-US" w:eastAsia="ko-KR"/>
        </w:rPr>
        <w:t>MLME-ACTIVITYSPECIFICATION.</w:t>
      </w:r>
      <w:r w:rsidRPr="006C4802">
        <w:rPr>
          <w:rFonts w:ascii="TimesNewRomanPSMT" w:hAnsi="TimesNewRomanPSMT" w:cs="TimesNewRomanPSMT" w:hint="eastAsia"/>
          <w:sz w:val="20"/>
          <w:u w:val="single"/>
          <w:lang w:val="en-US" w:eastAsia="ko-KR"/>
        </w:rPr>
        <w:t xml:space="preserve">request </w:t>
      </w:r>
      <w:r w:rsidRPr="006C4802">
        <w:rPr>
          <w:rFonts w:ascii="TimesNewRomanPSMT" w:hAnsi="TimesNewRomanPSMT" w:cs="TimesNewRomanPSMT"/>
          <w:sz w:val="20"/>
          <w:u w:val="single"/>
          <w:lang w:val="en-US" w:eastAsia="ko-KR"/>
        </w:rPr>
        <w:t>primitive</w:t>
      </w:r>
      <w:r>
        <w:rPr>
          <w:rFonts w:ascii="TimesNewRomanPSMT" w:hAnsi="TimesNewRomanPSMT" w:cs="TimesNewRomanPSMT" w:hint="eastAsia"/>
          <w:sz w:val="20"/>
          <w:lang w:val="en-US" w:eastAsia="ko-KR"/>
        </w:rPr>
        <w:t xml:space="preserve"> </w:t>
      </w:r>
      <w:r w:rsidRPr="00C91CCE">
        <w:rPr>
          <w:color w:val="000000"/>
          <w:sz w:val="20"/>
          <w:lang w:val="en-US" w:eastAsia="ko-KR"/>
        </w:rPr>
        <w:t>shall include an EL Operation element in Probe Request, DLS Request, DLS Response, TDLS Setup Request, TDLS Setup Response, and (Re) Association Request frames and may send EL Operation</w:t>
      </w:r>
      <w:r>
        <w:rPr>
          <w:rFonts w:hint="eastAsia"/>
          <w:color w:val="000000"/>
          <w:sz w:val="20"/>
          <w:lang w:val="en-US" w:eastAsia="ko-KR"/>
        </w:rPr>
        <w:t xml:space="preserve"> </w:t>
      </w:r>
      <w:r w:rsidRPr="00C91CCE">
        <w:rPr>
          <w:color w:val="000000"/>
          <w:sz w:val="20"/>
          <w:lang w:val="en-US" w:eastAsia="ko-KR"/>
        </w:rPr>
        <w:t>frames.</w:t>
      </w:r>
    </w:p>
    <w:p w:rsidR="00D36FBF" w:rsidRDefault="00D36FBF" w:rsidP="00D36FBF">
      <w:pPr>
        <w:widowControl w:val="0"/>
        <w:autoSpaceDE w:val="0"/>
        <w:autoSpaceDN w:val="0"/>
        <w:adjustRightInd w:val="0"/>
        <w:rPr>
          <w:color w:val="000000"/>
          <w:sz w:val="20"/>
          <w:lang w:val="en-US" w:eastAsia="ko-KR"/>
        </w:rPr>
      </w:pPr>
    </w:p>
    <w:p w:rsidR="00D36FBF" w:rsidRDefault="00D36FBF" w:rsidP="00D36FBF">
      <w:pPr>
        <w:widowControl w:val="0"/>
        <w:autoSpaceDE w:val="0"/>
        <w:autoSpaceDN w:val="0"/>
        <w:adjustRightInd w:val="0"/>
        <w:rPr>
          <w:rFonts w:ascii="TimesNewRomanPSMT" w:hAnsi="TimesNewRomanPSMT" w:cs="TimesNewRomanPSMT"/>
          <w:sz w:val="20"/>
          <w:lang w:val="en-US" w:eastAsia="ko-KR"/>
        </w:rPr>
      </w:pPr>
      <w:r w:rsidRPr="00C91CCE">
        <w:rPr>
          <w:color w:val="000000"/>
          <w:sz w:val="20"/>
          <w:lang w:val="en-US" w:eastAsia="ko-KR"/>
        </w:rPr>
        <w:t xml:space="preserve">An S1G AP that sets the STA Type Support in the S1G Capabilities element to 2 (i.e. supports only non-sensor STAs), as described in 11.50.7 (S1G BSS type and STA type), may refuse (re) association or can disassociate an EL STA. The S1G AP that refuses (re) association or disassociates an EL STA shall set the Status Code field in the (Re) Association Response frame or </w:t>
      </w:r>
      <w:r>
        <w:rPr>
          <w:color w:val="000000"/>
          <w:sz w:val="20"/>
          <w:lang w:val="en-US" w:eastAsia="ko-KR"/>
        </w:rPr>
        <w:t>in the Disassociation frame to</w:t>
      </w:r>
      <w:r>
        <w:rPr>
          <w:rFonts w:hint="eastAsia"/>
          <w:color w:val="000000"/>
          <w:sz w:val="20"/>
          <w:lang w:val="en-US" w:eastAsia="ko-KR"/>
        </w:rPr>
        <w:t xml:space="preserve"> </w:t>
      </w:r>
      <w:r w:rsidRPr="00C91CCE">
        <w:rPr>
          <w:color w:val="000000"/>
          <w:sz w:val="20"/>
          <w:lang w:val="en-US" w:eastAsia="ko-KR"/>
        </w:rPr>
        <w:lastRenderedPageBreak/>
        <w:t>ENERGY_LIMITED_OPERATION_NOT_SUPPORTED.</w:t>
      </w:r>
    </w:p>
    <w:p w:rsidR="00D36FBF" w:rsidRDefault="00D36FBF" w:rsidP="00D36FBF">
      <w:pPr>
        <w:widowControl w:val="0"/>
        <w:autoSpaceDE w:val="0"/>
        <w:autoSpaceDN w:val="0"/>
        <w:adjustRightInd w:val="0"/>
        <w:jc w:val="both"/>
        <w:rPr>
          <w:rFonts w:ascii="TimesNewRomanPSMT" w:hAnsi="TimesNewRomanPSMT" w:cs="TimesNewRomanPSMT"/>
          <w:sz w:val="20"/>
          <w:lang w:val="en-US" w:eastAsia="ko-KR"/>
        </w:rPr>
      </w:pPr>
    </w:p>
    <w:p w:rsidR="00D36FBF" w:rsidRPr="00EC1B87" w:rsidRDefault="00D36FBF" w:rsidP="00D36FBF">
      <w:pPr>
        <w:widowControl w:val="0"/>
        <w:autoSpaceDE w:val="0"/>
        <w:autoSpaceDN w:val="0"/>
        <w:adjustRightInd w:val="0"/>
        <w:rPr>
          <w:rFonts w:ascii="TimesNewRomanPSMT" w:hAnsi="TimesNewRomanPSMT" w:cs="TimesNewRomanPSMT"/>
          <w:sz w:val="20"/>
          <w:u w:val="single"/>
          <w:lang w:val="en-US" w:eastAsia="ko-KR"/>
        </w:rPr>
      </w:pPr>
      <w:r w:rsidRPr="00EC1B87">
        <w:rPr>
          <w:rFonts w:ascii="TimesNewRomanPSMT" w:hAnsi="TimesNewRomanPSMT" w:cs="TimesNewRomanPSMT"/>
          <w:sz w:val="20"/>
          <w:u w:val="single"/>
          <w:lang w:val="en-US" w:eastAsia="ko-KR"/>
        </w:rPr>
        <w:t>Upon receipt of an MLME-ACTIVITYSPECIFICATION.indication primitive, an S1G STA shall maintain two timer</w:t>
      </w:r>
      <w:r>
        <w:rPr>
          <w:rFonts w:ascii="TimesNewRomanPSMT" w:hAnsi="TimesNewRomanPSMT" w:cs="TimesNewRomanPSMT"/>
          <w:sz w:val="20"/>
          <w:u w:val="single"/>
          <w:lang w:val="en-US" w:eastAsia="ko-KR"/>
        </w:rPr>
        <w:t>s</w:t>
      </w:r>
      <w:r w:rsidRPr="00EC1B87">
        <w:rPr>
          <w:rFonts w:ascii="TimesNewRomanPSMT" w:hAnsi="TimesNewRomanPSMT" w:cs="TimesNewRomanPSMT"/>
          <w:sz w:val="20"/>
          <w:u w:val="single"/>
          <w:lang w:val="en-US" w:eastAsia="ko-KR"/>
        </w:rPr>
        <w:t xml:space="preserve">, </w:t>
      </w:r>
      <w:r w:rsidRPr="00EC1B87">
        <w:rPr>
          <w:color w:val="000000"/>
          <w:sz w:val="20"/>
          <w:u w:val="single"/>
          <w:lang w:val="en-US" w:eastAsia="ko-KR"/>
        </w:rPr>
        <w:t xml:space="preserve">ELMaxAwakeTimer and ELRecoveryTimer according </w:t>
      </w:r>
      <w:r w:rsidRPr="00EC1B87">
        <w:rPr>
          <w:rFonts w:ascii="TimesNewRomanPSMT" w:hAnsi="TimesNewRomanPSMT" w:cs="TimesNewRomanPSMT"/>
          <w:sz w:val="20"/>
          <w:u w:val="single"/>
          <w:lang w:val="en-US" w:eastAsia="ko-KR"/>
        </w:rPr>
        <w:t>to the procedures defined in 10.</w:t>
      </w:r>
      <w:r>
        <w:rPr>
          <w:rFonts w:ascii="TimesNewRomanPSMT" w:hAnsi="TimesNewRomanPSMT" w:cs="TimesNewRomanPSMT"/>
          <w:sz w:val="20"/>
          <w:u w:val="single"/>
          <w:lang w:val="en-US" w:eastAsia="ko-KR"/>
        </w:rPr>
        <w:t xml:space="preserve">59 </w:t>
      </w:r>
      <w:r w:rsidRPr="00EC1B87">
        <w:rPr>
          <w:rFonts w:ascii="TimesNewRomanPSMT" w:hAnsi="TimesNewRomanPSMT" w:cs="TimesNewRomanPSMT"/>
          <w:sz w:val="20"/>
          <w:u w:val="single"/>
          <w:lang w:val="en-US" w:eastAsia="ko-KR"/>
        </w:rPr>
        <w:t>(Energy limited STAs</w:t>
      </w:r>
      <w:r w:rsidRPr="00EC1B87" w:rsidDel="00C91CCE">
        <w:rPr>
          <w:rFonts w:ascii="TimesNewRomanPSMT" w:hAnsi="TimesNewRomanPSMT" w:cs="TimesNewRomanPSMT"/>
          <w:sz w:val="20"/>
          <w:u w:val="single"/>
          <w:lang w:val="en-US" w:eastAsia="ko-KR"/>
        </w:rPr>
        <w:t xml:space="preserve"> </w:t>
      </w:r>
      <w:r w:rsidRPr="00EC1B87">
        <w:rPr>
          <w:rFonts w:ascii="TimesNewRomanPSMT" w:hAnsi="TimesNewRomanPSMT" w:cs="TimesNewRomanPSMT"/>
          <w:sz w:val="20"/>
          <w:u w:val="single"/>
          <w:lang w:val="en-US" w:eastAsia="ko-KR"/>
        </w:rPr>
        <w:t xml:space="preserve">operation). </w:t>
      </w:r>
    </w:p>
    <w:p w:rsidR="00D36FBF" w:rsidRDefault="00D36FBF" w:rsidP="00D36FBF">
      <w:pPr>
        <w:widowControl w:val="0"/>
        <w:autoSpaceDE w:val="0"/>
        <w:autoSpaceDN w:val="0"/>
        <w:adjustRightInd w:val="0"/>
        <w:rPr>
          <w:color w:val="000000"/>
          <w:sz w:val="24"/>
          <w:szCs w:val="24"/>
          <w:lang w:val="en-US" w:eastAsia="ko-KR"/>
        </w:rPr>
      </w:pPr>
    </w:p>
    <w:p w:rsidR="00D36FBF" w:rsidRPr="00EC1B87" w:rsidRDefault="00D36FBF" w:rsidP="00D36FBF">
      <w:pPr>
        <w:jc w:val="both"/>
        <w:rPr>
          <w:b/>
          <w:i/>
          <w:color w:val="000000"/>
          <w:sz w:val="20"/>
          <w:lang w:val="en-US" w:eastAsia="ko-KR"/>
        </w:rPr>
      </w:pPr>
      <w:r w:rsidRPr="009B0116">
        <w:rPr>
          <w:rFonts w:hint="eastAsia"/>
          <w:b/>
          <w:i/>
          <w:color w:val="000000"/>
          <w:sz w:val="20"/>
          <w:highlight w:val="yellow"/>
          <w:lang w:val="en-US" w:eastAsia="ko-KR"/>
        </w:rPr>
        <w:t>TGah Editor moves all contents (including figure) after 3</w:t>
      </w:r>
      <w:r w:rsidRPr="009B0116">
        <w:rPr>
          <w:b/>
          <w:i/>
          <w:color w:val="000000"/>
          <w:sz w:val="20"/>
          <w:highlight w:val="yellow"/>
          <w:vertAlign w:val="superscript"/>
          <w:lang w:val="en-US" w:eastAsia="ko-KR"/>
        </w:rPr>
        <w:t>rd</w:t>
      </w:r>
      <w:r w:rsidRPr="009B0116">
        <w:rPr>
          <w:rFonts w:hint="eastAsia"/>
          <w:b/>
          <w:i/>
          <w:color w:val="000000"/>
          <w:sz w:val="20"/>
          <w:highlight w:val="yellow"/>
          <w:lang w:val="en-US" w:eastAsia="ko-KR"/>
        </w:rPr>
        <w:t xml:space="preserve"> paragraph of 11.51 to a new sub-clause in clause 10 as the below.</w:t>
      </w:r>
      <w:r>
        <w:rPr>
          <w:rFonts w:hint="eastAsia"/>
          <w:b/>
          <w:i/>
          <w:color w:val="000000"/>
          <w:sz w:val="20"/>
          <w:lang w:val="en-US" w:eastAsia="ko-KR"/>
        </w:rPr>
        <w:t xml:space="preserve"> </w:t>
      </w:r>
    </w:p>
    <w:p w:rsidR="00D36FBF" w:rsidRPr="00EC1B87" w:rsidRDefault="00D36FBF" w:rsidP="00D36FBF">
      <w:pPr>
        <w:widowControl w:val="0"/>
        <w:autoSpaceDE w:val="0"/>
        <w:autoSpaceDN w:val="0"/>
        <w:adjustRightInd w:val="0"/>
        <w:spacing w:before="360" w:after="240"/>
        <w:rPr>
          <w:rFonts w:ascii="Arial" w:hAnsi="Arial" w:cs="Arial"/>
          <w:color w:val="000000"/>
          <w:szCs w:val="22"/>
          <w:u w:val="single"/>
          <w:lang w:val="en-US" w:eastAsia="ko-KR"/>
        </w:rPr>
      </w:pPr>
      <w:r w:rsidRPr="00EC1B87">
        <w:rPr>
          <w:rFonts w:ascii="Arial" w:hAnsi="Arial" w:cs="Arial"/>
          <w:b/>
          <w:bCs/>
          <w:color w:val="000000"/>
          <w:szCs w:val="22"/>
          <w:u w:val="single"/>
          <w:lang w:val="en-US" w:eastAsia="ko-KR"/>
        </w:rPr>
        <w:t>10.59 Energy limited STAs operation</w:t>
      </w:r>
    </w:p>
    <w:p w:rsidR="00D36FBF" w:rsidRPr="00EC1B87" w:rsidRDefault="00D36FBF" w:rsidP="00D36FBF">
      <w:pPr>
        <w:widowControl w:val="0"/>
        <w:autoSpaceDE w:val="0"/>
        <w:autoSpaceDN w:val="0"/>
        <w:adjustRightInd w:val="0"/>
        <w:spacing w:before="240"/>
        <w:jc w:val="both"/>
        <w:rPr>
          <w:color w:val="000000"/>
          <w:sz w:val="20"/>
          <w:u w:val="single"/>
          <w:lang w:val="en-US" w:eastAsia="ko-KR"/>
        </w:rPr>
      </w:pPr>
      <w:r w:rsidRPr="00EC1B87">
        <w:rPr>
          <w:color w:val="000000"/>
          <w:sz w:val="20"/>
          <w:u w:val="single"/>
          <w:lang w:val="en-US" w:eastAsia="ko-KR"/>
        </w:rPr>
        <w:t>An S1G STA keeps two timers, ELMaxAwakeTimer and ELRecoveryTimer, for each EL STA and these timers are initialized upon successful reception of an EL Operation element from the EL STA:</w:t>
      </w:r>
    </w:p>
    <w:p w:rsidR="00D36FBF" w:rsidRPr="00EC1B87" w:rsidRDefault="00D36FBF" w:rsidP="00D36FBF">
      <w:pPr>
        <w:widowControl w:val="0"/>
        <w:autoSpaceDE w:val="0"/>
        <w:autoSpaceDN w:val="0"/>
        <w:adjustRightInd w:val="0"/>
        <w:spacing w:before="60" w:after="60"/>
        <w:jc w:val="both"/>
        <w:rPr>
          <w:color w:val="000000"/>
          <w:sz w:val="20"/>
          <w:u w:val="single"/>
          <w:lang w:val="en-US" w:eastAsia="ko-KR"/>
        </w:rPr>
      </w:pPr>
      <w:r w:rsidRPr="00EC1B87">
        <w:rPr>
          <w:color w:val="000000"/>
          <w:sz w:val="20"/>
          <w:u w:val="single"/>
          <w:lang w:val="en-US" w:eastAsia="ko-KR"/>
        </w:rPr>
        <w:t>—The ELMaxAwakeTimer is set to 0.</w:t>
      </w:r>
    </w:p>
    <w:p w:rsidR="00D36FBF" w:rsidRDefault="00D36FBF" w:rsidP="00D36FBF">
      <w:pPr>
        <w:widowControl w:val="0"/>
        <w:autoSpaceDE w:val="0"/>
        <w:autoSpaceDN w:val="0"/>
        <w:adjustRightInd w:val="0"/>
        <w:rPr>
          <w:color w:val="000000"/>
          <w:sz w:val="20"/>
          <w:u w:val="single"/>
        </w:rPr>
      </w:pPr>
      <w:r w:rsidRPr="00EC1B87">
        <w:rPr>
          <w:color w:val="000000"/>
          <w:sz w:val="20"/>
          <w:u w:val="single"/>
          <w:lang w:val="en-US" w:eastAsia="ko-KR"/>
        </w:rPr>
        <w:t>—The ELRecoveryTimer is set to the value of the Recovery Time Duration field of the EL Operation</w:t>
      </w:r>
      <w:r>
        <w:rPr>
          <w:color w:val="000000"/>
          <w:sz w:val="20"/>
          <w:u w:val="single"/>
          <w:lang w:val="en-US" w:eastAsia="ko-KR"/>
        </w:rPr>
        <w:t xml:space="preserve"> </w:t>
      </w:r>
      <w:r w:rsidRPr="00EC1B87">
        <w:rPr>
          <w:color w:val="000000"/>
          <w:sz w:val="20"/>
          <w:u w:val="single"/>
          <w:lang w:val="en-US" w:eastAsia="ko-KR"/>
        </w:rPr>
        <w:t>element.</w:t>
      </w:r>
    </w:p>
    <w:p w:rsidR="00D36FBF" w:rsidRDefault="00D36FBF" w:rsidP="00D36FBF">
      <w:pPr>
        <w:widowControl w:val="0"/>
        <w:autoSpaceDE w:val="0"/>
        <w:autoSpaceDN w:val="0"/>
        <w:adjustRightInd w:val="0"/>
        <w:rPr>
          <w:color w:val="000000"/>
          <w:sz w:val="20"/>
          <w:u w:val="single"/>
        </w:rPr>
      </w:pPr>
      <w:r>
        <w:rPr>
          <w:color w:val="000000"/>
          <w:sz w:val="20"/>
          <w:u w:val="single"/>
          <w:lang w:val="en-US" w:eastAsia="ko-KR"/>
        </w:rPr>
        <w:t>…</w:t>
      </w:r>
    </w:p>
    <w:p w:rsidR="00D36FBF" w:rsidRDefault="00D36FBF" w:rsidP="00D36FBF">
      <w:pPr>
        <w:widowControl w:val="0"/>
        <w:autoSpaceDE w:val="0"/>
        <w:autoSpaceDN w:val="0"/>
        <w:adjustRightInd w:val="0"/>
        <w:rPr>
          <w:color w:val="000000"/>
          <w:sz w:val="20"/>
          <w:u w:val="single"/>
        </w:rPr>
      </w:pPr>
      <w:r>
        <w:rPr>
          <w:color w:val="000000"/>
          <w:sz w:val="20"/>
          <w:u w:val="single"/>
          <w:lang w:val="en-US" w:eastAsia="ko-KR"/>
        </w:rPr>
        <w:t>…</w:t>
      </w:r>
    </w:p>
    <w:p w:rsidR="00D36FBF" w:rsidRDefault="00D36FBF" w:rsidP="00D36FBF">
      <w:pPr>
        <w:widowControl w:val="0"/>
        <w:autoSpaceDE w:val="0"/>
        <w:autoSpaceDN w:val="0"/>
        <w:adjustRightInd w:val="0"/>
        <w:rPr>
          <w:color w:val="000000"/>
          <w:sz w:val="20"/>
          <w:u w:val="single"/>
        </w:rPr>
      </w:pPr>
      <w:r>
        <w:rPr>
          <w:color w:val="000000"/>
          <w:sz w:val="20"/>
          <w:u w:val="single"/>
          <w:lang w:val="en-US" w:eastAsia="ko-KR"/>
        </w:rPr>
        <w:t>…</w:t>
      </w:r>
    </w:p>
    <w:p w:rsidR="00D36FBF" w:rsidRDefault="00D36FBF" w:rsidP="00D36FBF">
      <w:pPr>
        <w:widowControl w:val="0"/>
        <w:autoSpaceDE w:val="0"/>
        <w:autoSpaceDN w:val="0"/>
        <w:adjustRightInd w:val="0"/>
        <w:rPr>
          <w:rFonts w:ascii="TimesNewRomanPSMT" w:hAnsi="TimesNewRomanPSMT" w:cs="TimesNewRomanPSMT"/>
          <w:sz w:val="20"/>
          <w:u w:val="single"/>
          <w:lang w:val="en-US" w:eastAsia="ko-KR"/>
        </w:rPr>
      </w:pPr>
      <w:r w:rsidRPr="00EC1B87">
        <w:rPr>
          <w:rStyle w:val="SC11274497"/>
          <w:u w:val="single"/>
        </w:rPr>
        <w:t>When the S1G STA cannot complete frames exchanges within ELMaxAwakeTimer, a new back-off procedure is invoked after stopping the current transmission and once the ELRecoveryTimer has expired.</w:t>
      </w:r>
      <w:r w:rsidRPr="00EC1B87" w:rsidDel="00C91CCE">
        <w:rPr>
          <w:rFonts w:ascii="TimesNewRomanPSMT" w:hAnsi="TimesNewRomanPSMT" w:cs="TimesNewRomanPSMT"/>
          <w:sz w:val="20"/>
          <w:u w:val="single"/>
          <w:lang w:val="en-US" w:eastAsia="ko-KR"/>
        </w:rPr>
        <w:t xml:space="preserve"> </w:t>
      </w:r>
    </w:p>
    <w:p w:rsidR="00D36FBF" w:rsidRDefault="00D36FBF" w:rsidP="00ED1332">
      <w:pPr>
        <w:jc w:val="both"/>
        <w:rPr>
          <w:color w:val="000000"/>
          <w:sz w:val="20"/>
          <w:lang w:val="en-US" w:eastAsia="ko-KR"/>
        </w:rPr>
      </w:pPr>
    </w:p>
    <w:p w:rsidR="00061837" w:rsidRPr="0085752A" w:rsidRDefault="00061837" w:rsidP="00ED1332">
      <w:pPr>
        <w:jc w:val="both"/>
        <w:rPr>
          <w:color w:val="000000"/>
          <w:sz w:val="20"/>
          <w:lang w:val="en-US" w:eastAsia="ko-KR"/>
        </w:rPr>
      </w:pPr>
    </w:p>
    <w:p w:rsidR="00926C31" w:rsidRDefault="00926C31" w:rsidP="00EC1B87">
      <w:pPr>
        <w:widowControl w:val="0"/>
        <w:autoSpaceDE w:val="0"/>
        <w:autoSpaceDN w:val="0"/>
        <w:adjustRightInd w:val="0"/>
        <w:rPr>
          <w:rFonts w:ascii="TimesNewRomanPSMT" w:hAnsi="TimesNewRomanPSMT" w:cs="TimesNewRomanPSMT"/>
          <w:sz w:val="20"/>
          <w:u w:val="single"/>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926C31" w:rsidRPr="00B4526A" w:rsidTr="00054FF5">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6C31" w:rsidRPr="00B4526A" w:rsidRDefault="00926C31"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926C31" w:rsidRPr="00EC50C2" w:rsidTr="00054FF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926C31" w:rsidRPr="00EC50C2" w:rsidRDefault="00926C31" w:rsidP="00054FF5">
            <w:pPr>
              <w:jc w:val="right"/>
              <w:rPr>
                <w:rFonts w:ascii="Arial" w:eastAsia="Gulim" w:hAnsi="Arial" w:cs="Arial"/>
                <w:sz w:val="20"/>
                <w:lang w:val="en-US" w:eastAsia="ko-KR"/>
              </w:rPr>
            </w:pPr>
            <w:r w:rsidRPr="00EC50C2">
              <w:rPr>
                <w:rFonts w:ascii="Arial" w:eastAsia="Gulim" w:hAnsi="Arial" w:cs="Arial"/>
                <w:sz w:val="20"/>
                <w:lang w:val="en-US" w:eastAsia="ko-KR"/>
              </w:rPr>
              <w:t>9060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926C31" w:rsidRPr="00EC50C2" w:rsidRDefault="00926C31" w:rsidP="00054FF5">
            <w:pPr>
              <w:jc w:val="right"/>
              <w:rPr>
                <w:rFonts w:ascii="Arial" w:hAnsi="Arial" w:cs="Arial"/>
                <w:sz w:val="20"/>
                <w:lang w:eastAsia="ko-KR"/>
              </w:rPr>
            </w:pPr>
            <w:r w:rsidRPr="00EC50C2">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926C31" w:rsidRPr="00EC50C2" w:rsidRDefault="00926C31" w:rsidP="00054FF5">
            <w:pPr>
              <w:rPr>
                <w:rFonts w:ascii="Arial" w:hAnsi="Arial" w:cs="Arial"/>
                <w:sz w:val="20"/>
              </w:rPr>
            </w:pPr>
            <w:r w:rsidRPr="00EC50C2">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926C31" w:rsidRPr="00EC50C2" w:rsidRDefault="00926C31" w:rsidP="00054FF5">
            <w:pPr>
              <w:rPr>
                <w:rFonts w:ascii="Arial" w:hAnsi="Arial" w:cs="Arial"/>
                <w:sz w:val="20"/>
              </w:rPr>
            </w:pPr>
            <w:r w:rsidRPr="00EC50C2">
              <w:rPr>
                <w:rFonts w:ascii="Arial" w:hAnsi="Arial" w:cs="Arial"/>
                <w:sz w:val="20"/>
              </w:rPr>
              <w:t>The reason given for rejecting i-440 asserts that the BRC has no idea what is MAC functionality and what is MAC service interface.  This reinforces the commenters assertion that there is inappropriate text in the clause  and that the change is inconsistent with the base 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926C31" w:rsidRPr="00EC50C2" w:rsidRDefault="00926C31" w:rsidP="00054FF5">
            <w:pPr>
              <w:rPr>
                <w:rFonts w:ascii="Arial" w:hAnsi="Arial" w:cs="Arial"/>
                <w:sz w:val="20"/>
              </w:rPr>
            </w:pPr>
            <w:r w:rsidRPr="00EC50C2">
              <w:rPr>
                <w:rFonts w:ascii="Arial" w:hAnsi="Arial" w:cs="Arial"/>
                <w:sz w:val="20"/>
              </w:rPr>
              <w:t>Remove all changes to the 802.11 MAC contained in this amendment.  Delete clauses 5, 6, 9, 10, 11, and 12 from this draft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C3EBA" w:rsidRDefault="00BC3EBA" w:rsidP="00BC3EBA">
            <w:pPr>
              <w:rPr>
                <w:rFonts w:ascii="Arial" w:eastAsia="Gulim" w:hAnsi="Arial" w:cs="Arial"/>
                <w:sz w:val="20"/>
                <w:lang w:val="en-US" w:eastAsia="ko-KR"/>
              </w:rPr>
            </w:pPr>
            <w:r>
              <w:rPr>
                <w:rFonts w:ascii="Arial" w:eastAsia="Gulim" w:hAnsi="Arial" w:cs="Arial"/>
                <w:sz w:val="20"/>
                <w:lang w:val="en-US" w:eastAsia="ko-KR"/>
              </w:rPr>
              <w:t>Re</w:t>
            </w:r>
            <w:r w:rsidR="00B07BCF">
              <w:rPr>
                <w:rFonts w:ascii="Arial" w:eastAsia="Gulim" w:hAnsi="Arial" w:cs="Arial"/>
                <w:sz w:val="20"/>
                <w:lang w:val="en-US" w:eastAsia="ko-KR"/>
              </w:rPr>
              <w:t>vised</w:t>
            </w:r>
            <w:r>
              <w:rPr>
                <w:rFonts w:ascii="Arial" w:eastAsia="Gulim" w:hAnsi="Arial" w:cs="Arial"/>
                <w:sz w:val="20"/>
                <w:lang w:val="en-US" w:eastAsia="ko-KR"/>
              </w:rPr>
              <w:t xml:space="preserve"> –</w:t>
            </w:r>
          </w:p>
          <w:p w:rsidR="00B07BCF" w:rsidRDefault="00B07BCF" w:rsidP="00B07BCF">
            <w:pPr>
              <w:rPr>
                <w:rFonts w:ascii="Arial" w:eastAsia="Gulim" w:hAnsi="Arial" w:cs="Arial"/>
                <w:sz w:val="20"/>
                <w:lang w:val="en-US" w:eastAsia="ko-KR"/>
              </w:rPr>
            </w:pPr>
          </w:p>
          <w:p w:rsidR="00B07BCF" w:rsidRDefault="00B07BCF" w:rsidP="00B07BCF">
            <w:pPr>
              <w:rPr>
                <w:rFonts w:ascii="Arial" w:eastAsia="Gulim" w:hAnsi="Arial" w:cs="Arial"/>
                <w:sz w:val="20"/>
                <w:lang w:val="en-US" w:eastAsia="ko-KR"/>
              </w:rPr>
            </w:pPr>
            <w:r w:rsidRPr="00113C45">
              <w:rPr>
                <w:rFonts w:ascii="Arial" w:eastAsia="Gulim" w:hAnsi="Arial" w:cs="Arial"/>
                <w:sz w:val="20"/>
                <w:lang w:val="en-US" w:eastAsia="ko-KR"/>
              </w:rPr>
              <w:t xml:space="preserve">The </w:t>
            </w:r>
            <w:r>
              <w:rPr>
                <w:rFonts w:ascii="Arial" w:eastAsia="Gulim" w:hAnsi="Arial" w:cs="Arial"/>
                <w:sz w:val="20"/>
                <w:lang w:val="en-US" w:eastAsia="ko-KR"/>
              </w:rPr>
              <w:t xml:space="preserve">following </w:t>
            </w:r>
            <w:r w:rsidRPr="00113C45">
              <w:rPr>
                <w:rFonts w:ascii="Arial" w:eastAsia="Gulim" w:hAnsi="Arial" w:cs="Arial"/>
                <w:sz w:val="20"/>
                <w:lang w:val="en-US" w:eastAsia="ko-KR"/>
              </w:rPr>
              <w:t>BRC’s response to comment i-</w:t>
            </w:r>
            <w:r>
              <w:rPr>
                <w:rFonts w:ascii="Arial" w:eastAsia="Gulim" w:hAnsi="Arial" w:cs="Arial"/>
                <w:sz w:val="20"/>
                <w:lang w:val="en-US" w:eastAsia="ko-KR"/>
              </w:rPr>
              <w:t>442</w:t>
            </w:r>
            <w:r w:rsidRPr="00113C45">
              <w:rPr>
                <w:rFonts w:ascii="Arial" w:eastAsia="Gulim" w:hAnsi="Arial" w:cs="Arial"/>
                <w:sz w:val="20"/>
                <w:lang w:val="en-US" w:eastAsia="ko-KR"/>
              </w:rPr>
              <w:t xml:space="preserve"> was incorrect</w:t>
            </w:r>
            <w:r>
              <w:rPr>
                <w:rFonts w:ascii="Arial" w:eastAsia="Gulim" w:hAnsi="Arial" w:cs="Arial"/>
                <w:sz w:val="20"/>
                <w:lang w:val="en-US" w:eastAsia="ko-KR"/>
              </w:rPr>
              <w:t xml:space="preserve"> “</w:t>
            </w:r>
            <w:r w:rsidRPr="00113C45">
              <w:rPr>
                <w:rFonts w:ascii="Arial" w:eastAsia="Gulim" w:hAnsi="Arial" w:cs="Arial"/>
                <w:sz w:val="20"/>
                <w:lang w:val="en-US" w:eastAsia="ko-KR"/>
              </w:rPr>
              <w:t>The BRC can not identify which operation is considered as the MAC functionality.</w:t>
            </w:r>
            <w:r>
              <w:rPr>
                <w:rFonts w:ascii="Arial" w:eastAsia="Gulim" w:hAnsi="Arial" w:cs="Arial"/>
                <w:sz w:val="20"/>
                <w:lang w:val="en-US" w:eastAsia="ko-KR"/>
              </w:rPr>
              <w:t>”</w:t>
            </w:r>
          </w:p>
          <w:p w:rsidR="00B07BCF" w:rsidRDefault="00B07BCF" w:rsidP="00B07BCF">
            <w:pPr>
              <w:rPr>
                <w:rFonts w:ascii="Arial" w:eastAsia="Gulim" w:hAnsi="Arial" w:cs="Arial"/>
                <w:sz w:val="20"/>
                <w:lang w:val="en-US" w:eastAsia="ko-KR"/>
              </w:rPr>
            </w:pPr>
          </w:p>
          <w:p w:rsidR="00BC3EBA" w:rsidRDefault="00B07BCF" w:rsidP="00B07BCF">
            <w:pPr>
              <w:rPr>
                <w:rFonts w:ascii="Arial" w:eastAsia="Gulim" w:hAnsi="Arial" w:cs="Arial"/>
                <w:sz w:val="20"/>
                <w:lang w:val="en-US" w:eastAsia="ko-KR"/>
              </w:rPr>
            </w:pPr>
            <w:r>
              <w:rPr>
                <w:rFonts w:ascii="Arial" w:eastAsia="Gulim" w:hAnsi="Arial" w:cs="Arial"/>
                <w:sz w:val="20"/>
                <w:lang w:val="en-US" w:eastAsia="ko-KR"/>
              </w:rPr>
              <w:t>The BRC has agreed to move</w:t>
            </w:r>
            <w:r>
              <w:rPr>
                <w:rFonts w:ascii="Arial" w:eastAsia="Gulim" w:hAnsi="Arial" w:cs="Arial"/>
                <w:sz w:val="20"/>
                <w:lang w:val="en-US" w:eastAsia="ko-KR"/>
              </w:rPr>
              <w:t xml:space="preserve"> the text to the MAC subclause, inline with the general comment.</w:t>
            </w:r>
          </w:p>
          <w:p w:rsidR="00B07BCF" w:rsidRDefault="00B07BCF" w:rsidP="00BC3EBA">
            <w:pPr>
              <w:rPr>
                <w:rFonts w:ascii="Arial" w:eastAsia="Gulim" w:hAnsi="Arial" w:cs="Arial"/>
                <w:sz w:val="20"/>
                <w:lang w:val="en-US" w:eastAsia="ko-KR"/>
              </w:rPr>
            </w:pPr>
          </w:p>
          <w:p w:rsidR="00926C31" w:rsidRPr="00EC50C2" w:rsidRDefault="005A177B" w:rsidP="005A177B">
            <w:pPr>
              <w:rPr>
                <w:rFonts w:ascii="Arial" w:eastAsia="Gulim" w:hAnsi="Arial" w:cs="Arial"/>
                <w:sz w:val="20"/>
                <w:lang w:val="en-US" w:eastAsia="ko-KR"/>
              </w:rPr>
            </w:pPr>
            <w:r>
              <w:rPr>
                <w:rFonts w:ascii="Arial" w:eastAsia="Gulim" w:hAnsi="Arial" w:cs="Arial"/>
                <w:sz w:val="20"/>
                <w:lang w:val="en-US" w:eastAsia="ko-KR"/>
              </w:rPr>
              <w:t xml:space="preserve">TGah editor: Move subclause </w:t>
            </w:r>
            <w:r w:rsidR="00B07BCF" w:rsidRPr="00B07BCF">
              <w:rPr>
                <w:rFonts w:ascii="Arial" w:eastAsia="Gulim" w:hAnsi="Arial" w:cs="Arial"/>
                <w:sz w:val="20"/>
                <w:lang w:val="en-US" w:eastAsia="ko-KR"/>
              </w:rPr>
              <w:t xml:space="preserve">11.50.7 </w:t>
            </w:r>
            <w:r>
              <w:rPr>
                <w:rFonts w:ascii="Arial" w:eastAsia="Gulim" w:hAnsi="Arial" w:cs="Arial"/>
                <w:sz w:val="20"/>
                <w:lang w:val="en-US" w:eastAsia="ko-KR"/>
              </w:rPr>
              <w:t>(</w:t>
            </w:r>
            <w:r w:rsidR="00B07BCF" w:rsidRPr="00B07BCF">
              <w:rPr>
                <w:rFonts w:ascii="Arial" w:eastAsia="Gulim" w:hAnsi="Arial" w:cs="Arial"/>
                <w:sz w:val="20"/>
                <w:lang w:val="en-US" w:eastAsia="ko-KR"/>
              </w:rPr>
              <w:t>S1G BSS type and STA type</w:t>
            </w:r>
            <w:r>
              <w:rPr>
                <w:rFonts w:ascii="Arial" w:eastAsia="Gulim" w:hAnsi="Arial" w:cs="Arial"/>
                <w:sz w:val="20"/>
                <w:lang w:val="en-US" w:eastAsia="ko-KR"/>
              </w:rPr>
              <w:t>) and its content to a new subclause 10.59a (S1G BSS type and STA type).</w:t>
            </w:r>
          </w:p>
        </w:tc>
      </w:tr>
    </w:tbl>
    <w:p w:rsidR="000D264C" w:rsidRDefault="00926C31" w:rsidP="00EC1B87">
      <w:pPr>
        <w:widowControl w:val="0"/>
        <w:autoSpaceDE w:val="0"/>
        <w:autoSpaceDN w:val="0"/>
        <w:adjustRightInd w:val="0"/>
        <w:rPr>
          <w:rFonts w:ascii="TimesNewRomanPSMT" w:hAnsi="TimesNewRomanPSMT" w:cs="TimesNewRomanPSMT"/>
          <w:sz w:val="20"/>
          <w:u w:val="single"/>
          <w:lang w:val="en-US" w:eastAsia="ko-KR"/>
        </w:rPr>
      </w:pPr>
      <w:r w:rsidRPr="00926C31" w:rsidDel="00C91CCE">
        <w:rPr>
          <w:rFonts w:ascii="TimesNewRomanPSMT" w:hAnsi="TimesNewRomanPSMT" w:cs="TimesNewRomanPSMT"/>
          <w:sz w:val="20"/>
          <w:u w:val="single"/>
          <w:lang w:val="en-US" w:eastAsia="ko-KR"/>
        </w:rPr>
        <w:t xml:space="preserve"> </w:t>
      </w:r>
    </w:p>
    <w:p w:rsidR="00E223AF" w:rsidRDefault="00E223AF" w:rsidP="00E223AF">
      <w:pPr>
        <w:jc w:val="both"/>
        <w:rPr>
          <w:rFonts w:ascii="Arial" w:hAnsi="Arial" w:cs="Arial"/>
          <w:b/>
          <w:bCs/>
          <w:color w:val="000000"/>
          <w:sz w:val="20"/>
          <w:lang w:val="en-US" w:eastAsia="ko-KR"/>
        </w:rPr>
      </w:pPr>
    </w:p>
    <w:p w:rsidR="00F25C90" w:rsidRDefault="00F25C90" w:rsidP="00F25C90">
      <w:pPr>
        <w:widowControl w:val="0"/>
        <w:autoSpaceDE w:val="0"/>
        <w:autoSpaceDN w:val="0"/>
        <w:adjustRightInd w:val="0"/>
        <w:rPr>
          <w:rFonts w:ascii="TimesNewRomanPSMT" w:hAnsi="TimesNewRomanPSMT" w:cs="TimesNewRomanPSMT"/>
          <w:sz w:val="20"/>
          <w:u w:val="single"/>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F25C90" w:rsidRPr="00B4526A" w:rsidTr="00056DA9">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25C90" w:rsidRPr="00B4526A" w:rsidRDefault="00F25C90" w:rsidP="00056DA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F25C90" w:rsidRPr="00EC50C2" w:rsidTr="00056DA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F25C90" w:rsidRPr="00EC50C2" w:rsidRDefault="00F25C90" w:rsidP="00056DA9">
            <w:pPr>
              <w:jc w:val="right"/>
              <w:rPr>
                <w:rFonts w:ascii="Arial" w:eastAsia="Gulim" w:hAnsi="Arial" w:cs="Arial"/>
                <w:sz w:val="20"/>
                <w:lang w:val="en-US" w:eastAsia="ko-KR"/>
              </w:rPr>
            </w:pPr>
            <w:r w:rsidRPr="00EC50C2">
              <w:rPr>
                <w:rFonts w:ascii="Arial" w:eastAsia="Gulim" w:hAnsi="Arial" w:cs="Arial"/>
                <w:sz w:val="20"/>
                <w:lang w:val="en-US" w:eastAsia="ko-KR"/>
              </w:rPr>
              <w:t>9063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F25C90" w:rsidRPr="00EC50C2" w:rsidRDefault="00F25C90" w:rsidP="00056DA9">
            <w:pPr>
              <w:jc w:val="right"/>
              <w:rPr>
                <w:rFonts w:ascii="Arial" w:hAnsi="Arial" w:cs="Arial"/>
                <w:sz w:val="20"/>
                <w:lang w:eastAsia="ko-KR"/>
              </w:rPr>
            </w:pPr>
            <w:r w:rsidRPr="00EC50C2">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F25C90" w:rsidRPr="00EC50C2" w:rsidRDefault="00F25C90" w:rsidP="00056DA9">
            <w:pPr>
              <w:rPr>
                <w:rFonts w:ascii="Arial" w:hAnsi="Arial" w:cs="Arial"/>
                <w:sz w:val="20"/>
              </w:rPr>
            </w:pPr>
            <w:r w:rsidRPr="00EC50C2">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F25C90" w:rsidRPr="00EC50C2" w:rsidRDefault="00F25C90" w:rsidP="00056DA9">
            <w:pPr>
              <w:rPr>
                <w:rFonts w:ascii="Arial" w:hAnsi="Arial" w:cs="Arial"/>
                <w:sz w:val="20"/>
              </w:rPr>
            </w:pPr>
            <w:r w:rsidRPr="00EC50C2">
              <w:rPr>
                <w:rFonts w:ascii="Arial" w:hAnsi="Arial" w:cs="Arial"/>
                <w:sz w:val="20"/>
              </w:rPr>
              <w:t xml:space="preserve">The reason given for rejecting i-432 asserts that the BRC has no idea what is MAC functionality and what is MAC service interface.  This reinforces </w:t>
            </w:r>
            <w:r w:rsidRPr="00EC50C2">
              <w:rPr>
                <w:rFonts w:ascii="Arial" w:hAnsi="Arial" w:cs="Arial"/>
                <w:sz w:val="20"/>
              </w:rPr>
              <w:lastRenderedPageBreak/>
              <w:t>the commenters assertion that there is inappropriate text in the clause  and that the change is inconsistent with the base 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F25C90" w:rsidRPr="00EC50C2" w:rsidRDefault="00F25C90" w:rsidP="00056DA9">
            <w:pPr>
              <w:rPr>
                <w:rFonts w:ascii="Arial" w:hAnsi="Arial" w:cs="Arial"/>
                <w:sz w:val="20"/>
              </w:rPr>
            </w:pPr>
            <w:r w:rsidRPr="00EC50C2">
              <w:rPr>
                <w:rFonts w:ascii="Arial" w:hAnsi="Arial" w:cs="Arial"/>
                <w:sz w:val="20"/>
              </w:rPr>
              <w:lastRenderedPageBreak/>
              <w:t>Remove all changes to the 802.11 MAC contained in this amendment.  Delete clauses 5, 6, 9, 10, 11, and 12 from this draft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C3EBA" w:rsidRDefault="00BC3EBA" w:rsidP="00BC3EBA">
            <w:pPr>
              <w:rPr>
                <w:rFonts w:ascii="Arial" w:eastAsia="Gulim" w:hAnsi="Arial" w:cs="Arial"/>
                <w:sz w:val="20"/>
                <w:lang w:val="en-US" w:eastAsia="ko-KR"/>
              </w:rPr>
            </w:pPr>
            <w:r>
              <w:rPr>
                <w:rFonts w:ascii="Arial" w:eastAsia="Gulim" w:hAnsi="Arial" w:cs="Arial"/>
                <w:sz w:val="20"/>
                <w:lang w:val="en-US" w:eastAsia="ko-KR"/>
              </w:rPr>
              <w:t>Re</w:t>
            </w:r>
            <w:r w:rsidR="007545FC">
              <w:rPr>
                <w:rFonts w:ascii="Arial" w:eastAsia="Gulim" w:hAnsi="Arial" w:cs="Arial"/>
                <w:sz w:val="20"/>
                <w:lang w:val="en-US" w:eastAsia="ko-KR"/>
              </w:rPr>
              <w:t>vised</w:t>
            </w:r>
            <w:r>
              <w:rPr>
                <w:rFonts w:ascii="Arial" w:eastAsia="Gulim" w:hAnsi="Arial" w:cs="Arial"/>
                <w:sz w:val="20"/>
                <w:lang w:val="en-US" w:eastAsia="ko-KR"/>
              </w:rPr>
              <w:t xml:space="preserve"> –</w:t>
            </w:r>
          </w:p>
          <w:p w:rsidR="00BC3EBA" w:rsidRDefault="00BC3EBA" w:rsidP="00BC3EBA">
            <w:pPr>
              <w:rPr>
                <w:rFonts w:ascii="Arial" w:eastAsia="Gulim" w:hAnsi="Arial" w:cs="Arial"/>
                <w:sz w:val="20"/>
                <w:lang w:val="en-US" w:eastAsia="ko-KR"/>
              </w:rPr>
            </w:pPr>
          </w:p>
          <w:p w:rsidR="00BC3EBA" w:rsidRDefault="00BC3EBA" w:rsidP="00BC3EBA">
            <w:pPr>
              <w:rPr>
                <w:rFonts w:ascii="Arial" w:eastAsia="Gulim" w:hAnsi="Arial" w:cs="Arial"/>
                <w:sz w:val="20"/>
                <w:lang w:val="en-US" w:eastAsia="ko-KR"/>
              </w:rPr>
            </w:pPr>
            <w:r w:rsidRPr="00113C45">
              <w:rPr>
                <w:rFonts w:ascii="Arial" w:eastAsia="Gulim" w:hAnsi="Arial" w:cs="Arial"/>
                <w:sz w:val="20"/>
                <w:lang w:val="en-US" w:eastAsia="ko-KR"/>
              </w:rPr>
              <w:t xml:space="preserve">The </w:t>
            </w:r>
            <w:r>
              <w:rPr>
                <w:rFonts w:ascii="Arial" w:eastAsia="Gulim" w:hAnsi="Arial" w:cs="Arial"/>
                <w:sz w:val="20"/>
                <w:lang w:val="en-US" w:eastAsia="ko-KR"/>
              </w:rPr>
              <w:t xml:space="preserve">following </w:t>
            </w:r>
            <w:r w:rsidR="009F3750">
              <w:rPr>
                <w:rFonts w:ascii="Arial" w:eastAsia="Gulim" w:hAnsi="Arial" w:cs="Arial"/>
                <w:sz w:val="20"/>
                <w:lang w:val="en-US" w:eastAsia="ko-KR"/>
              </w:rPr>
              <w:t>BRC’s response to comment i-432</w:t>
            </w:r>
            <w:r w:rsidRPr="00113C45">
              <w:rPr>
                <w:rFonts w:ascii="Arial" w:eastAsia="Gulim" w:hAnsi="Arial" w:cs="Arial"/>
                <w:sz w:val="20"/>
                <w:lang w:val="en-US" w:eastAsia="ko-KR"/>
              </w:rPr>
              <w:t xml:space="preserve"> was incorrect</w:t>
            </w:r>
            <w:r>
              <w:rPr>
                <w:rFonts w:ascii="Arial" w:eastAsia="Gulim" w:hAnsi="Arial" w:cs="Arial"/>
                <w:sz w:val="20"/>
                <w:lang w:val="en-US" w:eastAsia="ko-KR"/>
              </w:rPr>
              <w:t xml:space="preserve"> “</w:t>
            </w:r>
            <w:r w:rsidRPr="00113C45">
              <w:rPr>
                <w:rFonts w:ascii="Arial" w:eastAsia="Gulim" w:hAnsi="Arial" w:cs="Arial"/>
                <w:sz w:val="20"/>
                <w:lang w:val="en-US" w:eastAsia="ko-KR"/>
              </w:rPr>
              <w:t xml:space="preserve">The BRC can not identify </w:t>
            </w:r>
            <w:r w:rsidRPr="00113C45">
              <w:rPr>
                <w:rFonts w:ascii="Arial" w:eastAsia="Gulim" w:hAnsi="Arial" w:cs="Arial"/>
                <w:sz w:val="20"/>
                <w:lang w:val="en-US" w:eastAsia="ko-KR"/>
              </w:rPr>
              <w:lastRenderedPageBreak/>
              <w:t>which operation is considered as the MAC functionality.</w:t>
            </w:r>
            <w:r>
              <w:rPr>
                <w:rFonts w:ascii="Arial" w:eastAsia="Gulim" w:hAnsi="Arial" w:cs="Arial"/>
                <w:sz w:val="20"/>
                <w:lang w:val="en-US" w:eastAsia="ko-KR"/>
              </w:rPr>
              <w:t>”</w:t>
            </w:r>
          </w:p>
          <w:p w:rsidR="00BC3EBA" w:rsidRDefault="00BC3EBA" w:rsidP="00BC3EBA">
            <w:pPr>
              <w:rPr>
                <w:rFonts w:ascii="Arial" w:eastAsia="Gulim" w:hAnsi="Arial" w:cs="Arial"/>
                <w:sz w:val="20"/>
                <w:lang w:val="en-US" w:eastAsia="ko-KR"/>
              </w:rPr>
            </w:pPr>
          </w:p>
          <w:p w:rsidR="007545FC" w:rsidRDefault="007545FC" w:rsidP="007545FC">
            <w:pPr>
              <w:rPr>
                <w:rFonts w:ascii="Arial" w:eastAsia="Gulim" w:hAnsi="Arial" w:cs="Arial"/>
                <w:sz w:val="20"/>
                <w:lang w:val="en-US" w:eastAsia="ko-KR"/>
              </w:rPr>
            </w:pPr>
            <w:r>
              <w:rPr>
                <w:rFonts w:ascii="Arial" w:eastAsia="Gulim" w:hAnsi="Arial" w:cs="Arial"/>
                <w:sz w:val="20"/>
                <w:lang w:val="en-US" w:eastAsia="ko-KR"/>
              </w:rPr>
              <w:t>The BRC has agreed to move the text to the MAC subclause, inline with the general comment.</w:t>
            </w:r>
          </w:p>
          <w:p w:rsidR="007545FC" w:rsidRDefault="007545FC" w:rsidP="007545FC">
            <w:pPr>
              <w:rPr>
                <w:rFonts w:ascii="Arial" w:eastAsia="Gulim" w:hAnsi="Arial" w:cs="Arial"/>
                <w:sz w:val="20"/>
                <w:lang w:val="en-US" w:eastAsia="ko-KR"/>
              </w:rPr>
            </w:pPr>
          </w:p>
          <w:p w:rsidR="00F25C90" w:rsidRPr="00EC50C2" w:rsidRDefault="007545FC" w:rsidP="00C760E5">
            <w:pPr>
              <w:rPr>
                <w:rFonts w:ascii="Arial" w:eastAsia="Gulim" w:hAnsi="Arial" w:cs="Arial"/>
                <w:sz w:val="20"/>
                <w:lang w:val="en-US" w:eastAsia="ko-KR"/>
              </w:rPr>
            </w:pPr>
            <w:r>
              <w:rPr>
                <w:rFonts w:ascii="Arial" w:eastAsia="Gulim" w:hAnsi="Arial" w:cs="Arial"/>
                <w:sz w:val="20"/>
                <w:lang w:val="en-US" w:eastAsia="ko-KR"/>
              </w:rPr>
              <w:t xml:space="preserve">TGah </w:t>
            </w:r>
            <w:r w:rsidR="00C760E5">
              <w:rPr>
                <w:rFonts w:ascii="Arial" w:eastAsia="Gulim" w:hAnsi="Arial" w:cs="Arial"/>
                <w:sz w:val="20"/>
                <w:lang w:val="en-US" w:eastAsia="ko-KR"/>
              </w:rPr>
              <w:t>E</w:t>
            </w:r>
            <w:r>
              <w:rPr>
                <w:rFonts w:ascii="Arial" w:eastAsia="Gulim" w:hAnsi="Arial" w:cs="Arial"/>
                <w:sz w:val="20"/>
                <w:lang w:val="en-US" w:eastAsia="ko-KR"/>
              </w:rPr>
              <w:t>ditor: Move "11</w:t>
            </w:r>
            <w:r w:rsidRPr="007545FC">
              <w:rPr>
                <w:rFonts w:ascii="Arial" w:eastAsia="Gulim" w:hAnsi="Arial" w:cs="Arial"/>
                <w:sz w:val="20"/>
                <w:lang w:val="en-US" w:eastAsia="ko-KR"/>
              </w:rPr>
              <w:t xml:space="preserve">.48 </w:t>
            </w:r>
            <w:r>
              <w:rPr>
                <w:rFonts w:ascii="Arial" w:eastAsia="Gulim" w:hAnsi="Arial" w:cs="Arial"/>
                <w:sz w:val="20"/>
                <w:lang w:val="en-US" w:eastAsia="ko-KR"/>
              </w:rPr>
              <w:t>(</w:t>
            </w:r>
            <w:r w:rsidRPr="007545FC">
              <w:rPr>
                <w:rFonts w:ascii="Arial" w:eastAsia="Gulim" w:hAnsi="Arial" w:cs="Arial"/>
                <w:sz w:val="20"/>
                <w:lang w:val="en-US" w:eastAsia="ko-KR"/>
              </w:rPr>
              <w:t>Dynamic AID assignment operation</w:t>
            </w:r>
            <w:r>
              <w:rPr>
                <w:rFonts w:ascii="Arial" w:eastAsia="Gulim" w:hAnsi="Arial" w:cs="Arial"/>
                <w:sz w:val="20"/>
                <w:lang w:val="en-US" w:eastAsia="ko-KR"/>
              </w:rPr>
              <w:t>)</w:t>
            </w:r>
            <w:r w:rsidR="00306540">
              <w:rPr>
                <w:rFonts w:ascii="Arial" w:eastAsia="Gulim" w:hAnsi="Arial" w:cs="Arial"/>
                <w:sz w:val="20"/>
                <w:lang w:val="en-US" w:eastAsia="ko-KR"/>
              </w:rPr>
              <w:t>" to a location between 10.20 and 10</w:t>
            </w:r>
            <w:r w:rsidRPr="007545FC">
              <w:rPr>
                <w:rFonts w:ascii="Arial" w:eastAsia="Gulim" w:hAnsi="Arial" w:cs="Arial"/>
                <w:sz w:val="20"/>
                <w:lang w:val="en-US" w:eastAsia="ko-KR"/>
              </w:rPr>
              <w:t xml:space="preserve">.21 (so </w:t>
            </w:r>
            <w:r w:rsidR="00306540">
              <w:rPr>
                <w:rFonts w:ascii="Arial" w:eastAsia="Gulim" w:hAnsi="Arial" w:cs="Arial"/>
                <w:sz w:val="20"/>
                <w:lang w:val="en-US" w:eastAsia="ko-KR"/>
              </w:rPr>
              <w:t>this subclause becomes the new 10</w:t>
            </w:r>
            <w:r w:rsidRPr="007545FC">
              <w:rPr>
                <w:rFonts w:ascii="Arial" w:eastAsia="Gulim" w:hAnsi="Arial" w:cs="Arial"/>
                <w:sz w:val="20"/>
                <w:lang w:val="en-US" w:eastAsia="ko-KR"/>
              </w:rPr>
              <w:t>.21).  Also rename it to "S1G dynamic AID assignment".</w:t>
            </w:r>
          </w:p>
        </w:tc>
      </w:tr>
    </w:tbl>
    <w:p w:rsidR="00F25C90" w:rsidRDefault="00F25C90" w:rsidP="00F25C90">
      <w:pPr>
        <w:widowControl w:val="0"/>
        <w:autoSpaceDE w:val="0"/>
        <w:autoSpaceDN w:val="0"/>
        <w:adjustRightInd w:val="0"/>
        <w:rPr>
          <w:rFonts w:ascii="TimesNewRomanPSMT" w:hAnsi="TimesNewRomanPSMT" w:cs="TimesNewRomanPSMT"/>
          <w:sz w:val="20"/>
          <w:u w:val="single"/>
          <w:lang w:val="en-US" w:eastAsia="ko-KR"/>
        </w:rPr>
      </w:pPr>
      <w:r w:rsidRPr="00926C31" w:rsidDel="00C91CCE">
        <w:rPr>
          <w:rFonts w:ascii="TimesNewRomanPSMT" w:hAnsi="TimesNewRomanPSMT" w:cs="TimesNewRomanPSMT"/>
          <w:sz w:val="20"/>
          <w:u w:val="single"/>
          <w:lang w:val="en-US" w:eastAsia="ko-KR"/>
        </w:rPr>
        <w:lastRenderedPageBreak/>
        <w:t xml:space="preserve"> </w:t>
      </w:r>
    </w:p>
    <w:p w:rsidR="00F25C90" w:rsidRDefault="00F25C90" w:rsidP="00F25C90">
      <w:pPr>
        <w:widowControl w:val="0"/>
        <w:autoSpaceDE w:val="0"/>
        <w:autoSpaceDN w:val="0"/>
        <w:adjustRightInd w:val="0"/>
        <w:rPr>
          <w:color w:val="000000"/>
          <w:sz w:val="20"/>
          <w:lang w:val="en-US" w:eastAsia="ko-KR"/>
        </w:rPr>
      </w:pPr>
      <w:r w:rsidRPr="00377B60">
        <w:rPr>
          <w:color w:val="000000"/>
          <w:sz w:val="20"/>
          <w:lang w:val="en-US" w:eastAsia="ko-KR"/>
        </w:rPr>
        <w:t>.</w:t>
      </w:r>
    </w:p>
    <w:p w:rsidR="00F25C90" w:rsidRDefault="00F25C90" w:rsidP="00E223AF">
      <w:pPr>
        <w:jc w:val="both"/>
        <w:rPr>
          <w:rFonts w:ascii="Arial" w:hAnsi="Arial" w:cs="Arial"/>
          <w:b/>
          <w:bCs/>
          <w:color w:val="000000"/>
          <w:sz w:val="20"/>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DC79E8" w:rsidRPr="00B4526A" w:rsidTr="00054FF5">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DC79E8" w:rsidRPr="00EC50C2" w:rsidTr="00054FF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jc w:val="right"/>
              <w:rPr>
                <w:rFonts w:ascii="Arial" w:eastAsia="Gulim" w:hAnsi="Arial" w:cs="Arial"/>
                <w:sz w:val="20"/>
                <w:lang w:val="en-US" w:eastAsia="ko-KR"/>
              </w:rPr>
            </w:pPr>
            <w:r w:rsidRPr="00EC50C2">
              <w:rPr>
                <w:rFonts w:ascii="Arial" w:eastAsia="Gulim" w:hAnsi="Arial" w:cs="Arial"/>
                <w:sz w:val="20"/>
                <w:lang w:val="en-US" w:eastAsia="ko-KR"/>
              </w:rPr>
              <w:t>9061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jc w:val="right"/>
              <w:rPr>
                <w:rFonts w:ascii="Arial" w:hAnsi="Arial" w:cs="Arial"/>
                <w:sz w:val="20"/>
                <w:lang w:eastAsia="ko-KR"/>
              </w:rPr>
            </w:pPr>
            <w:r w:rsidRPr="00EC50C2">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t>The reason given for rejecting i-437 asserts that the BRC has no idea what is MAC functionality and what is MAC service interface.  This reinforces the commenters assertion that there is inappropriate text in the clause  and that the change is inconsistent with the base 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t>Remove all changes to the 802.11 MAC contained in this amendment.  Delete clauses 5, 6, 9, 10, 11, and 12 from this draft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06540" w:rsidRDefault="00306540" w:rsidP="00306540">
            <w:pPr>
              <w:rPr>
                <w:rFonts w:ascii="Arial" w:eastAsia="Gulim" w:hAnsi="Arial" w:cs="Arial"/>
                <w:sz w:val="20"/>
                <w:lang w:val="en-US" w:eastAsia="ko-KR"/>
              </w:rPr>
            </w:pPr>
            <w:r>
              <w:rPr>
                <w:rFonts w:ascii="Arial" w:eastAsia="Gulim" w:hAnsi="Arial" w:cs="Arial"/>
                <w:sz w:val="20"/>
                <w:lang w:val="en-US" w:eastAsia="ko-KR"/>
              </w:rPr>
              <w:t>Revised –</w:t>
            </w:r>
          </w:p>
          <w:p w:rsidR="00306540" w:rsidRDefault="00306540" w:rsidP="00306540">
            <w:pPr>
              <w:rPr>
                <w:rFonts w:ascii="Arial" w:eastAsia="Gulim" w:hAnsi="Arial" w:cs="Arial"/>
                <w:sz w:val="20"/>
                <w:lang w:val="en-US" w:eastAsia="ko-KR"/>
              </w:rPr>
            </w:pPr>
          </w:p>
          <w:p w:rsidR="00306540" w:rsidRDefault="00306540" w:rsidP="00306540">
            <w:pPr>
              <w:rPr>
                <w:rFonts w:ascii="Arial" w:eastAsia="Gulim" w:hAnsi="Arial" w:cs="Arial"/>
                <w:sz w:val="20"/>
                <w:lang w:val="en-US" w:eastAsia="ko-KR"/>
              </w:rPr>
            </w:pPr>
            <w:r w:rsidRPr="00113C45">
              <w:rPr>
                <w:rFonts w:ascii="Arial" w:eastAsia="Gulim" w:hAnsi="Arial" w:cs="Arial"/>
                <w:sz w:val="20"/>
                <w:lang w:val="en-US" w:eastAsia="ko-KR"/>
              </w:rPr>
              <w:t xml:space="preserve">The </w:t>
            </w:r>
            <w:r>
              <w:rPr>
                <w:rFonts w:ascii="Arial" w:eastAsia="Gulim" w:hAnsi="Arial" w:cs="Arial"/>
                <w:sz w:val="20"/>
                <w:lang w:val="en-US" w:eastAsia="ko-KR"/>
              </w:rPr>
              <w:t>following BRC’s response to comment i-432</w:t>
            </w:r>
            <w:r w:rsidRPr="00113C45">
              <w:rPr>
                <w:rFonts w:ascii="Arial" w:eastAsia="Gulim" w:hAnsi="Arial" w:cs="Arial"/>
                <w:sz w:val="20"/>
                <w:lang w:val="en-US" w:eastAsia="ko-KR"/>
              </w:rPr>
              <w:t xml:space="preserve"> was incorrect</w:t>
            </w:r>
            <w:r>
              <w:rPr>
                <w:rFonts w:ascii="Arial" w:eastAsia="Gulim" w:hAnsi="Arial" w:cs="Arial"/>
                <w:sz w:val="20"/>
                <w:lang w:val="en-US" w:eastAsia="ko-KR"/>
              </w:rPr>
              <w:t xml:space="preserve"> “</w:t>
            </w:r>
            <w:r w:rsidRPr="00113C45">
              <w:rPr>
                <w:rFonts w:ascii="Arial" w:eastAsia="Gulim" w:hAnsi="Arial" w:cs="Arial"/>
                <w:sz w:val="20"/>
                <w:lang w:val="en-US" w:eastAsia="ko-KR"/>
              </w:rPr>
              <w:t>The BRC can not identify which operation is considered as the MAC functionality.</w:t>
            </w:r>
            <w:r>
              <w:rPr>
                <w:rFonts w:ascii="Arial" w:eastAsia="Gulim" w:hAnsi="Arial" w:cs="Arial"/>
                <w:sz w:val="20"/>
                <w:lang w:val="en-US" w:eastAsia="ko-KR"/>
              </w:rPr>
              <w:t>”</w:t>
            </w:r>
          </w:p>
          <w:p w:rsidR="00306540" w:rsidRDefault="00306540" w:rsidP="00306540">
            <w:pPr>
              <w:rPr>
                <w:rFonts w:ascii="Arial" w:eastAsia="Gulim" w:hAnsi="Arial" w:cs="Arial"/>
                <w:sz w:val="20"/>
                <w:lang w:val="en-US" w:eastAsia="ko-KR"/>
              </w:rPr>
            </w:pPr>
          </w:p>
          <w:p w:rsidR="00306540" w:rsidRDefault="00306540" w:rsidP="00306540">
            <w:pPr>
              <w:rPr>
                <w:rFonts w:ascii="Arial" w:eastAsia="Gulim" w:hAnsi="Arial" w:cs="Arial"/>
                <w:sz w:val="20"/>
                <w:lang w:val="en-US" w:eastAsia="ko-KR"/>
              </w:rPr>
            </w:pPr>
            <w:r>
              <w:rPr>
                <w:rFonts w:ascii="Arial" w:eastAsia="Gulim" w:hAnsi="Arial" w:cs="Arial"/>
                <w:sz w:val="20"/>
                <w:lang w:val="en-US" w:eastAsia="ko-KR"/>
              </w:rPr>
              <w:t>The BRC has agreed to move the text to the MAC subclause, inline with the general comment.</w:t>
            </w:r>
          </w:p>
          <w:p w:rsidR="00306540" w:rsidRDefault="00306540" w:rsidP="00306540">
            <w:pPr>
              <w:rPr>
                <w:rFonts w:ascii="Arial" w:eastAsia="Gulim" w:hAnsi="Arial" w:cs="Arial"/>
                <w:sz w:val="20"/>
                <w:lang w:val="en-US" w:eastAsia="ko-KR"/>
              </w:rPr>
            </w:pPr>
          </w:p>
          <w:p w:rsidR="00DC79E8" w:rsidRPr="00EC50C2" w:rsidRDefault="00306540" w:rsidP="00306540">
            <w:pPr>
              <w:rPr>
                <w:rFonts w:ascii="Arial" w:eastAsia="Gulim" w:hAnsi="Arial" w:cs="Arial"/>
                <w:sz w:val="20"/>
                <w:lang w:val="en-US" w:eastAsia="ko-KR"/>
              </w:rPr>
            </w:pPr>
            <w:r>
              <w:rPr>
                <w:rFonts w:ascii="Arial" w:eastAsia="Gulim" w:hAnsi="Arial" w:cs="Arial"/>
                <w:sz w:val="20"/>
                <w:lang w:val="en-US" w:eastAsia="ko-KR"/>
              </w:rPr>
              <w:t xml:space="preserve">TGah Editor: </w:t>
            </w:r>
            <w:r w:rsidRPr="00306540">
              <w:rPr>
                <w:rFonts w:ascii="Arial" w:eastAsia="Gulim" w:hAnsi="Arial" w:cs="Arial"/>
                <w:sz w:val="20"/>
                <w:lang w:val="en-US" w:eastAsia="ko-KR"/>
              </w:rPr>
              <w:t>Move the full subclause "1</w:t>
            </w:r>
            <w:r>
              <w:rPr>
                <w:rFonts w:ascii="Arial" w:eastAsia="Gulim" w:hAnsi="Arial" w:cs="Arial"/>
                <w:sz w:val="20"/>
                <w:lang w:val="en-US" w:eastAsia="ko-KR"/>
              </w:rPr>
              <w:t>1</w:t>
            </w:r>
            <w:r w:rsidRPr="00306540">
              <w:rPr>
                <w:rFonts w:ascii="Arial" w:eastAsia="Gulim" w:hAnsi="Arial" w:cs="Arial"/>
                <w:sz w:val="20"/>
                <w:lang w:val="en-US" w:eastAsia="ko-KR"/>
              </w:rPr>
              <w:t>.50 S</w:t>
            </w:r>
            <w:r>
              <w:rPr>
                <w:rFonts w:ascii="Arial" w:eastAsia="Gulim" w:hAnsi="Arial" w:cs="Arial"/>
                <w:sz w:val="20"/>
                <w:lang w:val="en-US" w:eastAsia="ko-KR"/>
              </w:rPr>
              <w:t>1G BSS operation", except for 11.50.7,  to a new subclause 10</w:t>
            </w:r>
            <w:r w:rsidRPr="00306540">
              <w:rPr>
                <w:rFonts w:ascii="Arial" w:eastAsia="Gulim" w:hAnsi="Arial" w:cs="Arial"/>
                <w:sz w:val="20"/>
                <w:lang w:val="en-US" w:eastAsia="ko-KR"/>
              </w:rPr>
              <w:t>.42.</w:t>
            </w:r>
            <w:r w:rsidR="00360AF4">
              <w:rPr>
                <w:rFonts w:ascii="Arial" w:eastAsia="Gulim" w:hAnsi="Arial" w:cs="Arial"/>
                <w:sz w:val="20"/>
                <w:lang w:val="en-US" w:eastAsia="ko-KR"/>
              </w:rPr>
              <w:t>”</w:t>
            </w:r>
          </w:p>
        </w:tc>
      </w:tr>
    </w:tbl>
    <w:p w:rsidR="00DC79E8" w:rsidRDefault="00DC79E8" w:rsidP="00EC1B87">
      <w:pPr>
        <w:widowControl w:val="0"/>
        <w:autoSpaceDE w:val="0"/>
        <w:autoSpaceDN w:val="0"/>
        <w:adjustRightInd w:val="0"/>
        <w:rPr>
          <w:rFonts w:ascii="TimesNewRomanPSMT" w:hAnsi="TimesNewRomanPSMT" w:cs="TimesNewRomanPSMT"/>
          <w:sz w:val="20"/>
          <w:u w:val="single"/>
          <w:lang w:val="en-US" w:eastAsia="ko-KR"/>
        </w:rPr>
      </w:pPr>
      <w:r w:rsidRPr="00926C31" w:rsidDel="00C91CCE">
        <w:rPr>
          <w:rFonts w:ascii="TimesNewRomanPSMT" w:hAnsi="TimesNewRomanPSMT" w:cs="TimesNewRomanPSMT"/>
          <w:sz w:val="20"/>
          <w:u w:val="single"/>
          <w:lang w:val="en-US" w:eastAsia="ko-KR"/>
        </w:rPr>
        <w:t xml:space="preserve"> </w:t>
      </w:r>
    </w:p>
    <w:p w:rsidR="00DC79E8" w:rsidRDefault="00DC79E8" w:rsidP="00EC1B87">
      <w:pPr>
        <w:widowControl w:val="0"/>
        <w:autoSpaceDE w:val="0"/>
        <w:autoSpaceDN w:val="0"/>
        <w:adjustRightInd w:val="0"/>
        <w:rPr>
          <w:rFonts w:ascii="TimesNewRomanPSMT" w:hAnsi="TimesNewRomanPSMT" w:cs="TimesNewRomanPSMT"/>
          <w:sz w:val="20"/>
          <w:u w:val="single"/>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DC79E8" w:rsidRPr="00B4526A" w:rsidTr="00054FF5">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C79E8" w:rsidRPr="00B4526A" w:rsidRDefault="00DC79E8" w:rsidP="00054FF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DC79E8" w:rsidRPr="00EC50C2" w:rsidTr="00054FF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jc w:val="right"/>
              <w:rPr>
                <w:rFonts w:ascii="Arial" w:eastAsia="Gulim" w:hAnsi="Arial" w:cs="Arial"/>
                <w:sz w:val="20"/>
                <w:lang w:val="en-US" w:eastAsia="ko-KR"/>
              </w:rPr>
            </w:pPr>
            <w:r w:rsidRPr="00EC50C2">
              <w:rPr>
                <w:rFonts w:ascii="Arial" w:eastAsia="Gulim" w:hAnsi="Arial" w:cs="Arial"/>
                <w:sz w:val="20"/>
                <w:lang w:val="en-US" w:eastAsia="ko-KR"/>
              </w:rPr>
              <w:t>9062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jc w:val="right"/>
              <w:rPr>
                <w:rFonts w:ascii="Arial" w:hAnsi="Arial" w:cs="Arial"/>
                <w:sz w:val="20"/>
                <w:lang w:eastAsia="ko-KR"/>
              </w:rPr>
            </w:pPr>
            <w:r w:rsidRPr="00EC50C2">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t xml:space="preserve">The reason given for rejecting i-436 asserts that the BRC has no idea what is MAC functionality and what is MAC service interface.  This reinforces the commenters assertion that there is inappropriate </w:t>
            </w:r>
            <w:r w:rsidRPr="00EC50C2">
              <w:rPr>
                <w:rFonts w:ascii="Arial" w:hAnsi="Arial" w:cs="Arial"/>
                <w:sz w:val="20"/>
              </w:rPr>
              <w:lastRenderedPageBreak/>
              <w:t>text in the clause  and that the change is inconsistent with the base 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C79E8" w:rsidRPr="00EC50C2" w:rsidRDefault="00DC79E8" w:rsidP="00054FF5">
            <w:pPr>
              <w:rPr>
                <w:rFonts w:ascii="Arial" w:hAnsi="Arial" w:cs="Arial"/>
                <w:sz w:val="20"/>
              </w:rPr>
            </w:pPr>
            <w:r w:rsidRPr="00EC50C2">
              <w:rPr>
                <w:rFonts w:ascii="Arial" w:hAnsi="Arial" w:cs="Arial"/>
                <w:sz w:val="20"/>
              </w:rPr>
              <w:lastRenderedPageBreak/>
              <w:t>Remove all changes to the 802.11 MAC contained in this amendment.  Delete clauses 5, 6, 9, 10, 11, and 12 from this draft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60BC3" w:rsidRDefault="00B60BC3" w:rsidP="00B60BC3">
            <w:pPr>
              <w:rPr>
                <w:rFonts w:ascii="Arial" w:eastAsia="Gulim" w:hAnsi="Arial" w:cs="Arial"/>
                <w:sz w:val="20"/>
                <w:lang w:val="en-US" w:eastAsia="ko-KR"/>
              </w:rPr>
            </w:pPr>
            <w:r>
              <w:rPr>
                <w:rFonts w:ascii="Arial" w:eastAsia="Gulim" w:hAnsi="Arial" w:cs="Arial"/>
                <w:sz w:val="20"/>
                <w:lang w:val="en-US" w:eastAsia="ko-KR"/>
              </w:rPr>
              <w:t>Revised –</w:t>
            </w:r>
          </w:p>
          <w:p w:rsidR="00B60BC3" w:rsidRDefault="00B60BC3" w:rsidP="00B60BC3">
            <w:pPr>
              <w:rPr>
                <w:rFonts w:ascii="Arial" w:eastAsia="Gulim" w:hAnsi="Arial" w:cs="Arial"/>
                <w:sz w:val="20"/>
                <w:lang w:val="en-US" w:eastAsia="ko-KR"/>
              </w:rPr>
            </w:pPr>
          </w:p>
          <w:p w:rsidR="00B60BC3" w:rsidRDefault="00B60BC3" w:rsidP="00B60BC3">
            <w:pPr>
              <w:rPr>
                <w:rFonts w:ascii="Arial" w:eastAsia="Gulim" w:hAnsi="Arial" w:cs="Arial"/>
                <w:sz w:val="20"/>
                <w:lang w:val="en-US" w:eastAsia="ko-KR"/>
              </w:rPr>
            </w:pPr>
            <w:r w:rsidRPr="00113C45">
              <w:rPr>
                <w:rFonts w:ascii="Arial" w:eastAsia="Gulim" w:hAnsi="Arial" w:cs="Arial"/>
                <w:sz w:val="20"/>
                <w:lang w:val="en-US" w:eastAsia="ko-KR"/>
              </w:rPr>
              <w:t xml:space="preserve">The </w:t>
            </w:r>
            <w:r>
              <w:rPr>
                <w:rFonts w:ascii="Arial" w:eastAsia="Gulim" w:hAnsi="Arial" w:cs="Arial"/>
                <w:sz w:val="20"/>
                <w:lang w:val="en-US" w:eastAsia="ko-KR"/>
              </w:rPr>
              <w:t>following BRC’s response to comment i-432</w:t>
            </w:r>
            <w:r w:rsidRPr="00113C45">
              <w:rPr>
                <w:rFonts w:ascii="Arial" w:eastAsia="Gulim" w:hAnsi="Arial" w:cs="Arial"/>
                <w:sz w:val="20"/>
                <w:lang w:val="en-US" w:eastAsia="ko-KR"/>
              </w:rPr>
              <w:t xml:space="preserve"> was incorrect</w:t>
            </w:r>
            <w:r>
              <w:rPr>
                <w:rFonts w:ascii="Arial" w:eastAsia="Gulim" w:hAnsi="Arial" w:cs="Arial"/>
                <w:sz w:val="20"/>
                <w:lang w:val="en-US" w:eastAsia="ko-KR"/>
              </w:rPr>
              <w:t xml:space="preserve"> “</w:t>
            </w:r>
            <w:r w:rsidRPr="00113C45">
              <w:rPr>
                <w:rFonts w:ascii="Arial" w:eastAsia="Gulim" w:hAnsi="Arial" w:cs="Arial"/>
                <w:sz w:val="20"/>
                <w:lang w:val="en-US" w:eastAsia="ko-KR"/>
              </w:rPr>
              <w:t xml:space="preserve">The BRC can not identify which operation is </w:t>
            </w:r>
            <w:r w:rsidRPr="00113C45">
              <w:rPr>
                <w:rFonts w:ascii="Arial" w:eastAsia="Gulim" w:hAnsi="Arial" w:cs="Arial"/>
                <w:sz w:val="20"/>
                <w:lang w:val="en-US" w:eastAsia="ko-KR"/>
              </w:rPr>
              <w:lastRenderedPageBreak/>
              <w:t>considered as the MAC functionality.</w:t>
            </w:r>
            <w:r>
              <w:rPr>
                <w:rFonts w:ascii="Arial" w:eastAsia="Gulim" w:hAnsi="Arial" w:cs="Arial"/>
                <w:sz w:val="20"/>
                <w:lang w:val="en-US" w:eastAsia="ko-KR"/>
              </w:rPr>
              <w:t>”</w:t>
            </w:r>
          </w:p>
          <w:p w:rsidR="00B60BC3" w:rsidRDefault="00B60BC3" w:rsidP="00B60BC3">
            <w:pPr>
              <w:rPr>
                <w:rFonts w:ascii="Arial" w:eastAsia="Gulim" w:hAnsi="Arial" w:cs="Arial"/>
                <w:sz w:val="20"/>
                <w:lang w:val="en-US" w:eastAsia="ko-KR"/>
              </w:rPr>
            </w:pPr>
          </w:p>
          <w:p w:rsidR="00B60BC3" w:rsidRDefault="00B60BC3" w:rsidP="00B60BC3">
            <w:pPr>
              <w:rPr>
                <w:rFonts w:ascii="Arial" w:eastAsia="Gulim" w:hAnsi="Arial" w:cs="Arial"/>
                <w:sz w:val="20"/>
                <w:lang w:val="en-US" w:eastAsia="ko-KR"/>
              </w:rPr>
            </w:pPr>
            <w:r>
              <w:rPr>
                <w:rFonts w:ascii="Arial" w:eastAsia="Gulim" w:hAnsi="Arial" w:cs="Arial"/>
                <w:sz w:val="20"/>
                <w:lang w:val="en-US" w:eastAsia="ko-KR"/>
              </w:rPr>
              <w:t>The BRC has agreed to move the text to the MAC subclause, inline with the general comment.</w:t>
            </w:r>
          </w:p>
          <w:p w:rsidR="00B60BC3" w:rsidRDefault="00B60BC3" w:rsidP="00B60BC3">
            <w:pPr>
              <w:rPr>
                <w:rFonts w:ascii="Arial" w:eastAsia="Gulim" w:hAnsi="Arial" w:cs="Arial"/>
                <w:sz w:val="20"/>
                <w:lang w:val="en-US" w:eastAsia="ko-KR"/>
              </w:rPr>
            </w:pPr>
          </w:p>
          <w:p w:rsidR="00DC79E8" w:rsidRPr="00EC50C2" w:rsidRDefault="00B60BC3" w:rsidP="00B60BC3">
            <w:pPr>
              <w:rPr>
                <w:rFonts w:ascii="Arial" w:eastAsia="Gulim" w:hAnsi="Arial" w:cs="Arial"/>
                <w:sz w:val="20"/>
                <w:lang w:val="en-US" w:eastAsia="ko-KR"/>
              </w:rPr>
            </w:pPr>
            <w:r>
              <w:rPr>
                <w:rFonts w:ascii="Arial" w:eastAsia="Gulim" w:hAnsi="Arial" w:cs="Arial"/>
                <w:sz w:val="20"/>
                <w:lang w:val="en-US" w:eastAsia="ko-KR"/>
              </w:rPr>
              <w:t xml:space="preserve">TGah Editor: </w:t>
            </w:r>
            <w:r>
              <w:rPr>
                <w:rFonts w:ascii="Arial" w:eastAsia="Gulim" w:hAnsi="Arial" w:cs="Arial"/>
                <w:sz w:val="20"/>
                <w:lang w:val="en-US" w:eastAsia="ko-KR"/>
              </w:rPr>
              <w:t>Move subclause "11</w:t>
            </w:r>
            <w:r w:rsidRPr="00B60BC3">
              <w:rPr>
                <w:rFonts w:ascii="Arial" w:eastAsia="Gulim" w:hAnsi="Arial" w:cs="Arial"/>
                <w:sz w:val="20"/>
                <w:lang w:val="en-US" w:eastAsia="ko-KR"/>
              </w:rPr>
              <w:t>.49 Channel selection methods for an S1G BSS"  to a location between "Basic</w:t>
            </w:r>
            <w:r>
              <w:rPr>
                <w:rFonts w:ascii="Arial" w:eastAsia="Gulim" w:hAnsi="Arial" w:cs="Arial"/>
                <w:sz w:val="20"/>
                <w:lang w:val="en-US" w:eastAsia="ko-KR"/>
              </w:rPr>
              <w:t xml:space="preserve"> S1G BSS functionality"(the new 10</w:t>
            </w:r>
            <w:r w:rsidRPr="00B60BC3">
              <w:rPr>
                <w:rFonts w:ascii="Arial" w:eastAsia="Gulim" w:hAnsi="Arial" w:cs="Arial"/>
                <w:sz w:val="20"/>
                <w:lang w:val="en-US" w:eastAsia="ko-KR"/>
              </w:rPr>
              <w:t>.42.1) and "Channel selection me</w:t>
            </w:r>
            <w:r>
              <w:rPr>
                <w:rFonts w:ascii="Arial" w:eastAsia="Gulim" w:hAnsi="Arial" w:cs="Arial"/>
                <w:sz w:val="20"/>
                <w:lang w:val="en-US" w:eastAsia="ko-KR"/>
              </w:rPr>
              <w:t>thods" (the new 10</w:t>
            </w:r>
            <w:bookmarkStart w:id="0" w:name="_GoBack"/>
            <w:bookmarkEnd w:id="0"/>
            <w:r w:rsidRPr="00B60BC3">
              <w:rPr>
                <w:rFonts w:ascii="Arial" w:eastAsia="Gulim" w:hAnsi="Arial" w:cs="Arial"/>
                <w:sz w:val="20"/>
                <w:lang w:val="en-US" w:eastAsia="ko-KR"/>
              </w:rPr>
              <w:t>.42.3).  Also rename this subclause "S1G BSS channel selection methods".</w:t>
            </w:r>
          </w:p>
        </w:tc>
      </w:tr>
    </w:tbl>
    <w:p w:rsidR="00DC79E8" w:rsidRDefault="00DC79E8" w:rsidP="00EC1B87">
      <w:pPr>
        <w:widowControl w:val="0"/>
        <w:autoSpaceDE w:val="0"/>
        <w:autoSpaceDN w:val="0"/>
        <w:adjustRightInd w:val="0"/>
        <w:rPr>
          <w:rFonts w:ascii="TimesNewRomanPSMT" w:hAnsi="TimesNewRomanPSMT" w:cs="TimesNewRomanPSMT"/>
          <w:sz w:val="20"/>
          <w:u w:val="single"/>
          <w:lang w:val="en-US" w:eastAsia="ko-KR"/>
        </w:rPr>
      </w:pPr>
    </w:p>
    <w:p w:rsidR="00377B60" w:rsidRPr="00EC1B87" w:rsidRDefault="00377B60" w:rsidP="00377B60">
      <w:pPr>
        <w:widowControl w:val="0"/>
        <w:autoSpaceDE w:val="0"/>
        <w:autoSpaceDN w:val="0"/>
        <w:adjustRightInd w:val="0"/>
        <w:rPr>
          <w:rFonts w:ascii="TimesNewRomanPSMT" w:hAnsi="TimesNewRomanPSMT" w:cs="TimesNewRomanPSMT"/>
          <w:sz w:val="20"/>
          <w:u w:val="single"/>
          <w:lang w:val="en-US" w:eastAsia="ko-KR"/>
        </w:rPr>
      </w:pPr>
    </w:p>
    <w:sectPr w:rsidR="00377B60" w:rsidRPr="00EC1B8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7F5" w:rsidRDefault="00D417F5">
      <w:r>
        <w:separator/>
      </w:r>
    </w:p>
  </w:endnote>
  <w:endnote w:type="continuationSeparator" w:id="0">
    <w:p w:rsidR="00D417F5" w:rsidRDefault="00D4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F5" w:rsidRDefault="00D417F5">
    <w:pPr>
      <w:pStyle w:val="Footer"/>
      <w:tabs>
        <w:tab w:val="clear" w:pos="6480"/>
        <w:tab w:val="center" w:pos="4680"/>
        <w:tab w:val="right" w:pos="9360"/>
      </w:tabs>
    </w:pPr>
    <w:r>
      <w:fldChar w:fldCharType="begin"/>
    </w:r>
    <w:r>
      <w:instrText xml:space="preserve"> SUBJECT  \* MERGEFORMAT </w:instrText>
    </w:r>
    <w:r>
      <w:fldChar w:fldCharType="separate"/>
    </w:r>
    <w:r w:rsidR="00054FF5">
      <w:t>Submission</w:t>
    </w:r>
    <w:r>
      <w:fldChar w:fldCharType="end"/>
    </w:r>
    <w:r w:rsidR="00054FF5">
      <w:tab/>
      <w:t xml:space="preserve">page </w:t>
    </w:r>
    <w:r w:rsidR="00054FF5">
      <w:fldChar w:fldCharType="begin"/>
    </w:r>
    <w:r w:rsidR="00054FF5">
      <w:instrText xml:space="preserve">page </w:instrText>
    </w:r>
    <w:r w:rsidR="00054FF5">
      <w:fldChar w:fldCharType="separate"/>
    </w:r>
    <w:r w:rsidR="00B60BC3">
      <w:rPr>
        <w:noProof/>
      </w:rPr>
      <w:t>5</w:t>
    </w:r>
    <w:r w:rsidR="00054FF5">
      <w:rPr>
        <w:noProof/>
      </w:rPr>
      <w:fldChar w:fldCharType="end"/>
    </w:r>
    <w:r w:rsidR="00054FF5">
      <w:tab/>
    </w:r>
    <w:r w:rsidR="00054FF5">
      <w:rPr>
        <w:rFonts w:hint="eastAsia"/>
        <w:lang w:eastAsia="ko-KR"/>
      </w:rPr>
      <w:t>Yongho Seok</w:t>
    </w:r>
    <w:r w:rsidR="00054FF5">
      <w:t xml:space="preserve">, </w:t>
    </w:r>
    <w:r w:rsidR="00054FF5">
      <w:rPr>
        <w:rFonts w:hint="eastAsia"/>
        <w:lang w:eastAsia="ko-KR"/>
      </w:rPr>
      <w:t>NEWRACOM</w:t>
    </w:r>
  </w:p>
  <w:p w:rsidR="00054FF5" w:rsidRDefault="00054F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7F5" w:rsidRDefault="00D417F5">
      <w:r>
        <w:separator/>
      </w:r>
    </w:p>
  </w:footnote>
  <w:footnote w:type="continuationSeparator" w:id="0">
    <w:p w:rsidR="00D417F5" w:rsidRDefault="00D4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F5" w:rsidRDefault="00054FF5">
    <w:pPr>
      <w:pStyle w:val="Header"/>
      <w:tabs>
        <w:tab w:val="clear" w:pos="6480"/>
        <w:tab w:val="center" w:pos="4680"/>
        <w:tab w:val="right" w:pos="9360"/>
      </w:tabs>
    </w:pPr>
    <w:r>
      <w:rPr>
        <w:rFonts w:hint="eastAsia"/>
        <w:lang w:eastAsia="ko-KR"/>
      </w:rPr>
      <w:t>March 2016</w:t>
    </w:r>
    <w:r>
      <w:tab/>
    </w:r>
    <w:r>
      <w:tab/>
    </w:r>
    <w:r w:rsidR="00D417F5">
      <w:fldChar w:fldCharType="begin"/>
    </w:r>
    <w:r w:rsidR="00D417F5">
      <w:instrText xml:space="preserve"> TITLE  \* MERGEFORMAT </w:instrText>
    </w:r>
    <w:r w:rsidR="00D417F5">
      <w:fldChar w:fldCharType="separate"/>
    </w:r>
    <w:r>
      <w:t>doc.: IEEE 802.11-1</w:t>
    </w:r>
    <w:r>
      <w:rPr>
        <w:rFonts w:hint="eastAsia"/>
        <w:lang w:eastAsia="ko-KR"/>
      </w:rPr>
      <w:t>6</w:t>
    </w:r>
    <w:r>
      <w:t>/</w:t>
    </w:r>
    <w:r>
      <w:rPr>
        <w:rFonts w:hint="eastAsia"/>
        <w:lang w:eastAsia="ko-KR"/>
      </w:rPr>
      <w:t>0453</w:t>
    </w:r>
    <w:r>
      <w:t>r</w:t>
    </w:r>
    <w:r w:rsidR="00D417F5">
      <w:fldChar w:fldCharType="end"/>
    </w:r>
    <w:r w:rsidR="00623D51">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8434129"/>
    <w:multiLevelType w:val="hybridMultilevel"/>
    <w:tmpl w:val="C2582FC0"/>
    <w:lvl w:ilvl="0" w:tplc="713A3FEC">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3D4642"/>
    <w:multiLevelType w:val="hybridMultilevel"/>
    <w:tmpl w:val="0EC28308"/>
    <w:lvl w:ilvl="0" w:tplc="9E5808CE">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5CB71EE3"/>
    <w:multiLevelType w:val="hybridMultilevel"/>
    <w:tmpl w:val="DEDA05C8"/>
    <w:lvl w:ilvl="0" w:tplc="C0D6777A">
      <w:start w:val="3"/>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6F04AA7"/>
    <w:multiLevelType w:val="hybridMultilevel"/>
    <w:tmpl w:val="BFBC0A48"/>
    <w:lvl w:ilvl="0" w:tplc="AE0A306A">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9580329"/>
    <w:multiLevelType w:val="hybridMultilevel"/>
    <w:tmpl w:val="A634C044"/>
    <w:lvl w:ilvl="0" w:tplc="35F0C058">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E455F21"/>
    <w:multiLevelType w:val="hybridMultilevel"/>
    <w:tmpl w:val="EBAA71A8"/>
    <w:lvl w:ilvl="0" w:tplc="0C440422">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45FA"/>
    <w:rsid w:val="00006DBB"/>
    <w:rsid w:val="0000743C"/>
    <w:rsid w:val="00013F87"/>
    <w:rsid w:val="000157CC"/>
    <w:rsid w:val="00017D25"/>
    <w:rsid w:val="00020FD8"/>
    <w:rsid w:val="00021C69"/>
    <w:rsid w:val="00024344"/>
    <w:rsid w:val="00024487"/>
    <w:rsid w:val="0002509F"/>
    <w:rsid w:val="00026370"/>
    <w:rsid w:val="0002737A"/>
    <w:rsid w:val="00027A7C"/>
    <w:rsid w:val="00027D05"/>
    <w:rsid w:val="00027E54"/>
    <w:rsid w:val="00030413"/>
    <w:rsid w:val="00030F42"/>
    <w:rsid w:val="00036B55"/>
    <w:rsid w:val="00037538"/>
    <w:rsid w:val="000405C4"/>
    <w:rsid w:val="0004461D"/>
    <w:rsid w:val="0004793B"/>
    <w:rsid w:val="0005115D"/>
    <w:rsid w:val="00052123"/>
    <w:rsid w:val="00053FCC"/>
    <w:rsid w:val="00054A51"/>
    <w:rsid w:val="00054FF5"/>
    <w:rsid w:val="000564C4"/>
    <w:rsid w:val="00056C00"/>
    <w:rsid w:val="000571E7"/>
    <w:rsid w:val="00061837"/>
    <w:rsid w:val="0006543A"/>
    <w:rsid w:val="00065ADC"/>
    <w:rsid w:val="0006732A"/>
    <w:rsid w:val="00073BB4"/>
    <w:rsid w:val="00075C3C"/>
    <w:rsid w:val="00075E1E"/>
    <w:rsid w:val="00076885"/>
    <w:rsid w:val="00077D8D"/>
    <w:rsid w:val="00080ACC"/>
    <w:rsid w:val="000815C7"/>
    <w:rsid w:val="000823C8"/>
    <w:rsid w:val="000829FF"/>
    <w:rsid w:val="0008302D"/>
    <w:rsid w:val="0008384E"/>
    <w:rsid w:val="00084229"/>
    <w:rsid w:val="00084310"/>
    <w:rsid w:val="000865AA"/>
    <w:rsid w:val="00086780"/>
    <w:rsid w:val="00090640"/>
    <w:rsid w:val="00093FA5"/>
    <w:rsid w:val="00094FFA"/>
    <w:rsid w:val="000A2AA8"/>
    <w:rsid w:val="000A3F30"/>
    <w:rsid w:val="000A3FB2"/>
    <w:rsid w:val="000A5709"/>
    <w:rsid w:val="000A6653"/>
    <w:rsid w:val="000A76BA"/>
    <w:rsid w:val="000B03AE"/>
    <w:rsid w:val="000B23CE"/>
    <w:rsid w:val="000B2F37"/>
    <w:rsid w:val="000B59B0"/>
    <w:rsid w:val="000C1ABE"/>
    <w:rsid w:val="000C43A0"/>
    <w:rsid w:val="000C72A9"/>
    <w:rsid w:val="000D019F"/>
    <w:rsid w:val="000D174A"/>
    <w:rsid w:val="000D182C"/>
    <w:rsid w:val="000D264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5918"/>
    <w:rsid w:val="00105A50"/>
    <w:rsid w:val="00105C89"/>
    <w:rsid w:val="001075C7"/>
    <w:rsid w:val="001079B1"/>
    <w:rsid w:val="00107F05"/>
    <w:rsid w:val="001109AA"/>
    <w:rsid w:val="00112C6A"/>
    <w:rsid w:val="001132A8"/>
    <w:rsid w:val="00113C45"/>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04D"/>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A5F"/>
    <w:rsid w:val="001E4E63"/>
    <w:rsid w:val="001E583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25B5"/>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6ED4"/>
    <w:rsid w:val="002470AC"/>
    <w:rsid w:val="00252D47"/>
    <w:rsid w:val="0025341B"/>
    <w:rsid w:val="00255A8B"/>
    <w:rsid w:val="00257BEA"/>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37D5"/>
    <w:rsid w:val="002A4A61"/>
    <w:rsid w:val="002A4AE4"/>
    <w:rsid w:val="002B00DC"/>
    <w:rsid w:val="002B01CA"/>
    <w:rsid w:val="002B4134"/>
    <w:rsid w:val="002B5563"/>
    <w:rsid w:val="002C0438"/>
    <w:rsid w:val="002C239F"/>
    <w:rsid w:val="002C4497"/>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6540"/>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736"/>
    <w:rsid w:val="003449F9"/>
    <w:rsid w:val="003464D2"/>
    <w:rsid w:val="003479E4"/>
    <w:rsid w:val="00347C43"/>
    <w:rsid w:val="0035125F"/>
    <w:rsid w:val="00351CF9"/>
    <w:rsid w:val="0035278B"/>
    <w:rsid w:val="003527BB"/>
    <w:rsid w:val="00353A5C"/>
    <w:rsid w:val="003601EA"/>
    <w:rsid w:val="00360AF4"/>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77B60"/>
    <w:rsid w:val="00380484"/>
    <w:rsid w:val="0038052B"/>
    <w:rsid w:val="00382C54"/>
    <w:rsid w:val="00382E4B"/>
    <w:rsid w:val="00384940"/>
    <w:rsid w:val="0038516A"/>
    <w:rsid w:val="00385654"/>
    <w:rsid w:val="0038601E"/>
    <w:rsid w:val="003906A1"/>
    <w:rsid w:val="00391CBC"/>
    <w:rsid w:val="003924F8"/>
    <w:rsid w:val="00392C7E"/>
    <w:rsid w:val="00394508"/>
    <w:rsid w:val="003945E3"/>
    <w:rsid w:val="00395A50"/>
    <w:rsid w:val="0039787F"/>
    <w:rsid w:val="003A01D2"/>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577F"/>
    <w:rsid w:val="003C6ADF"/>
    <w:rsid w:val="003C74A4"/>
    <w:rsid w:val="003C74FF"/>
    <w:rsid w:val="003C7814"/>
    <w:rsid w:val="003D1D90"/>
    <w:rsid w:val="003D26A5"/>
    <w:rsid w:val="003D3623"/>
    <w:rsid w:val="003D473B"/>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204C"/>
    <w:rsid w:val="00403645"/>
    <w:rsid w:val="004051EE"/>
    <w:rsid w:val="00407C5B"/>
    <w:rsid w:val="00412A90"/>
    <w:rsid w:val="00412D0F"/>
    <w:rsid w:val="00417124"/>
    <w:rsid w:val="00421159"/>
    <w:rsid w:val="004215D0"/>
    <w:rsid w:val="00424DEF"/>
    <w:rsid w:val="00427230"/>
    <w:rsid w:val="004315A6"/>
    <w:rsid w:val="0043650B"/>
    <w:rsid w:val="00440FF1"/>
    <w:rsid w:val="004417F2"/>
    <w:rsid w:val="00442799"/>
    <w:rsid w:val="0044292E"/>
    <w:rsid w:val="00442DE5"/>
    <w:rsid w:val="00443FBF"/>
    <w:rsid w:val="004452DF"/>
    <w:rsid w:val="00445616"/>
    <w:rsid w:val="00446A34"/>
    <w:rsid w:val="0044717F"/>
    <w:rsid w:val="00450026"/>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553A"/>
    <w:rsid w:val="00486539"/>
    <w:rsid w:val="00487701"/>
    <w:rsid w:val="00493CCC"/>
    <w:rsid w:val="0049468A"/>
    <w:rsid w:val="00494A39"/>
    <w:rsid w:val="00497BD4"/>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154"/>
    <w:rsid w:val="0057025E"/>
    <w:rsid w:val="005702B6"/>
    <w:rsid w:val="005703A1"/>
    <w:rsid w:val="005711FA"/>
    <w:rsid w:val="005714E0"/>
    <w:rsid w:val="00571583"/>
    <w:rsid w:val="00572E7A"/>
    <w:rsid w:val="00573E84"/>
    <w:rsid w:val="005747C5"/>
    <w:rsid w:val="005817C7"/>
    <w:rsid w:val="005819F2"/>
    <w:rsid w:val="00582395"/>
    <w:rsid w:val="005827C7"/>
    <w:rsid w:val="00583212"/>
    <w:rsid w:val="005843C7"/>
    <w:rsid w:val="00585D8F"/>
    <w:rsid w:val="00586072"/>
    <w:rsid w:val="0058644C"/>
    <w:rsid w:val="00587F10"/>
    <w:rsid w:val="00587FC0"/>
    <w:rsid w:val="00591351"/>
    <w:rsid w:val="00591EC7"/>
    <w:rsid w:val="00596413"/>
    <w:rsid w:val="00596B6A"/>
    <w:rsid w:val="005A1252"/>
    <w:rsid w:val="005A16CF"/>
    <w:rsid w:val="005A177B"/>
    <w:rsid w:val="005A1DB7"/>
    <w:rsid w:val="005A2ECA"/>
    <w:rsid w:val="005A3063"/>
    <w:rsid w:val="005A4504"/>
    <w:rsid w:val="005B0D07"/>
    <w:rsid w:val="005B151D"/>
    <w:rsid w:val="005B1C61"/>
    <w:rsid w:val="005B31EA"/>
    <w:rsid w:val="005B34A6"/>
    <w:rsid w:val="005B5114"/>
    <w:rsid w:val="005B6C64"/>
    <w:rsid w:val="005B6C67"/>
    <w:rsid w:val="005C0CBC"/>
    <w:rsid w:val="005C4204"/>
    <w:rsid w:val="005C5F1F"/>
    <w:rsid w:val="005C6823"/>
    <w:rsid w:val="005C7F13"/>
    <w:rsid w:val="005D00D0"/>
    <w:rsid w:val="005D1ED0"/>
    <w:rsid w:val="005D1F09"/>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3D51"/>
    <w:rsid w:val="0062440B"/>
    <w:rsid w:val="006254B0"/>
    <w:rsid w:val="006269BC"/>
    <w:rsid w:val="006278F8"/>
    <w:rsid w:val="006302F7"/>
    <w:rsid w:val="00631EB7"/>
    <w:rsid w:val="00633037"/>
    <w:rsid w:val="006341FE"/>
    <w:rsid w:val="00635200"/>
    <w:rsid w:val="006362D2"/>
    <w:rsid w:val="00637D68"/>
    <w:rsid w:val="006412B9"/>
    <w:rsid w:val="00643867"/>
    <w:rsid w:val="00644392"/>
    <w:rsid w:val="00644E29"/>
    <w:rsid w:val="00653A4D"/>
    <w:rsid w:val="006548B7"/>
    <w:rsid w:val="00654B3B"/>
    <w:rsid w:val="00656882"/>
    <w:rsid w:val="00657DBD"/>
    <w:rsid w:val="0066185D"/>
    <w:rsid w:val="00662343"/>
    <w:rsid w:val="0066483B"/>
    <w:rsid w:val="0066569E"/>
    <w:rsid w:val="0067069C"/>
    <w:rsid w:val="00671774"/>
    <w:rsid w:val="00671F29"/>
    <w:rsid w:val="0067305F"/>
    <w:rsid w:val="00673178"/>
    <w:rsid w:val="0067434F"/>
    <w:rsid w:val="00676118"/>
    <w:rsid w:val="00677554"/>
    <w:rsid w:val="00680308"/>
    <w:rsid w:val="0068429C"/>
    <w:rsid w:val="00687476"/>
    <w:rsid w:val="0069038E"/>
    <w:rsid w:val="006905F2"/>
    <w:rsid w:val="00693202"/>
    <w:rsid w:val="006942E7"/>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494A"/>
    <w:rsid w:val="006C51E4"/>
    <w:rsid w:val="006C565C"/>
    <w:rsid w:val="006C5F7D"/>
    <w:rsid w:val="006D042D"/>
    <w:rsid w:val="006D0B99"/>
    <w:rsid w:val="006D3377"/>
    <w:rsid w:val="006D373F"/>
    <w:rsid w:val="006D3E5E"/>
    <w:rsid w:val="006D436D"/>
    <w:rsid w:val="006D5362"/>
    <w:rsid w:val="006E0B7C"/>
    <w:rsid w:val="006E1349"/>
    <w:rsid w:val="006E181A"/>
    <w:rsid w:val="006E2D44"/>
    <w:rsid w:val="006F188E"/>
    <w:rsid w:val="006F3DD4"/>
    <w:rsid w:val="006F4CF6"/>
    <w:rsid w:val="006F5C20"/>
    <w:rsid w:val="006F5CEF"/>
    <w:rsid w:val="007008A3"/>
    <w:rsid w:val="00702F30"/>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2E10"/>
    <w:rsid w:val="00733FEF"/>
    <w:rsid w:val="00734222"/>
    <w:rsid w:val="00734F1A"/>
    <w:rsid w:val="00736065"/>
    <w:rsid w:val="0074006F"/>
    <w:rsid w:val="00741D75"/>
    <w:rsid w:val="0074293A"/>
    <w:rsid w:val="0074579F"/>
    <w:rsid w:val="00745852"/>
    <w:rsid w:val="0074621F"/>
    <w:rsid w:val="007463FB"/>
    <w:rsid w:val="007467C4"/>
    <w:rsid w:val="007513CD"/>
    <w:rsid w:val="00751F59"/>
    <w:rsid w:val="007530A9"/>
    <w:rsid w:val="00753F20"/>
    <w:rsid w:val="007545FC"/>
    <w:rsid w:val="0075544F"/>
    <w:rsid w:val="0076063E"/>
    <w:rsid w:val="0076196C"/>
    <w:rsid w:val="007646A9"/>
    <w:rsid w:val="00766B1A"/>
    <w:rsid w:val="00766DFE"/>
    <w:rsid w:val="007723FD"/>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1574"/>
    <w:rsid w:val="007A3E73"/>
    <w:rsid w:val="007A4DAC"/>
    <w:rsid w:val="007A52C6"/>
    <w:rsid w:val="007A5765"/>
    <w:rsid w:val="007A5B77"/>
    <w:rsid w:val="007A5B89"/>
    <w:rsid w:val="007A6FC3"/>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00CF"/>
    <w:rsid w:val="007F1E75"/>
    <w:rsid w:val="007F2366"/>
    <w:rsid w:val="007F55BE"/>
    <w:rsid w:val="007F6EC7"/>
    <w:rsid w:val="007F75A8"/>
    <w:rsid w:val="008024F1"/>
    <w:rsid w:val="00802FC5"/>
    <w:rsid w:val="00804148"/>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5D4E"/>
    <w:rsid w:val="00857525"/>
    <w:rsid w:val="0085752A"/>
    <w:rsid w:val="0085795D"/>
    <w:rsid w:val="00866701"/>
    <w:rsid w:val="0086745D"/>
    <w:rsid w:val="00870B4D"/>
    <w:rsid w:val="00871338"/>
    <w:rsid w:val="00872CEB"/>
    <w:rsid w:val="00874793"/>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0BA"/>
    <w:rsid w:val="00906F9C"/>
    <w:rsid w:val="00910F8F"/>
    <w:rsid w:val="0091118D"/>
    <w:rsid w:val="0092075E"/>
    <w:rsid w:val="009225A7"/>
    <w:rsid w:val="009237A3"/>
    <w:rsid w:val="00926C31"/>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2270"/>
    <w:rsid w:val="00994A4F"/>
    <w:rsid w:val="009A0E5E"/>
    <w:rsid w:val="009A2737"/>
    <w:rsid w:val="009A5311"/>
    <w:rsid w:val="009B0116"/>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E6590"/>
    <w:rsid w:val="009F08F6"/>
    <w:rsid w:val="009F11E2"/>
    <w:rsid w:val="009F1DC7"/>
    <w:rsid w:val="009F3750"/>
    <w:rsid w:val="009F3DF5"/>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3055A"/>
    <w:rsid w:val="00A34E11"/>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9DC"/>
    <w:rsid w:val="00A763B2"/>
    <w:rsid w:val="00A82B85"/>
    <w:rsid w:val="00A844CE"/>
    <w:rsid w:val="00A84A33"/>
    <w:rsid w:val="00A90385"/>
    <w:rsid w:val="00A91053"/>
    <w:rsid w:val="00A91EAA"/>
    <w:rsid w:val="00A9264B"/>
    <w:rsid w:val="00A9678A"/>
    <w:rsid w:val="00A96DCC"/>
    <w:rsid w:val="00A971E7"/>
    <w:rsid w:val="00AA05AE"/>
    <w:rsid w:val="00AA1134"/>
    <w:rsid w:val="00AA188F"/>
    <w:rsid w:val="00AA3C3D"/>
    <w:rsid w:val="00AA5C69"/>
    <w:rsid w:val="00AA63A9"/>
    <w:rsid w:val="00AA6681"/>
    <w:rsid w:val="00AA6F19"/>
    <w:rsid w:val="00AA7E07"/>
    <w:rsid w:val="00AB17F6"/>
    <w:rsid w:val="00AB7031"/>
    <w:rsid w:val="00AC002C"/>
    <w:rsid w:val="00AC1F28"/>
    <w:rsid w:val="00AC2F03"/>
    <w:rsid w:val="00AC41DC"/>
    <w:rsid w:val="00AC76C6"/>
    <w:rsid w:val="00AD0F43"/>
    <w:rsid w:val="00AD268D"/>
    <w:rsid w:val="00AD3749"/>
    <w:rsid w:val="00AD42F5"/>
    <w:rsid w:val="00AD5548"/>
    <w:rsid w:val="00AD55AC"/>
    <w:rsid w:val="00AD6723"/>
    <w:rsid w:val="00AD6AE6"/>
    <w:rsid w:val="00AD6E74"/>
    <w:rsid w:val="00AD7445"/>
    <w:rsid w:val="00AD7BA4"/>
    <w:rsid w:val="00AE2498"/>
    <w:rsid w:val="00AE3BB3"/>
    <w:rsid w:val="00AE4840"/>
    <w:rsid w:val="00AE5963"/>
    <w:rsid w:val="00AF11F1"/>
    <w:rsid w:val="00B0051A"/>
    <w:rsid w:val="00B007A3"/>
    <w:rsid w:val="00B03DB7"/>
    <w:rsid w:val="00B04957"/>
    <w:rsid w:val="00B04CB8"/>
    <w:rsid w:val="00B04F13"/>
    <w:rsid w:val="00B07BCF"/>
    <w:rsid w:val="00B11981"/>
    <w:rsid w:val="00B14130"/>
    <w:rsid w:val="00B144F2"/>
    <w:rsid w:val="00B153F8"/>
    <w:rsid w:val="00B16018"/>
    <w:rsid w:val="00B16515"/>
    <w:rsid w:val="00B16748"/>
    <w:rsid w:val="00B2054B"/>
    <w:rsid w:val="00B211AA"/>
    <w:rsid w:val="00B2230D"/>
    <w:rsid w:val="00B23F9D"/>
    <w:rsid w:val="00B24659"/>
    <w:rsid w:val="00B32B5E"/>
    <w:rsid w:val="00B359BA"/>
    <w:rsid w:val="00B35A7B"/>
    <w:rsid w:val="00B4050B"/>
    <w:rsid w:val="00B447D8"/>
    <w:rsid w:val="00B4526A"/>
    <w:rsid w:val="00B45A5E"/>
    <w:rsid w:val="00B50171"/>
    <w:rsid w:val="00B51194"/>
    <w:rsid w:val="00B52374"/>
    <w:rsid w:val="00B5499F"/>
    <w:rsid w:val="00B54BCB"/>
    <w:rsid w:val="00B56B13"/>
    <w:rsid w:val="00B60BC3"/>
    <w:rsid w:val="00B60DD2"/>
    <w:rsid w:val="00B611E3"/>
    <w:rsid w:val="00B615D1"/>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787B"/>
    <w:rsid w:val="00BB14CB"/>
    <w:rsid w:val="00BB20F2"/>
    <w:rsid w:val="00BB4CD8"/>
    <w:rsid w:val="00BB67AE"/>
    <w:rsid w:val="00BB73F7"/>
    <w:rsid w:val="00BC3EBA"/>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5828"/>
    <w:rsid w:val="00C27D71"/>
    <w:rsid w:val="00C317AA"/>
    <w:rsid w:val="00C325C5"/>
    <w:rsid w:val="00C348BD"/>
    <w:rsid w:val="00C34B1A"/>
    <w:rsid w:val="00C36247"/>
    <w:rsid w:val="00C36B2F"/>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760E5"/>
    <w:rsid w:val="00C80D03"/>
    <w:rsid w:val="00C80D37"/>
    <w:rsid w:val="00C8151A"/>
    <w:rsid w:val="00C81770"/>
    <w:rsid w:val="00C82355"/>
    <w:rsid w:val="00C82609"/>
    <w:rsid w:val="00C844EB"/>
    <w:rsid w:val="00C85C0F"/>
    <w:rsid w:val="00C8757A"/>
    <w:rsid w:val="00C8795F"/>
    <w:rsid w:val="00C91CCE"/>
    <w:rsid w:val="00C9200C"/>
    <w:rsid w:val="00C9340B"/>
    <w:rsid w:val="00C95FF7"/>
    <w:rsid w:val="00C975ED"/>
    <w:rsid w:val="00C97719"/>
    <w:rsid w:val="00CA079D"/>
    <w:rsid w:val="00CA21CA"/>
    <w:rsid w:val="00CA2591"/>
    <w:rsid w:val="00CA6934"/>
    <w:rsid w:val="00CA6C80"/>
    <w:rsid w:val="00CB159E"/>
    <w:rsid w:val="00CB1ED2"/>
    <w:rsid w:val="00CB285C"/>
    <w:rsid w:val="00CB3E0A"/>
    <w:rsid w:val="00CB7A46"/>
    <w:rsid w:val="00CC0E33"/>
    <w:rsid w:val="00CC2B44"/>
    <w:rsid w:val="00CC3806"/>
    <w:rsid w:val="00CC799E"/>
    <w:rsid w:val="00CD0ABD"/>
    <w:rsid w:val="00CD14E5"/>
    <w:rsid w:val="00CD1792"/>
    <w:rsid w:val="00CD259C"/>
    <w:rsid w:val="00CE138A"/>
    <w:rsid w:val="00CE3DDC"/>
    <w:rsid w:val="00CE431C"/>
    <w:rsid w:val="00CE55EC"/>
    <w:rsid w:val="00CE5942"/>
    <w:rsid w:val="00CE63EE"/>
    <w:rsid w:val="00CF047A"/>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D84"/>
    <w:rsid w:val="00D26EB4"/>
    <w:rsid w:val="00D307A6"/>
    <w:rsid w:val="00D30843"/>
    <w:rsid w:val="00D31D0B"/>
    <w:rsid w:val="00D345ED"/>
    <w:rsid w:val="00D36C35"/>
    <w:rsid w:val="00D36D39"/>
    <w:rsid w:val="00D36FBF"/>
    <w:rsid w:val="00D417F5"/>
    <w:rsid w:val="00D41A1D"/>
    <w:rsid w:val="00D42073"/>
    <w:rsid w:val="00D43763"/>
    <w:rsid w:val="00D4623C"/>
    <w:rsid w:val="00D47DAF"/>
    <w:rsid w:val="00D51E65"/>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04A"/>
    <w:rsid w:val="00D818EE"/>
    <w:rsid w:val="00D826B4"/>
    <w:rsid w:val="00D84566"/>
    <w:rsid w:val="00D84E70"/>
    <w:rsid w:val="00D85857"/>
    <w:rsid w:val="00D920A0"/>
    <w:rsid w:val="00D926A1"/>
    <w:rsid w:val="00D92951"/>
    <w:rsid w:val="00D94B05"/>
    <w:rsid w:val="00D9667F"/>
    <w:rsid w:val="00D97A88"/>
    <w:rsid w:val="00DA128C"/>
    <w:rsid w:val="00DA3D06"/>
    <w:rsid w:val="00DA4EA9"/>
    <w:rsid w:val="00DA6162"/>
    <w:rsid w:val="00DB089D"/>
    <w:rsid w:val="00DB091E"/>
    <w:rsid w:val="00DB20DB"/>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C79E8"/>
    <w:rsid w:val="00DD3BD5"/>
    <w:rsid w:val="00DD3C10"/>
    <w:rsid w:val="00DD3D07"/>
    <w:rsid w:val="00DD6EB7"/>
    <w:rsid w:val="00DD71F8"/>
    <w:rsid w:val="00DD7D28"/>
    <w:rsid w:val="00DE18DF"/>
    <w:rsid w:val="00DE2E19"/>
    <w:rsid w:val="00DE385C"/>
    <w:rsid w:val="00DE5C6F"/>
    <w:rsid w:val="00DE6088"/>
    <w:rsid w:val="00DE6B30"/>
    <w:rsid w:val="00DF15D7"/>
    <w:rsid w:val="00DF4545"/>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23AF"/>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12CF"/>
    <w:rsid w:val="00EB41C2"/>
    <w:rsid w:val="00EB5ADB"/>
    <w:rsid w:val="00EC1B87"/>
    <w:rsid w:val="00EC1F76"/>
    <w:rsid w:val="00EC50C2"/>
    <w:rsid w:val="00EC75FF"/>
    <w:rsid w:val="00ED0D63"/>
    <w:rsid w:val="00ED1332"/>
    <w:rsid w:val="00ED547E"/>
    <w:rsid w:val="00ED6F1C"/>
    <w:rsid w:val="00ED6FC5"/>
    <w:rsid w:val="00EE2AF3"/>
    <w:rsid w:val="00EE3DE3"/>
    <w:rsid w:val="00EE3F3E"/>
    <w:rsid w:val="00EE4035"/>
    <w:rsid w:val="00EE46A3"/>
    <w:rsid w:val="00EE55B2"/>
    <w:rsid w:val="00EE7DA9"/>
    <w:rsid w:val="00EF134A"/>
    <w:rsid w:val="00EF311C"/>
    <w:rsid w:val="00EF34D3"/>
    <w:rsid w:val="00EF4238"/>
    <w:rsid w:val="00EF6B9E"/>
    <w:rsid w:val="00EF72D6"/>
    <w:rsid w:val="00F0401B"/>
    <w:rsid w:val="00F04FF6"/>
    <w:rsid w:val="00F06FF1"/>
    <w:rsid w:val="00F109FC"/>
    <w:rsid w:val="00F13E62"/>
    <w:rsid w:val="00F15600"/>
    <w:rsid w:val="00F2321E"/>
    <w:rsid w:val="00F2445F"/>
    <w:rsid w:val="00F2561F"/>
    <w:rsid w:val="00F25C90"/>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51C"/>
    <w:rsid w:val="00F56773"/>
    <w:rsid w:val="00F62E6A"/>
    <w:rsid w:val="00F64753"/>
    <w:rsid w:val="00F659E1"/>
    <w:rsid w:val="00F66F1E"/>
    <w:rsid w:val="00F727CB"/>
    <w:rsid w:val="00F77ABA"/>
    <w:rsid w:val="00F808C5"/>
    <w:rsid w:val="00F832E1"/>
    <w:rsid w:val="00F85369"/>
    <w:rsid w:val="00F85DC0"/>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6BD3"/>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09E13F-CA81-43AE-95B6-B4173911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paragraph" w:customStyle="1" w:styleId="SP11307227">
    <w:name w:val="SP.11.307227"/>
    <w:basedOn w:val="Default"/>
    <w:next w:val="Default"/>
    <w:uiPriority w:val="99"/>
    <w:rsid w:val="00C91CCE"/>
    <w:rPr>
      <w:rFonts w:ascii="Arial" w:hAnsi="Arial" w:cs="Arial"/>
      <w:color w:val="auto"/>
    </w:rPr>
  </w:style>
  <w:style w:type="paragraph" w:customStyle="1" w:styleId="SP11307228">
    <w:name w:val="SP.11.307228"/>
    <w:basedOn w:val="Default"/>
    <w:next w:val="Default"/>
    <w:uiPriority w:val="99"/>
    <w:rsid w:val="00C91CCE"/>
    <w:rPr>
      <w:rFonts w:ascii="Arial" w:hAnsi="Arial" w:cs="Arial"/>
      <w:color w:val="auto"/>
    </w:rPr>
  </w:style>
  <w:style w:type="character" w:customStyle="1" w:styleId="SC11274443">
    <w:name w:val="SC.11.274443"/>
    <w:uiPriority w:val="99"/>
    <w:rsid w:val="00C91CCE"/>
    <w:rPr>
      <w:b/>
      <w:bCs/>
      <w:color w:val="000000"/>
      <w:sz w:val="22"/>
      <w:szCs w:val="22"/>
    </w:rPr>
  </w:style>
  <w:style w:type="paragraph" w:customStyle="1" w:styleId="SP11307211">
    <w:name w:val="SP.11.307211"/>
    <w:basedOn w:val="Default"/>
    <w:next w:val="Default"/>
    <w:uiPriority w:val="99"/>
    <w:rsid w:val="00C91CCE"/>
    <w:rPr>
      <w:rFonts w:ascii="Arial" w:hAnsi="Arial" w:cs="Arial"/>
      <w:color w:val="auto"/>
    </w:rPr>
  </w:style>
  <w:style w:type="paragraph" w:customStyle="1" w:styleId="SP11307207">
    <w:name w:val="SP.11.307207"/>
    <w:basedOn w:val="Default"/>
    <w:next w:val="Default"/>
    <w:uiPriority w:val="99"/>
    <w:rsid w:val="00061837"/>
    <w:rPr>
      <w:color w:val="auto"/>
    </w:rPr>
  </w:style>
  <w:style w:type="paragraph" w:customStyle="1" w:styleId="SP11307257">
    <w:name w:val="SP.11.307257"/>
    <w:basedOn w:val="Default"/>
    <w:next w:val="Default"/>
    <w:uiPriority w:val="99"/>
    <w:rsid w:val="00061837"/>
    <w:rPr>
      <w:color w:val="auto"/>
    </w:rPr>
  </w:style>
  <w:style w:type="character" w:customStyle="1" w:styleId="SC11274435">
    <w:name w:val="SC.11.274435"/>
    <w:uiPriority w:val="99"/>
    <w:rsid w:val="00061837"/>
    <w:rPr>
      <w:color w:val="000000"/>
      <w:sz w:val="18"/>
      <w:szCs w:val="18"/>
    </w:rPr>
  </w:style>
  <w:style w:type="paragraph" w:customStyle="1" w:styleId="SP11307210">
    <w:name w:val="SP.11.307210"/>
    <w:basedOn w:val="Default"/>
    <w:next w:val="Default"/>
    <w:uiPriority w:val="99"/>
    <w:rsid w:val="00061837"/>
    <w:rPr>
      <w:color w:val="auto"/>
    </w:rPr>
  </w:style>
  <w:style w:type="paragraph" w:customStyle="1" w:styleId="SP11307205">
    <w:name w:val="SP.11.307205"/>
    <w:basedOn w:val="Default"/>
    <w:next w:val="Default"/>
    <w:uiPriority w:val="99"/>
    <w:rsid w:val="00E223AF"/>
    <w:rPr>
      <w:color w:val="auto"/>
    </w:rPr>
  </w:style>
  <w:style w:type="paragraph" w:customStyle="1" w:styleId="SP1065575">
    <w:name w:val="SP.10.65575"/>
    <w:basedOn w:val="Default"/>
    <w:next w:val="Default"/>
    <w:uiPriority w:val="99"/>
    <w:rsid w:val="00E223AF"/>
    <w:rPr>
      <w:rFonts w:ascii="Arial" w:hAnsi="Arial" w:cs="Arial"/>
      <w:color w:val="auto"/>
    </w:rPr>
  </w:style>
  <w:style w:type="paragraph" w:customStyle="1" w:styleId="SP1065565">
    <w:name w:val="SP.10.65565"/>
    <w:basedOn w:val="Default"/>
    <w:next w:val="Default"/>
    <w:uiPriority w:val="99"/>
    <w:rsid w:val="00E223AF"/>
    <w:rPr>
      <w:rFonts w:ascii="Arial" w:hAnsi="Arial" w:cs="Arial"/>
      <w:color w:val="auto"/>
    </w:rPr>
  </w:style>
  <w:style w:type="paragraph" w:customStyle="1" w:styleId="SP1065576">
    <w:name w:val="SP.10.65576"/>
    <w:basedOn w:val="Default"/>
    <w:next w:val="Default"/>
    <w:uiPriority w:val="99"/>
    <w:rsid w:val="00E223AF"/>
    <w:rPr>
      <w:rFonts w:ascii="Arial" w:hAnsi="Arial" w:cs="Arial"/>
      <w:color w:val="auto"/>
    </w:rPr>
  </w:style>
  <w:style w:type="paragraph" w:customStyle="1" w:styleId="SP1065546">
    <w:name w:val="SP.10.65546"/>
    <w:basedOn w:val="Default"/>
    <w:next w:val="Default"/>
    <w:uiPriority w:val="99"/>
    <w:rsid w:val="00E223AF"/>
    <w:rPr>
      <w:rFonts w:ascii="Arial" w:hAnsi="Arial" w:cs="Arial"/>
      <w:color w:val="auto"/>
    </w:rPr>
  </w:style>
  <w:style w:type="paragraph" w:customStyle="1" w:styleId="SP1065537">
    <w:name w:val="SP.10.65537"/>
    <w:basedOn w:val="Default"/>
    <w:next w:val="Default"/>
    <w:uiPriority w:val="99"/>
    <w:rsid w:val="00E223AF"/>
    <w:rPr>
      <w:color w:val="auto"/>
    </w:rPr>
  </w:style>
  <w:style w:type="paragraph" w:customStyle="1" w:styleId="SP1065548">
    <w:name w:val="SP.10.65548"/>
    <w:basedOn w:val="Default"/>
    <w:next w:val="Default"/>
    <w:uiPriority w:val="99"/>
    <w:rsid w:val="00E223A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80149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9633720">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134514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6500281">
      <w:bodyDiv w:val="1"/>
      <w:marLeft w:val="0"/>
      <w:marRight w:val="0"/>
      <w:marTop w:val="0"/>
      <w:marBottom w:val="0"/>
      <w:divBdr>
        <w:top w:val="none" w:sz="0" w:space="0" w:color="auto"/>
        <w:left w:val="none" w:sz="0" w:space="0" w:color="auto"/>
        <w:bottom w:val="none" w:sz="0" w:space="0" w:color="auto"/>
        <w:right w:val="none" w:sz="0" w:space="0" w:color="auto"/>
      </w:divBdr>
      <w:divsChild>
        <w:div w:id="1315642556">
          <w:marLeft w:val="0"/>
          <w:marRight w:val="0"/>
          <w:marTop w:val="0"/>
          <w:marBottom w:val="0"/>
          <w:divBdr>
            <w:top w:val="none" w:sz="0" w:space="0" w:color="auto"/>
            <w:left w:val="none" w:sz="0" w:space="0" w:color="auto"/>
            <w:bottom w:val="none" w:sz="0" w:space="0" w:color="auto"/>
            <w:right w:val="none" w:sz="0" w:space="0" w:color="auto"/>
          </w:divBdr>
          <w:divsChild>
            <w:div w:id="56704163">
              <w:marLeft w:val="0"/>
              <w:marRight w:val="0"/>
              <w:marTop w:val="0"/>
              <w:marBottom w:val="0"/>
              <w:divBdr>
                <w:top w:val="none" w:sz="0" w:space="0" w:color="auto"/>
                <w:left w:val="none" w:sz="0" w:space="0" w:color="auto"/>
                <w:bottom w:val="none" w:sz="0" w:space="0" w:color="auto"/>
                <w:right w:val="none" w:sz="0" w:space="0" w:color="auto"/>
              </w:divBdr>
              <w:divsChild>
                <w:div w:id="1311011111">
                  <w:marLeft w:val="0"/>
                  <w:marRight w:val="0"/>
                  <w:marTop w:val="0"/>
                  <w:marBottom w:val="0"/>
                  <w:divBdr>
                    <w:top w:val="none" w:sz="0" w:space="0" w:color="auto"/>
                    <w:left w:val="none" w:sz="0" w:space="0" w:color="auto"/>
                    <w:bottom w:val="none" w:sz="0" w:space="0" w:color="auto"/>
                    <w:right w:val="none" w:sz="0" w:space="0" w:color="auto"/>
                  </w:divBdr>
                  <w:divsChild>
                    <w:div w:id="1401252964">
                      <w:marLeft w:val="0"/>
                      <w:marRight w:val="0"/>
                      <w:marTop w:val="0"/>
                      <w:marBottom w:val="0"/>
                      <w:divBdr>
                        <w:top w:val="none" w:sz="0" w:space="0" w:color="auto"/>
                        <w:left w:val="none" w:sz="0" w:space="0" w:color="auto"/>
                        <w:bottom w:val="none" w:sz="0" w:space="0" w:color="auto"/>
                        <w:right w:val="none" w:sz="0" w:space="0" w:color="auto"/>
                      </w:divBdr>
                      <w:divsChild>
                        <w:div w:id="1216351111">
                          <w:marLeft w:val="0"/>
                          <w:marRight w:val="0"/>
                          <w:marTop w:val="0"/>
                          <w:marBottom w:val="0"/>
                          <w:divBdr>
                            <w:top w:val="none" w:sz="0" w:space="0" w:color="auto"/>
                            <w:left w:val="none" w:sz="0" w:space="0" w:color="auto"/>
                            <w:bottom w:val="none" w:sz="0" w:space="0" w:color="auto"/>
                            <w:right w:val="none" w:sz="0" w:space="0" w:color="auto"/>
                          </w:divBdr>
                          <w:divsChild>
                            <w:div w:id="184026274">
                              <w:marLeft w:val="0"/>
                              <w:marRight w:val="0"/>
                              <w:marTop w:val="0"/>
                              <w:marBottom w:val="0"/>
                              <w:divBdr>
                                <w:top w:val="none" w:sz="0" w:space="0" w:color="auto"/>
                                <w:left w:val="single" w:sz="6" w:space="0" w:color="E5E3E3"/>
                                <w:bottom w:val="none" w:sz="0" w:space="0" w:color="auto"/>
                                <w:right w:val="none" w:sz="0" w:space="0" w:color="auto"/>
                              </w:divBdr>
                              <w:divsChild>
                                <w:div w:id="1096248168">
                                  <w:marLeft w:val="0"/>
                                  <w:marRight w:val="0"/>
                                  <w:marTop w:val="0"/>
                                  <w:marBottom w:val="0"/>
                                  <w:divBdr>
                                    <w:top w:val="none" w:sz="0" w:space="0" w:color="auto"/>
                                    <w:left w:val="none" w:sz="0" w:space="0" w:color="auto"/>
                                    <w:bottom w:val="none" w:sz="0" w:space="0" w:color="auto"/>
                                    <w:right w:val="none" w:sz="0" w:space="0" w:color="auto"/>
                                  </w:divBdr>
                                  <w:divsChild>
                                    <w:div w:id="1676300032">
                                      <w:marLeft w:val="0"/>
                                      <w:marRight w:val="0"/>
                                      <w:marTop w:val="0"/>
                                      <w:marBottom w:val="0"/>
                                      <w:divBdr>
                                        <w:top w:val="none" w:sz="0" w:space="0" w:color="auto"/>
                                        <w:left w:val="none" w:sz="0" w:space="0" w:color="auto"/>
                                        <w:bottom w:val="none" w:sz="0" w:space="0" w:color="auto"/>
                                        <w:right w:val="none" w:sz="0" w:space="0" w:color="auto"/>
                                      </w:divBdr>
                                      <w:divsChild>
                                        <w:div w:id="364447807">
                                          <w:marLeft w:val="0"/>
                                          <w:marRight w:val="0"/>
                                          <w:marTop w:val="0"/>
                                          <w:marBottom w:val="0"/>
                                          <w:divBdr>
                                            <w:top w:val="none" w:sz="0" w:space="0" w:color="auto"/>
                                            <w:left w:val="none" w:sz="0" w:space="0" w:color="auto"/>
                                            <w:bottom w:val="none" w:sz="0" w:space="0" w:color="auto"/>
                                            <w:right w:val="none" w:sz="0" w:space="0" w:color="auto"/>
                                          </w:divBdr>
                                          <w:divsChild>
                                            <w:div w:id="613444002">
                                              <w:marLeft w:val="0"/>
                                              <w:marRight w:val="0"/>
                                              <w:marTop w:val="0"/>
                                              <w:marBottom w:val="0"/>
                                              <w:divBdr>
                                                <w:top w:val="none" w:sz="0" w:space="0" w:color="auto"/>
                                                <w:left w:val="none" w:sz="0" w:space="0" w:color="auto"/>
                                                <w:bottom w:val="none" w:sz="0" w:space="0" w:color="auto"/>
                                                <w:right w:val="none" w:sz="0" w:space="0" w:color="auto"/>
                                              </w:divBdr>
                                              <w:divsChild>
                                                <w:div w:id="651367683">
                                                  <w:marLeft w:val="0"/>
                                                  <w:marRight w:val="0"/>
                                                  <w:marTop w:val="0"/>
                                                  <w:marBottom w:val="0"/>
                                                  <w:divBdr>
                                                    <w:top w:val="none" w:sz="0" w:space="0" w:color="auto"/>
                                                    <w:left w:val="none" w:sz="0" w:space="0" w:color="auto"/>
                                                    <w:bottom w:val="none" w:sz="0" w:space="0" w:color="auto"/>
                                                    <w:right w:val="none" w:sz="0" w:space="0" w:color="auto"/>
                                                  </w:divBdr>
                                                  <w:divsChild>
                                                    <w:div w:id="1314871216">
                                                      <w:marLeft w:val="0"/>
                                                      <w:marRight w:val="0"/>
                                                      <w:marTop w:val="0"/>
                                                      <w:marBottom w:val="0"/>
                                                      <w:divBdr>
                                                        <w:top w:val="none" w:sz="0" w:space="0" w:color="auto"/>
                                                        <w:left w:val="none" w:sz="0" w:space="0" w:color="auto"/>
                                                        <w:bottom w:val="none" w:sz="0" w:space="0" w:color="auto"/>
                                                        <w:right w:val="none" w:sz="0" w:space="0" w:color="auto"/>
                                                      </w:divBdr>
                                                      <w:divsChild>
                                                        <w:div w:id="695035466">
                                                          <w:marLeft w:val="480"/>
                                                          <w:marRight w:val="0"/>
                                                          <w:marTop w:val="0"/>
                                                          <w:marBottom w:val="0"/>
                                                          <w:divBdr>
                                                            <w:top w:val="none" w:sz="0" w:space="0" w:color="auto"/>
                                                            <w:left w:val="none" w:sz="0" w:space="0" w:color="auto"/>
                                                            <w:bottom w:val="none" w:sz="0" w:space="0" w:color="auto"/>
                                                            <w:right w:val="none" w:sz="0" w:space="0" w:color="auto"/>
                                                          </w:divBdr>
                                                          <w:divsChild>
                                                            <w:div w:id="335352647">
                                                              <w:marLeft w:val="0"/>
                                                              <w:marRight w:val="0"/>
                                                              <w:marTop w:val="0"/>
                                                              <w:marBottom w:val="0"/>
                                                              <w:divBdr>
                                                                <w:top w:val="none" w:sz="0" w:space="0" w:color="auto"/>
                                                                <w:left w:val="none" w:sz="0" w:space="0" w:color="auto"/>
                                                                <w:bottom w:val="none" w:sz="0" w:space="0" w:color="auto"/>
                                                                <w:right w:val="none" w:sz="0" w:space="0" w:color="auto"/>
                                                              </w:divBdr>
                                                              <w:divsChild>
                                                                <w:div w:id="1932276350">
                                                                  <w:marLeft w:val="0"/>
                                                                  <w:marRight w:val="0"/>
                                                                  <w:marTop w:val="0"/>
                                                                  <w:marBottom w:val="0"/>
                                                                  <w:divBdr>
                                                                    <w:top w:val="none" w:sz="0" w:space="0" w:color="auto"/>
                                                                    <w:left w:val="none" w:sz="0" w:space="0" w:color="auto"/>
                                                                    <w:bottom w:val="none" w:sz="0" w:space="0" w:color="auto"/>
                                                                    <w:right w:val="none" w:sz="0" w:space="0" w:color="auto"/>
                                                                  </w:divBdr>
                                                                  <w:divsChild>
                                                                    <w:div w:id="1020160444">
                                                                      <w:marLeft w:val="0"/>
                                                                      <w:marRight w:val="0"/>
                                                                      <w:marTop w:val="0"/>
                                                                      <w:marBottom w:val="0"/>
                                                                      <w:divBdr>
                                                                        <w:top w:val="none" w:sz="0" w:space="0" w:color="auto"/>
                                                                        <w:left w:val="none" w:sz="0" w:space="0" w:color="auto"/>
                                                                        <w:bottom w:val="none" w:sz="0" w:space="0" w:color="auto"/>
                                                                        <w:right w:val="none" w:sz="0" w:space="0" w:color="auto"/>
                                                                      </w:divBdr>
                                                                      <w:divsChild>
                                                                        <w:div w:id="1134174312">
                                                                          <w:marLeft w:val="0"/>
                                                                          <w:marRight w:val="0"/>
                                                                          <w:marTop w:val="0"/>
                                                                          <w:marBottom w:val="0"/>
                                                                          <w:divBdr>
                                                                            <w:top w:val="none" w:sz="0" w:space="0" w:color="auto"/>
                                                                            <w:left w:val="none" w:sz="0" w:space="0" w:color="auto"/>
                                                                            <w:bottom w:val="none" w:sz="0" w:space="0" w:color="auto"/>
                                                                            <w:right w:val="none" w:sz="0" w:space="0" w:color="auto"/>
                                                                          </w:divBdr>
                                                                          <w:divsChild>
                                                                            <w:div w:id="837765771">
                                                                              <w:marLeft w:val="0"/>
                                                                              <w:marRight w:val="0"/>
                                                                              <w:marTop w:val="0"/>
                                                                              <w:marBottom w:val="0"/>
                                                                              <w:divBdr>
                                                                                <w:top w:val="none" w:sz="0" w:space="0" w:color="auto"/>
                                                                                <w:left w:val="none" w:sz="0" w:space="0" w:color="auto"/>
                                                                                <w:bottom w:val="none" w:sz="0" w:space="0" w:color="auto"/>
                                                                                <w:right w:val="none" w:sz="0" w:space="0" w:color="auto"/>
                                                                              </w:divBdr>
                                                                              <w:divsChild>
                                                                                <w:div w:id="2132284398">
                                                                                  <w:marLeft w:val="0"/>
                                                                                  <w:marRight w:val="0"/>
                                                                                  <w:marTop w:val="0"/>
                                                                                  <w:marBottom w:val="0"/>
                                                                                  <w:divBdr>
                                                                                    <w:top w:val="none" w:sz="0" w:space="0" w:color="auto"/>
                                                                                    <w:left w:val="none" w:sz="0" w:space="0" w:color="auto"/>
                                                                                    <w:bottom w:val="single" w:sz="6" w:space="23" w:color="auto"/>
                                                                                    <w:right w:val="none" w:sz="0" w:space="0" w:color="auto"/>
                                                                                  </w:divBdr>
                                                                                  <w:divsChild>
                                                                                    <w:div w:id="1071729956">
                                                                                      <w:marLeft w:val="0"/>
                                                                                      <w:marRight w:val="0"/>
                                                                                      <w:marTop w:val="0"/>
                                                                                      <w:marBottom w:val="0"/>
                                                                                      <w:divBdr>
                                                                                        <w:top w:val="none" w:sz="0" w:space="0" w:color="auto"/>
                                                                                        <w:left w:val="none" w:sz="0" w:space="0" w:color="auto"/>
                                                                                        <w:bottom w:val="none" w:sz="0" w:space="0" w:color="auto"/>
                                                                                        <w:right w:val="none" w:sz="0" w:space="0" w:color="auto"/>
                                                                                      </w:divBdr>
                                                                                      <w:divsChild>
                                                                                        <w:div w:id="1543519004">
                                                                                          <w:marLeft w:val="0"/>
                                                                                          <w:marRight w:val="0"/>
                                                                                          <w:marTop w:val="0"/>
                                                                                          <w:marBottom w:val="0"/>
                                                                                          <w:divBdr>
                                                                                            <w:top w:val="none" w:sz="0" w:space="0" w:color="auto"/>
                                                                                            <w:left w:val="none" w:sz="0" w:space="0" w:color="auto"/>
                                                                                            <w:bottom w:val="none" w:sz="0" w:space="0" w:color="auto"/>
                                                                                            <w:right w:val="none" w:sz="0" w:space="0" w:color="auto"/>
                                                                                          </w:divBdr>
                                                                                          <w:divsChild>
                                                                                            <w:div w:id="1027292847">
                                                                                              <w:marLeft w:val="0"/>
                                                                                              <w:marRight w:val="0"/>
                                                                                              <w:marTop w:val="0"/>
                                                                                              <w:marBottom w:val="0"/>
                                                                                              <w:divBdr>
                                                                                                <w:top w:val="none" w:sz="0" w:space="0" w:color="auto"/>
                                                                                                <w:left w:val="none" w:sz="0" w:space="0" w:color="auto"/>
                                                                                                <w:bottom w:val="none" w:sz="0" w:space="0" w:color="auto"/>
                                                                                                <w:right w:val="none" w:sz="0" w:space="0" w:color="auto"/>
                                                                                              </w:divBdr>
                                                                                              <w:divsChild>
                                                                                                <w:div w:id="1416442014">
                                                                                                  <w:marLeft w:val="0"/>
                                                                                                  <w:marRight w:val="0"/>
                                                                                                  <w:marTop w:val="0"/>
                                                                                                  <w:marBottom w:val="0"/>
                                                                                                  <w:divBdr>
                                                                                                    <w:top w:val="none" w:sz="0" w:space="0" w:color="auto"/>
                                                                                                    <w:left w:val="none" w:sz="0" w:space="0" w:color="auto"/>
                                                                                                    <w:bottom w:val="none" w:sz="0" w:space="0" w:color="auto"/>
                                                                                                    <w:right w:val="none" w:sz="0" w:space="0" w:color="auto"/>
                                                                                                  </w:divBdr>
                                                                                                  <w:divsChild>
                                                                                                    <w:div w:id="675418946">
                                                                                                      <w:marLeft w:val="0"/>
                                                                                                      <w:marRight w:val="0"/>
                                                                                                      <w:marTop w:val="0"/>
                                                                                                      <w:marBottom w:val="0"/>
                                                                                                      <w:divBdr>
                                                                                                        <w:top w:val="none" w:sz="0" w:space="0" w:color="auto"/>
                                                                                                        <w:left w:val="none" w:sz="0" w:space="0" w:color="auto"/>
                                                                                                        <w:bottom w:val="none" w:sz="0" w:space="0" w:color="auto"/>
                                                                                                        <w:right w:val="none" w:sz="0" w:space="0" w:color="auto"/>
                                                                                                      </w:divBdr>
                                                                                                      <w:divsChild>
                                                                                                        <w:div w:id="1666472056">
                                                                                                          <w:marLeft w:val="0"/>
                                                                                                          <w:marRight w:val="0"/>
                                                                                                          <w:marTop w:val="0"/>
                                                                                                          <w:marBottom w:val="0"/>
                                                                                                          <w:divBdr>
                                                                                                            <w:top w:val="none" w:sz="0" w:space="0" w:color="auto"/>
                                                                                                            <w:left w:val="none" w:sz="0" w:space="0" w:color="auto"/>
                                                                                                            <w:bottom w:val="none" w:sz="0" w:space="0" w:color="auto"/>
                                                                                                            <w:right w:val="none" w:sz="0" w:space="0" w:color="auto"/>
                                                                                                          </w:divBdr>
                                                                                                        </w:div>
                                                                                                        <w:div w:id="340740113">
                                                                                                          <w:marLeft w:val="0"/>
                                                                                                          <w:marRight w:val="0"/>
                                                                                                          <w:marTop w:val="0"/>
                                                                                                          <w:marBottom w:val="0"/>
                                                                                                          <w:divBdr>
                                                                                                            <w:top w:val="none" w:sz="0" w:space="0" w:color="auto"/>
                                                                                                            <w:left w:val="none" w:sz="0" w:space="0" w:color="auto"/>
                                                                                                            <w:bottom w:val="none" w:sz="0" w:space="0" w:color="auto"/>
                                                                                                            <w:right w:val="none" w:sz="0" w:space="0" w:color="auto"/>
                                                                                                          </w:divBdr>
                                                                                                        </w:div>
                                                                                                        <w:div w:id="11493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D029-EC25-4E86-9E43-D1DAD04E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1132</Words>
  <Characters>6454</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7571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
  <cp:keywords>November 2012</cp:keywords>
  <dc:description>John Doe, Somwhere Company</dc:description>
  <cp:lastModifiedBy>Asterjadhi, Alfred</cp:lastModifiedBy>
  <cp:revision>37</cp:revision>
  <cp:lastPrinted>2010-05-04T03:47:00Z</cp:lastPrinted>
  <dcterms:created xsi:type="dcterms:W3CDTF">2016-03-17T08:25:00Z</dcterms:created>
  <dcterms:modified xsi:type="dcterms:W3CDTF">2016-03-17T08:39:00Z</dcterms:modified>
</cp:coreProperties>
</file>