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689"/>
        <w:gridCol w:w="1305"/>
        <w:gridCol w:w="1145"/>
        <w:gridCol w:w="2508"/>
      </w:tblGrid>
      <w:tr w:rsidR="009D4F2E" w:rsidRPr="006B52A0" w:rsidTr="00D155AC">
        <w:trPr>
          <w:trHeight w:val="485"/>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3E57BF" w:rsidP="006B6B2B">
            <w:pPr>
              <w:pStyle w:val="T2"/>
              <w:rPr>
                <w:lang w:val="en-US"/>
              </w:rPr>
            </w:pPr>
            <w:r>
              <w:rPr>
                <w:lang w:val="en-US"/>
              </w:rPr>
              <w:t xml:space="preserve">CIDs </w:t>
            </w:r>
            <w:r w:rsidR="003C055C">
              <w:rPr>
                <w:lang w:val="en-US"/>
              </w:rPr>
              <w:t>7577, 7405, 7584 and 7805</w:t>
            </w:r>
          </w:p>
        </w:tc>
      </w:tr>
      <w:tr w:rsidR="009D4F2E" w:rsidRPr="006B52A0" w:rsidTr="00D155AC">
        <w:trPr>
          <w:trHeight w:val="359"/>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A18C5">
            <w:pPr>
              <w:pStyle w:val="T2"/>
              <w:ind w:left="0"/>
              <w:rPr>
                <w:sz w:val="20"/>
                <w:lang w:val="en-US"/>
              </w:rPr>
            </w:pPr>
            <w:r w:rsidRPr="00B14C6C">
              <w:rPr>
                <w:sz w:val="20"/>
                <w:lang w:val="en-US"/>
              </w:rPr>
              <w:t>Date:</w:t>
            </w:r>
            <w:r w:rsidRPr="00B14C6C">
              <w:rPr>
                <w:b w:val="0"/>
                <w:sz w:val="20"/>
                <w:lang w:val="en-US"/>
              </w:rPr>
              <w:t xml:space="preserve">  </w:t>
            </w:r>
            <w:r w:rsidR="003E57BF">
              <w:rPr>
                <w:b w:val="0"/>
                <w:sz w:val="20"/>
                <w:lang w:val="en-US"/>
              </w:rPr>
              <w:t>3/10</w:t>
            </w:r>
            <w:r w:rsidR="00D64BF0">
              <w:rPr>
                <w:b w:val="0"/>
                <w:sz w:val="20"/>
                <w:lang w:val="en-US"/>
              </w:rPr>
              <w:t>/2016</w:t>
            </w:r>
          </w:p>
        </w:tc>
      </w:tr>
      <w:tr w:rsidR="009D4F2E" w:rsidRPr="006B52A0" w:rsidTr="00D155AC">
        <w:trPr>
          <w:cantSplit/>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175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1350"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191"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2553" w:type="dxa"/>
            <w:tcBorders>
              <w:top w:val="single" w:sz="4" w:space="0" w:color="auto"/>
              <w:left w:val="single" w:sz="4" w:space="0" w:color="auto"/>
              <w:bottom w:val="single" w:sz="4" w:space="0" w:color="auto"/>
              <w:right w:val="single" w:sz="4" w:space="0" w:color="auto"/>
            </w:tcBorders>
            <w:vAlign w:val="center"/>
          </w:tcPr>
          <w:p w:rsidR="009D4F2E" w:rsidRPr="00B14C6C" w:rsidRDefault="00823F91" w:rsidP="00871D10">
            <w:pPr>
              <w:pStyle w:val="T2"/>
              <w:spacing w:after="0"/>
              <w:ind w:left="0" w:right="0"/>
              <w:jc w:val="left"/>
              <w:rPr>
                <w:sz w:val="20"/>
                <w:lang w:val="en-US"/>
              </w:rPr>
            </w:pPr>
            <w:r w:rsidRPr="00B14C6C">
              <w:rPr>
                <w:sz w:val="20"/>
                <w:lang w:val="en-US"/>
              </w:rPr>
              <w:t>E</w:t>
            </w:r>
            <w:r w:rsidR="009D4F2E" w:rsidRPr="00B14C6C">
              <w:rPr>
                <w:sz w:val="20"/>
                <w:lang w:val="en-US"/>
              </w:rPr>
              <w:t>mail</w:t>
            </w:r>
          </w:p>
        </w:tc>
      </w:tr>
      <w:tr w:rsidR="009D4F2E" w:rsidRPr="006B52A0"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rsidR="009D4F2E" w:rsidRPr="00B14C6C" w:rsidRDefault="00D64BF0" w:rsidP="00871D10">
            <w:pPr>
              <w:pStyle w:val="T2"/>
              <w:spacing w:after="0"/>
              <w:ind w:left="0" w:right="0"/>
              <w:rPr>
                <w:b w:val="0"/>
                <w:sz w:val="20"/>
                <w:lang w:val="en-US"/>
              </w:rPr>
            </w:pPr>
            <w:r>
              <w:rPr>
                <w:b w:val="0"/>
                <w:sz w:val="20"/>
                <w:lang w:val="en-US"/>
              </w:rPr>
              <w:t>Sigurd Schelstraete</w:t>
            </w:r>
          </w:p>
        </w:tc>
        <w:tc>
          <w:tcPr>
            <w:tcW w:w="1758" w:type="dxa"/>
            <w:tcBorders>
              <w:top w:val="single" w:sz="4" w:space="0" w:color="auto"/>
              <w:left w:val="single" w:sz="4" w:space="0" w:color="auto"/>
              <w:bottom w:val="single" w:sz="4" w:space="0" w:color="auto"/>
              <w:right w:val="single" w:sz="4" w:space="0" w:color="auto"/>
            </w:tcBorders>
            <w:vAlign w:val="center"/>
          </w:tcPr>
          <w:p w:rsidR="009D4F2E" w:rsidRPr="00B14C6C" w:rsidRDefault="00D64BF0" w:rsidP="00871D10">
            <w:pPr>
              <w:pStyle w:val="T2"/>
              <w:spacing w:after="0"/>
              <w:ind w:left="0" w:right="0"/>
              <w:rPr>
                <w:b w:val="0"/>
                <w:sz w:val="20"/>
                <w:lang w:val="en-US"/>
              </w:rPr>
            </w:pPr>
            <w:r>
              <w:rPr>
                <w:b w:val="0"/>
                <w:sz w:val="20"/>
                <w:lang w:val="en-US"/>
              </w:rPr>
              <w:t>Quantenna</w:t>
            </w:r>
          </w:p>
        </w:tc>
        <w:tc>
          <w:tcPr>
            <w:tcW w:w="1350"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D4F2E">
            <w:pPr>
              <w:pStyle w:val="T2"/>
              <w:spacing w:after="0"/>
              <w:ind w:left="0" w:right="0"/>
              <w:rPr>
                <w:b w:val="0"/>
                <w:sz w:val="20"/>
                <w:lang w:val="en-US"/>
              </w:rPr>
            </w:pPr>
          </w:p>
        </w:tc>
        <w:tc>
          <w:tcPr>
            <w:tcW w:w="1191"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61400">
            <w:pPr>
              <w:pStyle w:val="T2"/>
              <w:spacing w:after="0"/>
              <w:ind w:left="0" w:right="0"/>
              <w:rPr>
                <w:b w:val="0"/>
                <w:sz w:val="20"/>
                <w:lang w:val="en-US"/>
              </w:rPr>
            </w:pPr>
          </w:p>
        </w:tc>
        <w:tc>
          <w:tcPr>
            <w:tcW w:w="2553" w:type="dxa"/>
            <w:tcBorders>
              <w:top w:val="single" w:sz="4" w:space="0" w:color="auto"/>
              <w:left w:val="single" w:sz="4" w:space="0" w:color="auto"/>
              <w:bottom w:val="single" w:sz="4" w:space="0" w:color="auto"/>
              <w:right w:val="single" w:sz="4" w:space="0" w:color="auto"/>
            </w:tcBorders>
            <w:vAlign w:val="center"/>
          </w:tcPr>
          <w:p w:rsidR="009D4F2E" w:rsidRPr="00C450CF" w:rsidRDefault="00B34767" w:rsidP="00871D10">
            <w:pPr>
              <w:pStyle w:val="T2"/>
              <w:spacing w:after="0"/>
              <w:ind w:left="0" w:right="0"/>
              <w:rPr>
                <w:b w:val="0"/>
                <w:sz w:val="20"/>
                <w:lang w:val="en-US"/>
              </w:rPr>
            </w:pPr>
            <w:hyperlink r:id="rId8" w:history="1">
              <w:r w:rsidR="00823F91" w:rsidRPr="00863250">
                <w:rPr>
                  <w:rStyle w:val="Hyperlink"/>
                  <w:b w:val="0"/>
                  <w:sz w:val="20"/>
                  <w:lang w:val="en-US"/>
                </w:rPr>
                <w:t>sigurd@quantenna.com</w:t>
              </w:r>
            </w:hyperlink>
          </w:p>
        </w:tc>
      </w:tr>
      <w:tr w:rsidR="00D155AC" w:rsidRPr="00D155AC"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c>
          <w:tcPr>
            <w:tcW w:w="1758"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c>
          <w:tcPr>
            <w:tcW w:w="1191"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D4060A">
            <w:pPr>
              <w:pStyle w:val="T2"/>
              <w:spacing w:after="0"/>
              <w:ind w:left="0" w:right="0"/>
              <w:rPr>
                <w:b w:val="0"/>
                <w:sz w:val="20"/>
                <w:lang w:val="en-US"/>
              </w:rPr>
            </w:pPr>
          </w:p>
        </w:tc>
        <w:tc>
          <w:tcPr>
            <w:tcW w:w="2553"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r>
    </w:tbl>
    <w:p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59755A7F" wp14:editId="061DA59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00477D" w:rsidRDefault="0000477D" w:rsidP="0000477D">
                            <w:r>
                              <w:t xml:space="preserve">This document discusses </w:t>
                            </w:r>
                            <w:r w:rsidR="003E57BF">
                              <w:t xml:space="preserve">CIDs </w:t>
                            </w:r>
                            <w:r w:rsidR="007143DC">
                              <w:t>7577, 7405, 7584 and 7805</w:t>
                            </w:r>
                            <w:r w:rsidR="007143D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5A7F"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00477D" w:rsidRDefault="0000477D" w:rsidP="0000477D">
                      <w:r>
                        <w:t xml:space="preserve">This document discusses </w:t>
                      </w:r>
                      <w:r w:rsidR="003E57BF">
                        <w:t xml:space="preserve">CIDs </w:t>
                      </w:r>
                      <w:r w:rsidR="007143DC">
                        <w:t>7577, 7405, 7584 and 7805</w:t>
                      </w:r>
                      <w:r w:rsidR="007143DC">
                        <w:t>.</w:t>
                      </w:r>
                    </w:p>
                  </w:txbxContent>
                </v:textbox>
              </v:shape>
            </w:pict>
          </mc:Fallback>
        </mc:AlternateContent>
      </w:r>
    </w:p>
    <w:p w:rsidR="00E42D09" w:rsidRPr="00E42D09" w:rsidRDefault="009645E9" w:rsidP="00E42D09">
      <w:pPr>
        <w:spacing w:after="0"/>
        <w:rPr>
          <w:rStyle w:val="Heading1Char"/>
        </w:rPr>
      </w:pPr>
      <w:r>
        <w:t>CID 166</w:t>
      </w:r>
      <w:r w:rsidR="009D4F2E" w:rsidRPr="00B14C6C">
        <w:br w:type="page"/>
      </w:r>
    </w:p>
    <w:p w:rsidR="00AF03E4" w:rsidRDefault="00AF03E4" w:rsidP="00AF03E4">
      <w:pPr>
        <w:pStyle w:val="Heading1"/>
        <w:rPr>
          <w:color w:val="1F497D"/>
        </w:rPr>
      </w:pPr>
      <w:r>
        <w:lastRenderedPageBreak/>
        <w:t xml:space="preserve">CID </w:t>
      </w:r>
      <w:r w:rsidR="006B6B2B">
        <w:rPr>
          <w:color w:val="1F497D"/>
        </w:rPr>
        <w:t>7577</w:t>
      </w:r>
    </w:p>
    <w:tbl>
      <w:tblPr>
        <w:tblStyle w:val="TableGrid"/>
        <w:tblW w:w="0" w:type="auto"/>
        <w:tblLook w:val="04A0" w:firstRow="1" w:lastRow="0" w:firstColumn="1" w:lastColumn="0" w:noHBand="0" w:noVBand="1"/>
      </w:tblPr>
      <w:tblGrid>
        <w:gridCol w:w="664"/>
        <w:gridCol w:w="890"/>
        <w:gridCol w:w="763"/>
        <w:gridCol w:w="1219"/>
        <w:gridCol w:w="2547"/>
        <w:gridCol w:w="2547"/>
      </w:tblGrid>
      <w:tr w:rsidR="00AF67DA" w:rsidRPr="00AF67DA" w:rsidTr="00AF67DA">
        <w:trPr>
          <w:trHeight w:val="1020"/>
        </w:trPr>
        <w:tc>
          <w:tcPr>
            <w:tcW w:w="600" w:type="dxa"/>
            <w:hideMark/>
          </w:tcPr>
          <w:p w:rsidR="00AF67DA" w:rsidRPr="00AF67DA" w:rsidRDefault="00AF67DA" w:rsidP="00AF67DA">
            <w:r w:rsidRPr="00AF67DA">
              <w:t>7577</w:t>
            </w:r>
          </w:p>
        </w:tc>
        <w:tc>
          <w:tcPr>
            <w:tcW w:w="920" w:type="dxa"/>
            <w:hideMark/>
          </w:tcPr>
          <w:p w:rsidR="00AF67DA" w:rsidRPr="00AF67DA" w:rsidRDefault="00AF67DA">
            <w:r w:rsidRPr="00AF67DA">
              <w:t>1051</w:t>
            </w:r>
          </w:p>
        </w:tc>
        <w:tc>
          <w:tcPr>
            <w:tcW w:w="820" w:type="dxa"/>
            <w:hideMark/>
          </w:tcPr>
          <w:p w:rsidR="00AF67DA" w:rsidRPr="00AF67DA" w:rsidRDefault="00AF67DA">
            <w:r w:rsidRPr="00AF67DA">
              <w:t>8</w:t>
            </w:r>
          </w:p>
        </w:tc>
        <w:tc>
          <w:tcPr>
            <w:tcW w:w="1120" w:type="dxa"/>
            <w:hideMark/>
          </w:tcPr>
          <w:p w:rsidR="00AF67DA" w:rsidRPr="00AF67DA" w:rsidRDefault="00AF67DA">
            <w:r w:rsidRPr="00AF67DA">
              <w:t>9.4.2.158.2</w:t>
            </w:r>
          </w:p>
        </w:tc>
        <w:tc>
          <w:tcPr>
            <w:tcW w:w="2700" w:type="dxa"/>
            <w:hideMark/>
          </w:tcPr>
          <w:p w:rsidR="00AF67DA" w:rsidRPr="00AF67DA" w:rsidRDefault="00AF67DA">
            <w:r w:rsidRPr="00AF67DA">
              <w:t>It says "Set to 1 if supported and SU Beamformee</w:t>
            </w:r>
            <w:r w:rsidRPr="00AF67DA">
              <w:br/>
              <w:t>Capable is set to 1."</w:t>
            </w:r>
          </w:p>
        </w:tc>
        <w:tc>
          <w:tcPr>
            <w:tcW w:w="2700" w:type="dxa"/>
            <w:hideMark/>
          </w:tcPr>
          <w:p w:rsidR="00AF67DA" w:rsidRPr="00AF67DA" w:rsidRDefault="00AF67DA">
            <w:r w:rsidRPr="00AF67DA">
              <w:t>Change to "Set to 1 if supported, SU Beamformee</w:t>
            </w:r>
            <w:r w:rsidRPr="00AF67DA">
              <w:br/>
              <w:t>Capable is set to 1 and not sent by an AP."</w:t>
            </w:r>
          </w:p>
        </w:tc>
      </w:tr>
    </w:tbl>
    <w:p w:rsidR="006B6B2B" w:rsidRDefault="006B6B2B" w:rsidP="006B6B2B"/>
    <w:p w:rsidR="00AA6A3B" w:rsidRDefault="001851F0" w:rsidP="006B6B2B">
      <w:r>
        <w:t>The CID is about the description of the “MU Beamformee Capable” bit in the VHT Capabilities Information field:</w:t>
      </w:r>
    </w:p>
    <w:p w:rsidR="00AA6A3B" w:rsidRDefault="00AA6A3B" w:rsidP="006B6B2B">
      <w:r w:rsidRPr="00AA6A3B">
        <w:rPr>
          <w:noProof/>
          <w:lang w:bidi="ar-SA"/>
        </w:rPr>
        <w:drawing>
          <wp:inline distT="0" distB="0" distL="0" distR="0">
            <wp:extent cx="6446267" cy="1419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6261" cy="1423627"/>
                    </a:xfrm>
                    <a:prstGeom prst="rect">
                      <a:avLst/>
                    </a:prstGeom>
                    <a:noFill/>
                    <a:ln>
                      <a:noFill/>
                    </a:ln>
                  </pic:spPr>
                </pic:pic>
              </a:graphicData>
            </a:graphic>
          </wp:inline>
        </w:drawing>
      </w:r>
    </w:p>
    <w:p w:rsidR="006B6B2B" w:rsidRDefault="001851F0" w:rsidP="006B6B2B">
      <w:r>
        <w:t>The bit is set to zero if any of the following is true:</w:t>
      </w:r>
    </w:p>
    <w:p w:rsidR="001851F0" w:rsidRDefault="001851F0" w:rsidP="001851F0">
      <w:pPr>
        <w:pStyle w:val="ListParagraph"/>
        <w:numPr>
          <w:ilvl w:val="0"/>
          <w:numId w:val="19"/>
        </w:numPr>
      </w:pPr>
      <w:r>
        <w:t>MU not supported</w:t>
      </w:r>
      <w:r w:rsidR="00957E6B">
        <w:t xml:space="preserve"> OR</w:t>
      </w:r>
    </w:p>
    <w:p w:rsidR="001851F0" w:rsidRDefault="001851F0" w:rsidP="001851F0">
      <w:pPr>
        <w:pStyle w:val="ListParagraph"/>
        <w:numPr>
          <w:ilvl w:val="0"/>
          <w:numId w:val="19"/>
        </w:numPr>
      </w:pPr>
      <w:r>
        <w:t>SU BFee capable set to 0</w:t>
      </w:r>
      <w:r w:rsidR="00957E6B">
        <w:t xml:space="preserve"> OR</w:t>
      </w:r>
    </w:p>
    <w:p w:rsidR="001851F0" w:rsidRDefault="001851F0" w:rsidP="001851F0">
      <w:pPr>
        <w:pStyle w:val="ListParagraph"/>
        <w:numPr>
          <w:ilvl w:val="0"/>
          <w:numId w:val="19"/>
        </w:numPr>
      </w:pPr>
      <w:r>
        <w:t>Sent by the AP</w:t>
      </w:r>
    </w:p>
    <w:p w:rsidR="001851F0" w:rsidRDefault="001851F0" w:rsidP="001851F0">
      <w:r>
        <w:t>The negation of this would be:</w:t>
      </w:r>
    </w:p>
    <w:p w:rsidR="00F45A46" w:rsidRDefault="001851F0" w:rsidP="00F45A46">
      <w:pPr>
        <w:pStyle w:val="ListParagraph"/>
        <w:numPr>
          <w:ilvl w:val="0"/>
          <w:numId w:val="20"/>
        </w:numPr>
      </w:pPr>
      <w:r>
        <w:t xml:space="preserve">MU supported AND </w:t>
      </w:r>
    </w:p>
    <w:p w:rsidR="00F45A46" w:rsidRDefault="001851F0" w:rsidP="00F45A46">
      <w:pPr>
        <w:pStyle w:val="ListParagraph"/>
        <w:numPr>
          <w:ilvl w:val="0"/>
          <w:numId w:val="20"/>
        </w:numPr>
      </w:pPr>
      <w:r>
        <w:t xml:space="preserve">SU BFee </w:t>
      </w:r>
      <w:r w:rsidR="005F5330">
        <w:t>capable set to 1</w:t>
      </w:r>
      <w:r w:rsidR="00F45A46">
        <w:t xml:space="preserve"> AND </w:t>
      </w:r>
    </w:p>
    <w:p w:rsidR="001851F0" w:rsidRDefault="00F45A46" w:rsidP="00F45A46">
      <w:pPr>
        <w:pStyle w:val="ListParagraph"/>
        <w:numPr>
          <w:ilvl w:val="0"/>
          <w:numId w:val="20"/>
        </w:numPr>
      </w:pPr>
      <w:r>
        <w:t>not sent by AP</w:t>
      </w:r>
    </w:p>
    <w:p w:rsidR="00F45A46" w:rsidRDefault="008C69D6" w:rsidP="00F45A46">
      <w:r>
        <w:t>The third part</w:t>
      </w:r>
      <w:r w:rsidR="00E91A51">
        <w:t xml:space="preserve"> is missing in the current conditions for setting to bit equal to 1. </w:t>
      </w:r>
      <w:r w:rsidR="008A5124">
        <w:t>There are other places in the document that make it explicit that only APs can be MU Beamformers and only non-AP STAs can be MU Bea</w:t>
      </w:r>
      <w:r w:rsidR="00E91A51">
        <w:t>mformees, but it may be better to explicitly add the condition for completeness.</w:t>
      </w:r>
    </w:p>
    <w:p w:rsidR="00E91A51" w:rsidRPr="004D11BB" w:rsidRDefault="00E91A51" w:rsidP="00F45A46">
      <w:pPr>
        <w:rPr>
          <w:b/>
          <w:u w:val="single"/>
        </w:rPr>
      </w:pPr>
      <w:r w:rsidRPr="004D11BB">
        <w:rPr>
          <w:b/>
          <w:u w:val="single"/>
        </w:rPr>
        <w:t>Proposed resolution:</w:t>
      </w:r>
    </w:p>
    <w:p w:rsidR="00E91A51" w:rsidRDefault="00E91A51" w:rsidP="00F45A46">
      <w:r>
        <w:t>Accept</w:t>
      </w:r>
    </w:p>
    <w:p w:rsidR="00135A0E" w:rsidRDefault="00135A0E" w:rsidP="00135A0E"/>
    <w:p w:rsidR="00135A0E" w:rsidRDefault="00135A0E" w:rsidP="007143DC">
      <w:pPr>
        <w:pStyle w:val="Heading1"/>
      </w:pPr>
      <w:r>
        <w:lastRenderedPageBreak/>
        <w:t>CID 7405</w:t>
      </w:r>
      <w:r w:rsidRPr="0033778D">
        <w:t xml:space="preserve"> </w:t>
      </w:r>
    </w:p>
    <w:tbl>
      <w:tblPr>
        <w:tblStyle w:val="TableGrid"/>
        <w:tblW w:w="0" w:type="auto"/>
        <w:tblLook w:val="04A0" w:firstRow="1" w:lastRow="0" w:firstColumn="1" w:lastColumn="0" w:noHBand="0" w:noVBand="1"/>
      </w:tblPr>
      <w:tblGrid>
        <w:gridCol w:w="663"/>
        <w:gridCol w:w="941"/>
        <w:gridCol w:w="913"/>
        <w:gridCol w:w="810"/>
        <w:gridCol w:w="2650"/>
        <w:gridCol w:w="2653"/>
      </w:tblGrid>
      <w:tr w:rsidR="00135A0E" w:rsidRPr="00C4402A" w:rsidTr="00F2263F">
        <w:trPr>
          <w:trHeight w:val="510"/>
        </w:trPr>
        <w:tc>
          <w:tcPr>
            <w:tcW w:w="600" w:type="dxa"/>
            <w:hideMark/>
          </w:tcPr>
          <w:p w:rsidR="00135A0E" w:rsidRPr="00C4402A" w:rsidRDefault="00135A0E" w:rsidP="007143DC">
            <w:pPr>
              <w:keepNext/>
            </w:pPr>
            <w:r w:rsidRPr="00C4402A">
              <w:t>7405</w:t>
            </w:r>
          </w:p>
        </w:tc>
        <w:tc>
          <w:tcPr>
            <w:tcW w:w="920" w:type="dxa"/>
            <w:hideMark/>
          </w:tcPr>
          <w:p w:rsidR="00135A0E" w:rsidRPr="00C4402A" w:rsidRDefault="00135A0E" w:rsidP="007143DC">
            <w:pPr>
              <w:keepNext/>
            </w:pPr>
            <w:r w:rsidRPr="00C4402A">
              <w:t>21.2.5.3</w:t>
            </w:r>
          </w:p>
        </w:tc>
        <w:tc>
          <w:tcPr>
            <w:tcW w:w="920" w:type="dxa"/>
            <w:hideMark/>
          </w:tcPr>
          <w:p w:rsidR="00135A0E" w:rsidRPr="00C4402A" w:rsidRDefault="00135A0E" w:rsidP="007143DC">
            <w:pPr>
              <w:keepNext/>
            </w:pPr>
            <w:r w:rsidRPr="00C4402A">
              <w:t>2506</w:t>
            </w:r>
          </w:p>
        </w:tc>
        <w:tc>
          <w:tcPr>
            <w:tcW w:w="820" w:type="dxa"/>
            <w:hideMark/>
          </w:tcPr>
          <w:p w:rsidR="00135A0E" w:rsidRPr="00C4402A" w:rsidRDefault="00135A0E" w:rsidP="007143DC">
            <w:pPr>
              <w:keepNext/>
            </w:pPr>
            <w:r w:rsidRPr="00C4402A">
              <w:t>13</w:t>
            </w:r>
          </w:p>
        </w:tc>
        <w:tc>
          <w:tcPr>
            <w:tcW w:w="2700" w:type="dxa"/>
            <w:hideMark/>
          </w:tcPr>
          <w:p w:rsidR="00135A0E" w:rsidRPr="00C4402A" w:rsidRDefault="00135A0E" w:rsidP="007143DC">
            <w:pPr>
              <w:keepNext/>
            </w:pPr>
            <w:r w:rsidRPr="00C4402A">
              <w:t>You need to use 20U if the prim is above the sec</w:t>
            </w:r>
          </w:p>
        </w:tc>
        <w:tc>
          <w:tcPr>
            <w:tcW w:w="2700" w:type="dxa"/>
            <w:hideMark/>
          </w:tcPr>
          <w:p w:rsidR="00135A0E" w:rsidRPr="00C4402A" w:rsidRDefault="00135A0E" w:rsidP="007143DC">
            <w:pPr>
              <w:keepNext/>
            </w:pPr>
            <w:r w:rsidRPr="00C4402A">
              <w:t>Change &lt; to &gt;</w:t>
            </w:r>
          </w:p>
        </w:tc>
      </w:tr>
    </w:tbl>
    <w:p w:rsidR="00135A0E" w:rsidRDefault="00557A6F" w:rsidP="00135A0E">
      <w:r>
        <w:t>This comment is about transmission of a 20 MHz HT PPDU in a 40 MHz channel:</w:t>
      </w:r>
    </w:p>
    <w:p w:rsidR="00135A0E" w:rsidRDefault="00135A0E" w:rsidP="00135A0E">
      <w:r w:rsidRPr="00F12A01">
        <w:rPr>
          <w:noProof/>
        </w:rPr>
        <w:drawing>
          <wp:inline distT="0" distB="0" distL="0" distR="0" wp14:anchorId="350BF8B6" wp14:editId="275139FB">
            <wp:extent cx="5943600" cy="97546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75468"/>
                    </a:xfrm>
                    <a:prstGeom prst="rect">
                      <a:avLst/>
                    </a:prstGeom>
                    <a:noFill/>
                    <a:ln>
                      <a:noFill/>
                    </a:ln>
                  </pic:spPr>
                </pic:pic>
              </a:graphicData>
            </a:graphic>
          </wp:inline>
        </w:drawing>
      </w:r>
    </w:p>
    <w:p w:rsidR="00135A0E" w:rsidRDefault="00135A0E" w:rsidP="00135A0E">
      <w:r>
        <w:t xml:space="preserve">A 20 MHz HT PPDU should be sent in the primary 20 MHz channel. </w:t>
      </w:r>
    </w:p>
    <w:p w:rsidR="00135A0E" w:rsidRDefault="00135A0E" w:rsidP="00135A0E">
      <w:r>
        <w:t>CH_OFFSET is defined below:</w:t>
      </w:r>
    </w:p>
    <w:p w:rsidR="00135A0E" w:rsidRDefault="00135A0E" w:rsidP="00135A0E">
      <w:r w:rsidRPr="00B83E1C">
        <w:rPr>
          <w:noProof/>
        </w:rPr>
        <w:drawing>
          <wp:inline distT="0" distB="0" distL="0" distR="0" wp14:anchorId="722A202E" wp14:editId="55218849">
            <wp:extent cx="5943600" cy="8969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96944"/>
                    </a:xfrm>
                    <a:prstGeom prst="rect">
                      <a:avLst/>
                    </a:prstGeom>
                    <a:noFill/>
                    <a:ln>
                      <a:noFill/>
                    </a:ln>
                  </pic:spPr>
                </pic:pic>
              </a:graphicData>
            </a:graphic>
          </wp:inline>
        </w:drawing>
      </w:r>
    </w:p>
    <w:p w:rsidR="00135A0E" w:rsidRDefault="00135A0E" w:rsidP="00135A0E">
      <w:r>
        <w:t xml:space="preserve">The current text therefore </w:t>
      </w:r>
      <w:r w:rsidR="00F349B1">
        <w:t>instructs a 20 MHz HT PPDU</w:t>
      </w:r>
      <w:r>
        <w:t xml:space="preserve"> to be transmitted in the secondary 20 MHz, which is incorrect.</w:t>
      </w:r>
    </w:p>
    <w:p w:rsidR="00135A0E" w:rsidRDefault="00135A0E" w:rsidP="00135A0E"/>
    <w:p w:rsidR="00135A0E" w:rsidRPr="00135A0E" w:rsidRDefault="00135A0E" w:rsidP="00135A0E">
      <w:pPr>
        <w:rPr>
          <w:b/>
          <w:u w:val="single"/>
        </w:rPr>
      </w:pPr>
      <w:r w:rsidRPr="00135A0E">
        <w:rPr>
          <w:b/>
          <w:u w:val="single"/>
        </w:rPr>
        <w:t>Proposed resolution:</w:t>
      </w:r>
    </w:p>
    <w:p w:rsidR="00135A0E" w:rsidRDefault="00135A0E" w:rsidP="00135A0E">
      <w:r>
        <w:t>Accept</w:t>
      </w:r>
    </w:p>
    <w:p w:rsidR="00CA5008" w:rsidRDefault="00CA5008" w:rsidP="00135A0E"/>
    <w:p w:rsidR="00CA5008" w:rsidRDefault="00CA5008" w:rsidP="00CA5008">
      <w:pPr>
        <w:pStyle w:val="Heading1"/>
      </w:pPr>
      <w:r>
        <w:t>CID 7584</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09"/>
        <w:gridCol w:w="804"/>
        <w:gridCol w:w="1217"/>
        <w:gridCol w:w="2635"/>
        <w:gridCol w:w="2633"/>
      </w:tblGrid>
      <w:tr w:rsidR="00CA5008" w:rsidRPr="00CA5008" w:rsidTr="007143DC">
        <w:trPr>
          <w:trHeight w:val="1530"/>
        </w:trPr>
        <w:tc>
          <w:tcPr>
            <w:tcW w:w="662" w:type="dxa"/>
            <w:shd w:val="clear" w:color="auto" w:fill="auto"/>
            <w:hideMark/>
          </w:tcPr>
          <w:p w:rsidR="00CA5008" w:rsidRPr="00CA5008" w:rsidRDefault="00CA5008" w:rsidP="00CA5008">
            <w:pPr>
              <w:spacing w:before="0" w:after="0" w:line="240" w:lineRule="auto"/>
              <w:jc w:val="right"/>
              <w:rPr>
                <w:rFonts w:ascii="Arial" w:eastAsia="Times New Roman" w:hAnsi="Arial"/>
                <w:sz w:val="20"/>
                <w:szCs w:val="20"/>
                <w:lang w:bidi="ar-SA"/>
              </w:rPr>
            </w:pPr>
            <w:r w:rsidRPr="00CA5008">
              <w:rPr>
                <w:rFonts w:ascii="Arial" w:eastAsia="Times New Roman" w:hAnsi="Arial"/>
                <w:sz w:val="20"/>
                <w:szCs w:val="20"/>
                <w:lang w:bidi="ar-SA"/>
              </w:rPr>
              <w:t>7584</w:t>
            </w:r>
          </w:p>
        </w:tc>
        <w:tc>
          <w:tcPr>
            <w:tcW w:w="909" w:type="dxa"/>
            <w:shd w:val="clear" w:color="auto" w:fill="auto"/>
            <w:hideMark/>
          </w:tcPr>
          <w:p w:rsidR="00CA5008" w:rsidRPr="00CA5008" w:rsidRDefault="00CA5008" w:rsidP="00CA5008">
            <w:pPr>
              <w:spacing w:before="0" w:after="0" w:line="240" w:lineRule="auto"/>
              <w:rPr>
                <w:rFonts w:ascii="Arial" w:eastAsia="Times New Roman" w:hAnsi="Arial"/>
                <w:sz w:val="20"/>
                <w:szCs w:val="20"/>
                <w:lang w:bidi="ar-SA"/>
              </w:rPr>
            </w:pPr>
            <w:r w:rsidRPr="00CA5008">
              <w:rPr>
                <w:rFonts w:ascii="Arial" w:eastAsia="Times New Roman" w:hAnsi="Arial"/>
                <w:sz w:val="20"/>
                <w:szCs w:val="20"/>
                <w:lang w:bidi="ar-SA"/>
              </w:rPr>
              <w:t>2588</w:t>
            </w:r>
          </w:p>
        </w:tc>
        <w:tc>
          <w:tcPr>
            <w:tcW w:w="804" w:type="dxa"/>
            <w:shd w:val="clear" w:color="auto" w:fill="auto"/>
            <w:hideMark/>
          </w:tcPr>
          <w:p w:rsidR="00CA5008" w:rsidRPr="00CA5008" w:rsidRDefault="00CA5008" w:rsidP="00CA5008">
            <w:pPr>
              <w:spacing w:before="0" w:after="0" w:line="240" w:lineRule="auto"/>
              <w:rPr>
                <w:rFonts w:ascii="Arial" w:eastAsia="Times New Roman" w:hAnsi="Arial"/>
                <w:sz w:val="20"/>
                <w:szCs w:val="20"/>
                <w:lang w:bidi="ar-SA"/>
              </w:rPr>
            </w:pPr>
            <w:r w:rsidRPr="00CA5008">
              <w:rPr>
                <w:rFonts w:ascii="Arial" w:eastAsia="Times New Roman" w:hAnsi="Arial"/>
                <w:sz w:val="20"/>
                <w:szCs w:val="20"/>
                <w:lang w:bidi="ar-SA"/>
              </w:rPr>
              <w:t>45</w:t>
            </w:r>
          </w:p>
        </w:tc>
        <w:tc>
          <w:tcPr>
            <w:tcW w:w="1217" w:type="dxa"/>
            <w:shd w:val="clear" w:color="auto" w:fill="auto"/>
            <w:hideMark/>
          </w:tcPr>
          <w:p w:rsidR="00CA5008" w:rsidRPr="00CA5008" w:rsidRDefault="00CA5008" w:rsidP="00CA5008">
            <w:pPr>
              <w:spacing w:before="0" w:after="0" w:line="240" w:lineRule="auto"/>
              <w:rPr>
                <w:rFonts w:ascii="Arial" w:eastAsia="Times New Roman" w:hAnsi="Arial"/>
                <w:sz w:val="20"/>
                <w:szCs w:val="20"/>
                <w:lang w:bidi="ar-SA"/>
              </w:rPr>
            </w:pPr>
            <w:r w:rsidRPr="00CA5008">
              <w:rPr>
                <w:rFonts w:ascii="Arial" w:eastAsia="Times New Roman" w:hAnsi="Arial"/>
                <w:sz w:val="20"/>
                <w:szCs w:val="20"/>
                <w:lang w:bidi="ar-SA"/>
              </w:rPr>
              <w:t>21.3.18.5.1</w:t>
            </w:r>
          </w:p>
        </w:tc>
        <w:tc>
          <w:tcPr>
            <w:tcW w:w="2635" w:type="dxa"/>
            <w:shd w:val="clear" w:color="auto" w:fill="auto"/>
            <w:hideMark/>
          </w:tcPr>
          <w:p w:rsidR="00CA5008" w:rsidRPr="00CA5008" w:rsidRDefault="00CA5008" w:rsidP="00CA5008">
            <w:pPr>
              <w:spacing w:before="0" w:after="0" w:line="240" w:lineRule="auto"/>
              <w:rPr>
                <w:rFonts w:ascii="Arial" w:eastAsia="Times New Roman" w:hAnsi="Arial"/>
                <w:sz w:val="20"/>
                <w:szCs w:val="20"/>
                <w:lang w:bidi="ar-SA"/>
              </w:rPr>
            </w:pPr>
            <w:r w:rsidRPr="00CA5008">
              <w:rPr>
                <w:rFonts w:ascii="Arial" w:eastAsia="Times New Roman" w:hAnsi="Arial"/>
                <w:sz w:val="20"/>
                <w:szCs w:val="20"/>
                <w:lang w:bidi="ar-SA"/>
              </w:rPr>
              <w:t>"The thresholds in this subclause are compared with the signal level at each receiving antenna." -- why is this not stated for the HT PHY</w:t>
            </w:r>
          </w:p>
        </w:tc>
        <w:tc>
          <w:tcPr>
            <w:tcW w:w="2633" w:type="dxa"/>
            <w:shd w:val="clear" w:color="auto" w:fill="auto"/>
            <w:hideMark/>
          </w:tcPr>
          <w:p w:rsidR="00CA5008" w:rsidRPr="00CA5008" w:rsidRDefault="00CA5008" w:rsidP="00CA5008">
            <w:pPr>
              <w:spacing w:before="0" w:after="0" w:line="240" w:lineRule="auto"/>
              <w:rPr>
                <w:rFonts w:ascii="Arial" w:eastAsia="Times New Roman" w:hAnsi="Arial"/>
                <w:sz w:val="20"/>
                <w:szCs w:val="20"/>
                <w:lang w:bidi="ar-SA"/>
              </w:rPr>
            </w:pPr>
            <w:r w:rsidRPr="00CA5008">
              <w:rPr>
                <w:rFonts w:ascii="Arial" w:eastAsia="Times New Roman" w:hAnsi="Arial"/>
                <w:sz w:val="20"/>
                <w:szCs w:val="20"/>
                <w:lang w:bidi="ar-SA"/>
              </w:rPr>
              <w:t>Add a similar statement to the HT PHY</w:t>
            </w:r>
          </w:p>
        </w:tc>
      </w:tr>
    </w:tbl>
    <w:p w:rsidR="00CA5008" w:rsidRDefault="00CA5008" w:rsidP="00135A0E">
      <w:r>
        <w:t>The section in question is highlighted below.</w:t>
      </w:r>
      <w:bookmarkStart w:id="0" w:name="_GoBack"/>
      <w:bookmarkEnd w:id="0"/>
    </w:p>
    <w:p w:rsidR="00CA5008" w:rsidRDefault="00CA5008" w:rsidP="00135A0E">
      <w:r w:rsidRPr="00CA5008">
        <w:rPr>
          <w:noProof/>
          <w:lang w:bidi="ar-SA"/>
        </w:rPr>
        <w:lastRenderedPageBreak/>
        <w:drawing>
          <wp:inline distT="0" distB="0" distL="0" distR="0">
            <wp:extent cx="5486400" cy="1481264"/>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481264"/>
                    </a:xfrm>
                    <a:prstGeom prst="rect">
                      <a:avLst/>
                    </a:prstGeom>
                    <a:noFill/>
                    <a:ln>
                      <a:noFill/>
                    </a:ln>
                  </pic:spPr>
                </pic:pic>
              </a:graphicData>
            </a:graphic>
          </wp:inline>
        </w:drawing>
      </w:r>
    </w:p>
    <w:p w:rsidR="00CA5008" w:rsidRDefault="00CA5008" w:rsidP="00DC362E">
      <w:pPr>
        <w:keepNext/>
      </w:pPr>
      <w:r>
        <w:t>The comparable section for HT is copied below:</w:t>
      </w:r>
    </w:p>
    <w:p w:rsidR="00CA5008" w:rsidRDefault="00CA5008" w:rsidP="00135A0E">
      <w:r w:rsidRPr="00CA5008">
        <w:rPr>
          <w:noProof/>
          <w:lang w:bidi="ar-SA"/>
        </w:rPr>
        <w:drawing>
          <wp:inline distT="0" distB="0" distL="0" distR="0">
            <wp:extent cx="5486400" cy="919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919375"/>
                    </a:xfrm>
                    <a:prstGeom prst="rect">
                      <a:avLst/>
                    </a:prstGeom>
                    <a:noFill/>
                    <a:ln>
                      <a:noFill/>
                    </a:ln>
                  </pic:spPr>
                </pic:pic>
              </a:graphicData>
            </a:graphic>
          </wp:inline>
        </w:drawing>
      </w:r>
    </w:p>
    <w:p w:rsidR="00DB4226" w:rsidRDefault="00DB4226" w:rsidP="00135A0E">
      <w:r>
        <w:t>The statement about where to establish the signal levels is missing. Given the similarities between the two sections, it makes sense to add the requirement in 21.3.18.5.1 to HT as well.</w:t>
      </w:r>
    </w:p>
    <w:p w:rsidR="00DB4226" w:rsidRDefault="00DB4226" w:rsidP="00135A0E"/>
    <w:p w:rsidR="00DC362E" w:rsidRPr="00CA7030" w:rsidRDefault="00DC362E" w:rsidP="00135A0E">
      <w:pPr>
        <w:rPr>
          <w:b/>
          <w:u w:val="single"/>
        </w:rPr>
      </w:pPr>
      <w:r w:rsidRPr="00CA7030">
        <w:rPr>
          <w:b/>
          <w:u w:val="single"/>
        </w:rPr>
        <w:t>Proposed resolution:</w:t>
      </w:r>
    </w:p>
    <w:p w:rsidR="00DC362E" w:rsidRDefault="00DC362E" w:rsidP="00135A0E">
      <w:r>
        <w:t>Accept</w:t>
      </w:r>
    </w:p>
    <w:p w:rsidR="00DC362E" w:rsidRDefault="00DC362E" w:rsidP="00135A0E"/>
    <w:p w:rsidR="006B6B2B" w:rsidRDefault="006B6B2B" w:rsidP="007143DC">
      <w:pPr>
        <w:pStyle w:val="Heading1"/>
        <w:rPr>
          <w:color w:val="1F497D"/>
        </w:rPr>
      </w:pPr>
      <w:r>
        <w:lastRenderedPageBreak/>
        <w:t xml:space="preserve">CID </w:t>
      </w:r>
      <w:r>
        <w:rPr>
          <w:color w:val="1F497D"/>
        </w:rPr>
        <w:t>7805</w:t>
      </w:r>
    </w:p>
    <w:tbl>
      <w:tblPr>
        <w:tblStyle w:val="TableGrid"/>
        <w:tblW w:w="9985" w:type="dxa"/>
        <w:tblLook w:val="04A0" w:firstRow="1" w:lastRow="0" w:firstColumn="1" w:lastColumn="0" w:noHBand="0" w:noVBand="1"/>
      </w:tblPr>
      <w:tblGrid>
        <w:gridCol w:w="663"/>
        <w:gridCol w:w="682"/>
        <w:gridCol w:w="540"/>
        <w:gridCol w:w="1080"/>
        <w:gridCol w:w="4050"/>
        <w:gridCol w:w="2970"/>
      </w:tblGrid>
      <w:tr w:rsidR="00AF67DA" w:rsidRPr="00AF67DA" w:rsidTr="00AF67DA">
        <w:trPr>
          <w:trHeight w:val="6488"/>
        </w:trPr>
        <w:tc>
          <w:tcPr>
            <w:tcW w:w="663" w:type="dxa"/>
            <w:hideMark/>
          </w:tcPr>
          <w:p w:rsidR="00AF67DA" w:rsidRPr="00AF67DA" w:rsidRDefault="00AF67DA" w:rsidP="007143DC">
            <w:pPr>
              <w:keepNext/>
            </w:pPr>
            <w:r w:rsidRPr="00AF67DA">
              <w:t>7805</w:t>
            </w:r>
          </w:p>
        </w:tc>
        <w:tc>
          <w:tcPr>
            <w:tcW w:w="682" w:type="dxa"/>
            <w:hideMark/>
          </w:tcPr>
          <w:p w:rsidR="00AF67DA" w:rsidRPr="00AF67DA" w:rsidRDefault="00AF67DA" w:rsidP="007143DC">
            <w:pPr>
              <w:keepNext/>
            </w:pPr>
            <w:r w:rsidRPr="00AF67DA">
              <w:t>1168</w:t>
            </w:r>
          </w:p>
        </w:tc>
        <w:tc>
          <w:tcPr>
            <w:tcW w:w="540" w:type="dxa"/>
            <w:hideMark/>
          </w:tcPr>
          <w:p w:rsidR="00AF67DA" w:rsidRPr="00AF67DA" w:rsidRDefault="00AF67DA" w:rsidP="007143DC">
            <w:pPr>
              <w:keepNext/>
            </w:pPr>
            <w:r w:rsidRPr="00AF67DA">
              <w:t>61</w:t>
            </w:r>
          </w:p>
        </w:tc>
        <w:tc>
          <w:tcPr>
            <w:tcW w:w="1080" w:type="dxa"/>
            <w:hideMark/>
          </w:tcPr>
          <w:p w:rsidR="00AF67DA" w:rsidRPr="00AF67DA" w:rsidRDefault="00AF67DA" w:rsidP="007143DC">
            <w:pPr>
              <w:keepNext/>
            </w:pPr>
            <w:r w:rsidRPr="00AF67DA">
              <w:t>9.6.12.1</w:t>
            </w:r>
          </w:p>
        </w:tc>
        <w:tc>
          <w:tcPr>
            <w:tcW w:w="4050" w:type="dxa"/>
            <w:hideMark/>
          </w:tcPr>
          <w:p w:rsidR="00AF67DA" w:rsidRPr="00AF67DA" w:rsidRDefault="00AF67DA" w:rsidP="007143DC">
            <w:pPr>
              <w:keepNext/>
            </w:pPr>
            <w:r w:rsidRPr="00AF67DA">
              <w:t>The CSI, Noncompressed Beamforming, Compressed Beamforming and ASEL Indices Feedback frames are an Action or an Action No Ack frame of category HT.</w:t>
            </w:r>
            <w:r w:rsidRPr="00AF67DA">
              <w:br/>
              <w:t>And, the Time Priorities of those frames (Table 9-328) are Yes.</w:t>
            </w:r>
            <w:r w:rsidRPr="00AF67DA">
              <w:br/>
              <w:t>Since TGah received a comment asking a clarification of a time priority field of some TGah action frame, TG discussed it.</w:t>
            </w:r>
            <w:r w:rsidRPr="00AF67DA">
              <w:br/>
              <w:t>And TG concluded that only Action No Ack frame is eligible for the Time Priority frame.</w:t>
            </w:r>
            <w:r w:rsidRPr="00AF67DA">
              <w:br/>
              <w:t>So, TGah has agreed to add the following condition.</w:t>
            </w:r>
            <w:r w:rsidRPr="00AF67DA">
              <w:br/>
              <w:t>"Time Priority"</w:t>
            </w:r>
            <w:r w:rsidRPr="00AF67DA">
              <w:br/>
              <w:t>"Yes when transmitted as an Action no Ack frame"</w:t>
            </w:r>
            <w:r w:rsidRPr="00AF67DA">
              <w:br/>
            </w:r>
            <w:r w:rsidRPr="00AF67DA">
              <w:br/>
              <w:t>But, if this resolution is correct, the same modification is needed for Table 9-328.</w:t>
            </w:r>
          </w:p>
        </w:tc>
        <w:tc>
          <w:tcPr>
            <w:tcW w:w="2970" w:type="dxa"/>
            <w:hideMark/>
          </w:tcPr>
          <w:p w:rsidR="00AF67DA" w:rsidRPr="00AF67DA" w:rsidRDefault="00AF67DA" w:rsidP="007143DC">
            <w:pPr>
              <w:keepNext/>
            </w:pPr>
            <w:r w:rsidRPr="00AF67DA">
              <w:t>In Table 9-328,</w:t>
            </w:r>
            <w:r w:rsidRPr="00AF67DA">
              <w:br/>
              <w:t>Add the following condition for the CSI, Noncompressed Beamforming, Compressed Beamforming and ASEL Indices Feedback frames</w:t>
            </w:r>
            <w:r w:rsidRPr="00AF67DA">
              <w:br/>
              <w:t>- Yes when transmitted as an Action no Ack frame</w:t>
            </w:r>
          </w:p>
        </w:tc>
      </w:tr>
    </w:tbl>
    <w:p w:rsidR="00AF03E4" w:rsidRDefault="00AF03E4" w:rsidP="00AF03E4"/>
    <w:p w:rsidR="00634D3F" w:rsidRDefault="00634D3F" w:rsidP="00AF03E4">
      <w:r>
        <w:t>The changes indicated by the commenter have indeed been made in 11ah. See for instance the below table from draft D6.0 of 802.11ah;</w:t>
      </w:r>
    </w:p>
    <w:p w:rsidR="00634D3F" w:rsidRDefault="00634D3F" w:rsidP="00AF03E4">
      <w:r w:rsidRPr="00634D3F">
        <w:rPr>
          <w:noProof/>
          <w:lang w:bidi="ar-SA"/>
        </w:rPr>
        <w:drawing>
          <wp:inline distT="0" distB="0" distL="0" distR="0">
            <wp:extent cx="5486400" cy="2929568"/>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929568"/>
                    </a:xfrm>
                    <a:prstGeom prst="rect">
                      <a:avLst/>
                    </a:prstGeom>
                    <a:noFill/>
                    <a:ln>
                      <a:noFill/>
                    </a:ln>
                  </pic:spPr>
                </pic:pic>
              </a:graphicData>
            </a:graphic>
          </wp:inline>
        </w:drawing>
      </w:r>
    </w:p>
    <w:p w:rsidR="007143DC" w:rsidRDefault="007143DC" w:rsidP="00AF03E4"/>
    <w:p w:rsidR="007143DC" w:rsidRPr="007143DC" w:rsidRDefault="007143DC" w:rsidP="00AF03E4">
      <w:pPr>
        <w:rPr>
          <w:b/>
          <w:u w:val="single"/>
        </w:rPr>
      </w:pPr>
      <w:r w:rsidRPr="007143DC">
        <w:rPr>
          <w:b/>
          <w:u w:val="single"/>
        </w:rPr>
        <w:t>Proposed resolution:</w:t>
      </w:r>
    </w:p>
    <w:p w:rsidR="007143DC" w:rsidRPr="00AF03E4" w:rsidRDefault="007143DC" w:rsidP="00AF03E4">
      <w:r>
        <w:t>Accept</w:t>
      </w:r>
    </w:p>
    <w:sectPr w:rsidR="007143DC" w:rsidRPr="00AF03E4" w:rsidSect="00085889">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767" w:rsidRDefault="00B34767" w:rsidP="0035409E">
      <w:pPr>
        <w:spacing w:after="0" w:line="240" w:lineRule="auto"/>
      </w:pPr>
      <w:r>
        <w:separator/>
      </w:r>
    </w:p>
  </w:endnote>
  <w:endnote w:type="continuationSeparator" w:id="0">
    <w:p w:rsidR="00B34767" w:rsidRDefault="00B34767"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3B" w:rsidRDefault="00B43485"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57A6F">
          <w:rPr>
            <w:noProof/>
          </w:rPr>
          <w:t>1</w:t>
        </w:r>
        <w:r>
          <w:rPr>
            <w:noProof/>
          </w:rPr>
          <w:fldChar w:fldCharType="end"/>
        </w:r>
      </w:sdtContent>
    </w:sdt>
    <w:r>
      <w:rPr>
        <w:noProof/>
      </w:rPr>
      <w:t xml:space="preserve"> </w:t>
    </w:r>
    <w:r>
      <w:ptab w:relativeTo="margin" w:alignment="right" w:leader="none"/>
    </w:r>
    <w:r>
      <w:t>Sigurd Schelstraete, Quantenna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767" w:rsidRDefault="00B34767" w:rsidP="0035409E">
      <w:pPr>
        <w:spacing w:after="0" w:line="240" w:lineRule="auto"/>
      </w:pPr>
      <w:r>
        <w:separator/>
      </w:r>
    </w:p>
  </w:footnote>
  <w:footnote w:type="continuationSeparator" w:id="0">
    <w:p w:rsidR="00B34767" w:rsidRDefault="00B34767"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3D" w:rsidRPr="00B43485" w:rsidRDefault="00B43485"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r w:rsidRPr="00B43485">
      <w:rPr>
        <w:rFonts w:ascii="Times New Roman" w:eastAsia="Times New Roman" w:hAnsi="Times New Roman" w:cs="Times New Roman"/>
        <w:b/>
        <w:sz w:val="28"/>
        <w:szCs w:val="20"/>
        <w:lang w:val="en-GB" w:bidi="ar-SA"/>
      </w:rPr>
      <w:fldChar w:fldCharType="begin"/>
    </w:r>
    <w:r w:rsidRPr="00B43485">
      <w:rPr>
        <w:rFonts w:ascii="Times New Roman" w:eastAsia="Times New Roman" w:hAnsi="Times New Roman" w:cs="Times New Roman"/>
        <w:b/>
        <w:sz w:val="28"/>
        <w:szCs w:val="20"/>
        <w:lang w:val="en-GB" w:bidi="ar-SA"/>
      </w:rPr>
      <w:instrText xml:space="preserve"> KEYWORDS  \* MERGEFORMAT </w:instrText>
    </w:r>
    <w:r w:rsidRPr="00B43485">
      <w:rPr>
        <w:rFonts w:ascii="Times New Roman" w:eastAsia="Times New Roman" w:hAnsi="Times New Roman" w:cs="Times New Roman"/>
        <w:b/>
        <w:sz w:val="28"/>
        <w:szCs w:val="20"/>
        <w:lang w:val="en-GB" w:bidi="ar-SA"/>
      </w:rPr>
      <w:fldChar w:fldCharType="separate"/>
    </w:r>
    <w:r w:rsidR="003E57BF">
      <w:rPr>
        <w:rFonts w:ascii="Times New Roman" w:eastAsia="Times New Roman" w:hAnsi="Times New Roman" w:cs="Times New Roman"/>
        <w:b/>
        <w:sz w:val="28"/>
        <w:szCs w:val="20"/>
        <w:lang w:val="en-GB" w:bidi="ar-SA"/>
      </w:rPr>
      <w:t>March</w:t>
    </w:r>
    <w:r w:rsidRPr="00B43485">
      <w:rPr>
        <w:rFonts w:ascii="Times New Roman" w:eastAsia="Times New Roman" w:hAnsi="Times New Roman" w:cs="Times New Roman"/>
        <w:b/>
        <w:sz w:val="28"/>
        <w:szCs w:val="20"/>
        <w:lang w:val="en-GB" w:bidi="ar-SA"/>
      </w:rPr>
      <w:t xml:space="preserve"> 2016</w:t>
    </w:r>
    <w:r w:rsidRPr="00B43485">
      <w:rPr>
        <w:rFonts w:ascii="Times New Roman" w:eastAsia="Times New Roman" w:hAnsi="Times New Roman" w:cs="Times New Roman"/>
        <w:b/>
        <w:sz w:val="28"/>
        <w:szCs w:val="20"/>
        <w:lang w:val="en-GB" w:bidi="ar-SA"/>
      </w:rPr>
      <w:fldChar w:fldCharType="end"/>
    </w:r>
    <w:r w:rsidRPr="00B43485">
      <w:rPr>
        <w:rFonts w:ascii="Times New Roman" w:eastAsia="Times New Roman" w:hAnsi="Times New Roman" w:cs="Times New Roman"/>
        <w:b/>
        <w:sz w:val="28"/>
        <w:szCs w:val="20"/>
        <w:lang w:val="en-GB" w:bidi="ar-SA"/>
      </w:rPr>
      <w:tab/>
    </w:r>
    <w:r w:rsidRPr="00B43485">
      <w:rPr>
        <w:rFonts w:ascii="Times New Roman" w:eastAsia="Times New Roman" w:hAnsi="Times New Roman" w:cs="Times New Roman"/>
        <w:b/>
        <w:sz w:val="28"/>
        <w:szCs w:val="20"/>
        <w:lang w:val="en-GB" w:bidi="ar-SA"/>
      </w:rPr>
      <w:tab/>
    </w:r>
    <w:r w:rsidRPr="00B43485">
      <w:rPr>
        <w:rFonts w:ascii="Times New Roman" w:eastAsia="Times New Roman" w:hAnsi="Times New Roman" w:cs="Times New Roman"/>
        <w:b/>
        <w:sz w:val="28"/>
        <w:szCs w:val="20"/>
        <w:lang w:val="en-GB" w:bidi="ar-SA"/>
      </w:rPr>
      <w:fldChar w:fldCharType="begin"/>
    </w:r>
    <w:r w:rsidRPr="00B43485">
      <w:rPr>
        <w:rFonts w:ascii="Times New Roman" w:eastAsia="Times New Roman" w:hAnsi="Times New Roman" w:cs="Times New Roman"/>
        <w:b/>
        <w:sz w:val="28"/>
        <w:szCs w:val="20"/>
        <w:lang w:val="en-GB" w:bidi="ar-SA"/>
      </w:rPr>
      <w:instrText xml:space="preserve"> TITLE  \* MERGEFORMAT </w:instrText>
    </w:r>
    <w:r w:rsidRPr="00B43485">
      <w:rPr>
        <w:rFonts w:ascii="Times New Roman" w:eastAsia="Times New Roman" w:hAnsi="Times New Roman" w:cs="Times New Roman"/>
        <w:b/>
        <w:sz w:val="28"/>
        <w:szCs w:val="20"/>
        <w:lang w:val="en-GB" w:bidi="ar-SA"/>
      </w:rPr>
      <w:fldChar w:fldCharType="separate"/>
    </w:r>
    <w:r>
      <w:rPr>
        <w:rFonts w:ascii="Times New Roman" w:eastAsia="Times New Roman" w:hAnsi="Times New Roman" w:cs="Times New Roman"/>
        <w:b/>
        <w:sz w:val="28"/>
        <w:szCs w:val="20"/>
        <w:lang w:val="en-GB" w:bidi="ar-SA"/>
      </w:rPr>
      <w:t>doc.: IEEE 802.11-16/</w:t>
    </w:r>
    <w:r w:rsidRPr="00B43485">
      <w:rPr>
        <w:rFonts w:ascii="Times New Roman" w:eastAsia="Times New Roman" w:hAnsi="Times New Roman" w:cs="Times New Roman"/>
        <w:b/>
        <w:sz w:val="28"/>
        <w:szCs w:val="20"/>
        <w:lang w:val="en-GB" w:bidi="ar-SA"/>
      </w:rPr>
      <w:fldChar w:fldCharType="end"/>
    </w:r>
    <w:r w:rsidR="005D09B9">
      <w:rPr>
        <w:rFonts w:ascii="Times New Roman" w:eastAsia="Times New Roman" w:hAnsi="Times New Roman" w:cs="Times New Roman"/>
        <w:b/>
        <w:sz w:val="28"/>
        <w:szCs w:val="20"/>
        <w:lang w:val="en-GB" w:bidi="ar-SA"/>
      </w:rPr>
      <w:t>0445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9C2D34"/>
    <w:multiLevelType w:val="hybridMultilevel"/>
    <w:tmpl w:val="8A344FF0"/>
    <w:lvl w:ilvl="0" w:tplc="B88A304E">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7"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67E5C"/>
    <w:multiLevelType w:val="hybridMultilevel"/>
    <w:tmpl w:val="BDA4DC68"/>
    <w:lvl w:ilvl="0" w:tplc="85EEA30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5"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33759D5"/>
    <w:multiLevelType w:val="hybridMultilevel"/>
    <w:tmpl w:val="3050B2BC"/>
    <w:lvl w:ilvl="0" w:tplc="B88A304E">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9"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6"/>
  </w:num>
  <w:num w:numId="4">
    <w:abstractNumId w:val="18"/>
  </w:num>
  <w:num w:numId="5">
    <w:abstractNumId w:val="3"/>
  </w:num>
  <w:num w:numId="6">
    <w:abstractNumId w:val="4"/>
  </w:num>
  <w:num w:numId="7">
    <w:abstractNumId w:val="17"/>
  </w:num>
  <w:num w:numId="8">
    <w:abstractNumId w:val="10"/>
  </w:num>
  <w:num w:numId="9">
    <w:abstractNumId w:val="0"/>
  </w:num>
  <w:num w:numId="10">
    <w:abstractNumId w:val="15"/>
  </w:num>
  <w:num w:numId="11">
    <w:abstractNumId w:val="12"/>
  </w:num>
  <w:num w:numId="12">
    <w:abstractNumId w:val="19"/>
  </w:num>
  <w:num w:numId="13">
    <w:abstractNumId w:val="2"/>
  </w:num>
  <w:num w:numId="14">
    <w:abstractNumId w:val="7"/>
  </w:num>
  <w:num w:numId="15">
    <w:abstractNumId w:val="8"/>
  </w:num>
  <w:num w:numId="16">
    <w:abstractNumId w:val="13"/>
  </w:num>
  <w:num w:numId="17">
    <w:abstractNumId w:val="5"/>
  </w:num>
  <w:num w:numId="18">
    <w:abstractNumId w:val="9"/>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80"/>
    <w:rsid w:val="0000477D"/>
    <w:rsid w:val="00004BCB"/>
    <w:rsid w:val="00006478"/>
    <w:rsid w:val="00015323"/>
    <w:rsid w:val="00025F06"/>
    <w:rsid w:val="00027DA9"/>
    <w:rsid w:val="00033794"/>
    <w:rsid w:val="00040C75"/>
    <w:rsid w:val="000606ED"/>
    <w:rsid w:val="00064465"/>
    <w:rsid w:val="00085889"/>
    <w:rsid w:val="000908C9"/>
    <w:rsid w:val="00091360"/>
    <w:rsid w:val="00094387"/>
    <w:rsid w:val="000A31C7"/>
    <w:rsid w:val="000B234B"/>
    <w:rsid w:val="000B60D2"/>
    <w:rsid w:val="000B6283"/>
    <w:rsid w:val="000B786E"/>
    <w:rsid w:val="000C5407"/>
    <w:rsid w:val="000D2E03"/>
    <w:rsid w:val="000D4E39"/>
    <w:rsid w:val="000E1D76"/>
    <w:rsid w:val="000F4DE1"/>
    <w:rsid w:val="000F661A"/>
    <w:rsid w:val="001012E7"/>
    <w:rsid w:val="00123880"/>
    <w:rsid w:val="00127AA7"/>
    <w:rsid w:val="00134749"/>
    <w:rsid w:val="00135A0E"/>
    <w:rsid w:val="00136F7E"/>
    <w:rsid w:val="00145AF1"/>
    <w:rsid w:val="001569BA"/>
    <w:rsid w:val="001851F0"/>
    <w:rsid w:val="001908D2"/>
    <w:rsid w:val="001923C5"/>
    <w:rsid w:val="001A32CD"/>
    <w:rsid w:val="001B55F1"/>
    <w:rsid w:val="001D2A9C"/>
    <w:rsid w:val="001D7B7F"/>
    <w:rsid w:val="001E40B9"/>
    <w:rsid w:val="001F5925"/>
    <w:rsid w:val="00221ECE"/>
    <w:rsid w:val="002254C5"/>
    <w:rsid w:val="00225736"/>
    <w:rsid w:val="00226386"/>
    <w:rsid w:val="00226FBF"/>
    <w:rsid w:val="0023074D"/>
    <w:rsid w:val="0023595F"/>
    <w:rsid w:val="00241C73"/>
    <w:rsid w:val="00250B91"/>
    <w:rsid w:val="00257CD0"/>
    <w:rsid w:val="002646A2"/>
    <w:rsid w:val="00267C18"/>
    <w:rsid w:val="00274BAD"/>
    <w:rsid w:val="002A2327"/>
    <w:rsid w:val="002A4536"/>
    <w:rsid w:val="002B2ED2"/>
    <w:rsid w:val="002B6639"/>
    <w:rsid w:val="002C58BE"/>
    <w:rsid w:val="002C68E8"/>
    <w:rsid w:val="002C6943"/>
    <w:rsid w:val="002D602E"/>
    <w:rsid w:val="002E14F4"/>
    <w:rsid w:val="002E20BD"/>
    <w:rsid w:val="002E55B8"/>
    <w:rsid w:val="002F0734"/>
    <w:rsid w:val="002F0EFB"/>
    <w:rsid w:val="002F6D5F"/>
    <w:rsid w:val="00316F36"/>
    <w:rsid w:val="00344E71"/>
    <w:rsid w:val="003534C4"/>
    <w:rsid w:val="0035409E"/>
    <w:rsid w:val="00354C2F"/>
    <w:rsid w:val="00363B59"/>
    <w:rsid w:val="0038282B"/>
    <w:rsid w:val="00387F4C"/>
    <w:rsid w:val="00391DCF"/>
    <w:rsid w:val="0039245E"/>
    <w:rsid w:val="00397E79"/>
    <w:rsid w:val="003B290D"/>
    <w:rsid w:val="003B34F8"/>
    <w:rsid w:val="003B6AEB"/>
    <w:rsid w:val="003C055C"/>
    <w:rsid w:val="003C500D"/>
    <w:rsid w:val="003D32AA"/>
    <w:rsid w:val="003E57BF"/>
    <w:rsid w:val="003F5B53"/>
    <w:rsid w:val="00401240"/>
    <w:rsid w:val="00413B24"/>
    <w:rsid w:val="00413C93"/>
    <w:rsid w:val="004148F8"/>
    <w:rsid w:val="00431BB7"/>
    <w:rsid w:val="00442CBC"/>
    <w:rsid w:val="00461DD5"/>
    <w:rsid w:val="00465843"/>
    <w:rsid w:val="00470BF7"/>
    <w:rsid w:val="00471186"/>
    <w:rsid w:val="00480F1D"/>
    <w:rsid w:val="00483FA2"/>
    <w:rsid w:val="00485E58"/>
    <w:rsid w:val="00487F26"/>
    <w:rsid w:val="00494CAB"/>
    <w:rsid w:val="00495F20"/>
    <w:rsid w:val="004A09A5"/>
    <w:rsid w:val="004C5CDC"/>
    <w:rsid w:val="004D001E"/>
    <w:rsid w:val="004D11BB"/>
    <w:rsid w:val="004D6147"/>
    <w:rsid w:val="004D6DE3"/>
    <w:rsid w:val="004F7294"/>
    <w:rsid w:val="005052A0"/>
    <w:rsid w:val="00516713"/>
    <w:rsid w:val="0051758F"/>
    <w:rsid w:val="0052327F"/>
    <w:rsid w:val="00540C15"/>
    <w:rsid w:val="00553CD5"/>
    <w:rsid w:val="00557A6F"/>
    <w:rsid w:val="00561034"/>
    <w:rsid w:val="0056228C"/>
    <w:rsid w:val="005805F0"/>
    <w:rsid w:val="00584D1D"/>
    <w:rsid w:val="00585180"/>
    <w:rsid w:val="00595939"/>
    <w:rsid w:val="005A1B18"/>
    <w:rsid w:val="005A685B"/>
    <w:rsid w:val="005B559B"/>
    <w:rsid w:val="005B76EB"/>
    <w:rsid w:val="005C6CF8"/>
    <w:rsid w:val="005D09B9"/>
    <w:rsid w:val="005E33D0"/>
    <w:rsid w:val="005F5330"/>
    <w:rsid w:val="00613359"/>
    <w:rsid w:val="00615044"/>
    <w:rsid w:val="00615333"/>
    <w:rsid w:val="00623744"/>
    <w:rsid w:val="006241EC"/>
    <w:rsid w:val="00634D3F"/>
    <w:rsid w:val="00651DA4"/>
    <w:rsid w:val="00653DE4"/>
    <w:rsid w:val="006551E5"/>
    <w:rsid w:val="00680F41"/>
    <w:rsid w:val="00690216"/>
    <w:rsid w:val="00693F0D"/>
    <w:rsid w:val="006B08BC"/>
    <w:rsid w:val="006B244C"/>
    <w:rsid w:val="006B4CFE"/>
    <w:rsid w:val="006B52A0"/>
    <w:rsid w:val="006B607E"/>
    <w:rsid w:val="006B6B2B"/>
    <w:rsid w:val="006C7FFC"/>
    <w:rsid w:val="006D5E78"/>
    <w:rsid w:val="006E0FB0"/>
    <w:rsid w:val="006E28BD"/>
    <w:rsid w:val="007143DC"/>
    <w:rsid w:val="007144CC"/>
    <w:rsid w:val="00722983"/>
    <w:rsid w:val="00725E78"/>
    <w:rsid w:val="007334CE"/>
    <w:rsid w:val="00733B3B"/>
    <w:rsid w:val="00742851"/>
    <w:rsid w:val="00750576"/>
    <w:rsid w:val="0075205E"/>
    <w:rsid w:val="00782609"/>
    <w:rsid w:val="007A014F"/>
    <w:rsid w:val="007A4FDF"/>
    <w:rsid w:val="007A6334"/>
    <w:rsid w:val="007B525A"/>
    <w:rsid w:val="007B7AFF"/>
    <w:rsid w:val="007E1544"/>
    <w:rsid w:val="007E2718"/>
    <w:rsid w:val="007E3885"/>
    <w:rsid w:val="007E470A"/>
    <w:rsid w:val="00801680"/>
    <w:rsid w:val="0080620D"/>
    <w:rsid w:val="00813388"/>
    <w:rsid w:val="008145FA"/>
    <w:rsid w:val="008202DB"/>
    <w:rsid w:val="00822979"/>
    <w:rsid w:val="00823B1F"/>
    <w:rsid w:val="00823F91"/>
    <w:rsid w:val="00824D9D"/>
    <w:rsid w:val="0082626D"/>
    <w:rsid w:val="008309C2"/>
    <w:rsid w:val="00833A74"/>
    <w:rsid w:val="00861400"/>
    <w:rsid w:val="00865AA8"/>
    <w:rsid w:val="00871D10"/>
    <w:rsid w:val="0088551B"/>
    <w:rsid w:val="008A1568"/>
    <w:rsid w:val="008A5124"/>
    <w:rsid w:val="008B51BB"/>
    <w:rsid w:val="008C69D6"/>
    <w:rsid w:val="008D60AC"/>
    <w:rsid w:val="008E63F6"/>
    <w:rsid w:val="008F2A6F"/>
    <w:rsid w:val="009024A3"/>
    <w:rsid w:val="00920873"/>
    <w:rsid w:val="00927211"/>
    <w:rsid w:val="009325CE"/>
    <w:rsid w:val="00933057"/>
    <w:rsid w:val="009336FA"/>
    <w:rsid w:val="00936501"/>
    <w:rsid w:val="00957E6B"/>
    <w:rsid w:val="009603B9"/>
    <w:rsid w:val="009612D5"/>
    <w:rsid w:val="00963E8E"/>
    <w:rsid w:val="009645E9"/>
    <w:rsid w:val="00976D9E"/>
    <w:rsid w:val="0098239C"/>
    <w:rsid w:val="0099171E"/>
    <w:rsid w:val="009A18C5"/>
    <w:rsid w:val="009A4522"/>
    <w:rsid w:val="009B0ECD"/>
    <w:rsid w:val="009B1DBC"/>
    <w:rsid w:val="009B3DBD"/>
    <w:rsid w:val="009B480D"/>
    <w:rsid w:val="009B61EF"/>
    <w:rsid w:val="009C4E84"/>
    <w:rsid w:val="009D3302"/>
    <w:rsid w:val="009D4F2E"/>
    <w:rsid w:val="009D5361"/>
    <w:rsid w:val="009E3511"/>
    <w:rsid w:val="009E7163"/>
    <w:rsid w:val="009F5DBF"/>
    <w:rsid w:val="009F7D53"/>
    <w:rsid w:val="00A11E72"/>
    <w:rsid w:val="00A177F7"/>
    <w:rsid w:val="00A20796"/>
    <w:rsid w:val="00A44B09"/>
    <w:rsid w:val="00A5607F"/>
    <w:rsid w:val="00A57928"/>
    <w:rsid w:val="00A73EE2"/>
    <w:rsid w:val="00A75D71"/>
    <w:rsid w:val="00A768D8"/>
    <w:rsid w:val="00A84758"/>
    <w:rsid w:val="00A85FE1"/>
    <w:rsid w:val="00AA24A3"/>
    <w:rsid w:val="00AA6A3B"/>
    <w:rsid w:val="00AB6601"/>
    <w:rsid w:val="00AC03E9"/>
    <w:rsid w:val="00AC420D"/>
    <w:rsid w:val="00AC7BA3"/>
    <w:rsid w:val="00AE249D"/>
    <w:rsid w:val="00AF03E4"/>
    <w:rsid w:val="00AF20A6"/>
    <w:rsid w:val="00AF67DA"/>
    <w:rsid w:val="00B013CA"/>
    <w:rsid w:val="00B21E3F"/>
    <w:rsid w:val="00B30266"/>
    <w:rsid w:val="00B31CF1"/>
    <w:rsid w:val="00B34767"/>
    <w:rsid w:val="00B416DE"/>
    <w:rsid w:val="00B43485"/>
    <w:rsid w:val="00B562C8"/>
    <w:rsid w:val="00B6072D"/>
    <w:rsid w:val="00B61C41"/>
    <w:rsid w:val="00B653CB"/>
    <w:rsid w:val="00B6640B"/>
    <w:rsid w:val="00B8720F"/>
    <w:rsid w:val="00BA750B"/>
    <w:rsid w:val="00BB1BB2"/>
    <w:rsid w:val="00BB4292"/>
    <w:rsid w:val="00BC3762"/>
    <w:rsid w:val="00BE1CBC"/>
    <w:rsid w:val="00C0597C"/>
    <w:rsid w:val="00C10B98"/>
    <w:rsid w:val="00C12505"/>
    <w:rsid w:val="00C25793"/>
    <w:rsid w:val="00C26761"/>
    <w:rsid w:val="00C26FDF"/>
    <w:rsid w:val="00C450CF"/>
    <w:rsid w:val="00C47731"/>
    <w:rsid w:val="00C57BD6"/>
    <w:rsid w:val="00C71F6C"/>
    <w:rsid w:val="00C7395A"/>
    <w:rsid w:val="00C822AB"/>
    <w:rsid w:val="00C827FF"/>
    <w:rsid w:val="00C82885"/>
    <w:rsid w:val="00C82F17"/>
    <w:rsid w:val="00C85DEB"/>
    <w:rsid w:val="00C93380"/>
    <w:rsid w:val="00C93D60"/>
    <w:rsid w:val="00CA0F27"/>
    <w:rsid w:val="00CA5008"/>
    <w:rsid w:val="00CA7030"/>
    <w:rsid w:val="00CB1A73"/>
    <w:rsid w:val="00CB2AB4"/>
    <w:rsid w:val="00CB38EB"/>
    <w:rsid w:val="00CB4DC6"/>
    <w:rsid w:val="00CB5C74"/>
    <w:rsid w:val="00CC7245"/>
    <w:rsid w:val="00CC793D"/>
    <w:rsid w:val="00CD102B"/>
    <w:rsid w:val="00CE5371"/>
    <w:rsid w:val="00D137C7"/>
    <w:rsid w:val="00D155AC"/>
    <w:rsid w:val="00D301AE"/>
    <w:rsid w:val="00D30ADC"/>
    <w:rsid w:val="00D36711"/>
    <w:rsid w:val="00D4060A"/>
    <w:rsid w:val="00D5285A"/>
    <w:rsid w:val="00D57AA4"/>
    <w:rsid w:val="00D64BF0"/>
    <w:rsid w:val="00D65579"/>
    <w:rsid w:val="00D6606A"/>
    <w:rsid w:val="00D86583"/>
    <w:rsid w:val="00D92FBB"/>
    <w:rsid w:val="00DB251A"/>
    <w:rsid w:val="00DB4226"/>
    <w:rsid w:val="00DB4A67"/>
    <w:rsid w:val="00DC362E"/>
    <w:rsid w:val="00DE78F2"/>
    <w:rsid w:val="00DE7CF7"/>
    <w:rsid w:val="00E05C77"/>
    <w:rsid w:val="00E061F9"/>
    <w:rsid w:val="00E12F1C"/>
    <w:rsid w:val="00E335E2"/>
    <w:rsid w:val="00E411AD"/>
    <w:rsid w:val="00E42D09"/>
    <w:rsid w:val="00E562BB"/>
    <w:rsid w:val="00E61CD7"/>
    <w:rsid w:val="00E63434"/>
    <w:rsid w:val="00E71EB6"/>
    <w:rsid w:val="00E73BDA"/>
    <w:rsid w:val="00E77022"/>
    <w:rsid w:val="00E81246"/>
    <w:rsid w:val="00E91A51"/>
    <w:rsid w:val="00E92289"/>
    <w:rsid w:val="00EB2DF9"/>
    <w:rsid w:val="00EC306E"/>
    <w:rsid w:val="00EC526D"/>
    <w:rsid w:val="00EE2CCF"/>
    <w:rsid w:val="00F026D3"/>
    <w:rsid w:val="00F0393D"/>
    <w:rsid w:val="00F10979"/>
    <w:rsid w:val="00F122EC"/>
    <w:rsid w:val="00F349B1"/>
    <w:rsid w:val="00F4195C"/>
    <w:rsid w:val="00F45A46"/>
    <w:rsid w:val="00F506E7"/>
    <w:rsid w:val="00F633A3"/>
    <w:rsid w:val="00F66727"/>
    <w:rsid w:val="00F70F9B"/>
    <w:rsid w:val="00F71256"/>
    <w:rsid w:val="00F82F01"/>
    <w:rsid w:val="00FA08A6"/>
    <w:rsid w:val="00FA3697"/>
    <w:rsid w:val="00FB2A1A"/>
    <w:rsid w:val="00FC2CC7"/>
    <w:rsid w:val="00FD2A48"/>
    <w:rsid w:val="00FD330C"/>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05A0E3-28A1-438D-98BE-03F55E79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6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6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41509">
      <w:bodyDiv w:val="1"/>
      <w:marLeft w:val="0"/>
      <w:marRight w:val="0"/>
      <w:marTop w:val="0"/>
      <w:marBottom w:val="0"/>
      <w:divBdr>
        <w:top w:val="none" w:sz="0" w:space="0" w:color="auto"/>
        <w:left w:val="none" w:sz="0" w:space="0" w:color="auto"/>
        <w:bottom w:val="none" w:sz="0" w:space="0" w:color="auto"/>
        <w:right w:val="none" w:sz="0" w:space="0" w:color="auto"/>
      </w:divBdr>
    </w:div>
    <w:div w:id="724377713">
      <w:bodyDiv w:val="1"/>
      <w:marLeft w:val="0"/>
      <w:marRight w:val="0"/>
      <w:marTop w:val="0"/>
      <w:marBottom w:val="0"/>
      <w:divBdr>
        <w:top w:val="none" w:sz="0" w:space="0" w:color="auto"/>
        <w:left w:val="none" w:sz="0" w:space="0" w:color="auto"/>
        <w:bottom w:val="none" w:sz="0" w:space="0" w:color="auto"/>
        <w:right w:val="none" w:sz="0" w:space="0" w:color="auto"/>
      </w:divBdr>
    </w:div>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957882138">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FF2B6-204B-4E43-9B08-EEE6B11B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IEEE_2015</Template>
  <TotalTime>4</TotalTime>
  <Pages>6</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Schelstraete</dc:creator>
  <cp:lastModifiedBy>Sigurd Schelstraete</cp:lastModifiedBy>
  <cp:revision>5</cp:revision>
  <dcterms:created xsi:type="dcterms:W3CDTF">2016-03-15T05:45:00Z</dcterms:created>
  <dcterms:modified xsi:type="dcterms:W3CDTF">2016-03-15T05:49:00Z</dcterms:modified>
</cp:coreProperties>
</file>