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3E57BF" w:rsidP="003B6AEB">
            <w:pPr>
              <w:pStyle w:val="T2"/>
              <w:rPr>
                <w:lang w:val="en-US"/>
              </w:rPr>
            </w:pPr>
            <w:r>
              <w:rPr>
                <w:lang w:val="en-US"/>
              </w:rPr>
              <w:t>CIDs 7672 and 7687</w:t>
            </w:r>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3E57BF">
              <w:rPr>
                <w:b w:val="0"/>
                <w:sz w:val="20"/>
                <w:lang w:val="en-US"/>
              </w:rPr>
              <w:t>3/10</w:t>
            </w:r>
            <w:r w:rsidR="00D64BF0">
              <w:rPr>
                <w:b w:val="0"/>
                <w:sz w:val="20"/>
                <w:lang w:val="en-US"/>
              </w:rPr>
              <w:t>/2016</w:t>
            </w:r>
            <w:bookmarkStart w:id="0" w:name="_GoBack"/>
            <w:bookmarkEnd w:id="0"/>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proofErr w:type="spellStart"/>
            <w:r>
              <w:rPr>
                <w:b w:val="0"/>
                <w:sz w:val="20"/>
                <w:lang w:val="en-US"/>
              </w:rPr>
              <w:t>Quantenna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C450CF" w:rsidRDefault="00391D07"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00477D" w:rsidP="0000477D">
                            <w:r>
                              <w:t xml:space="preserve">This document discusses </w:t>
                            </w:r>
                            <w:r w:rsidR="003E57BF">
                              <w:t>CIDs 7672 and 7687</w:t>
                            </w:r>
                            <w:r w:rsidR="002C68E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00477D" w:rsidP="0000477D">
                      <w:r>
                        <w:t xml:space="preserve">This document discusses </w:t>
                      </w:r>
                      <w:r w:rsidR="003E57BF">
                        <w:t>CIDs 7672 and 7687</w:t>
                      </w:r>
                      <w:r w:rsidR="002C68E8">
                        <w:t>.</w:t>
                      </w:r>
                      <w:bookmarkStart w:id="1" w:name="_GoBack"/>
                      <w:bookmarkEnd w:id="1"/>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AF03E4" w:rsidRDefault="00AF03E4" w:rsidP="00AF03E4">
      <w:pPr>
        <w:pStyle w:val="Heading1"/>
      </w:pPr>
      <w:r>
        <w:lastRenderedPageBreak/>
        <w:t>CID 7672</w:t>
      </w:r>
    </w:p>
    <w:tbl>
      <w:tblPr>
        <w:tblStyle w:val="TableGrid"/>
        <w:tblW w:w="0" w:type="auto"/>
        <w:tblLook w:val="04A0" w:firstRow="1" w:lastRow="0" w:firstColumn="1" w:lastColumn="0" w:noHBand="0" w:noVBand="1"/>
      </w:tblPr>
      <w:tblGrid>
        <w:gridCol w:w="663"/>
        <w:gridCol w:w="907"/>
        <w:gridCol w:w="808"/>
        <w:gridCol w:w="941"/>
        <w:gridCol w:w="2657"/>
        <w:gridCol w:w="2654"/>
      </w:tblGrid>
      <w:tr w:rsidR="00AF03E4" w:rsidRPr="00294C86" w:rsidTr="001A502D">
        <w:trPr>
          <w:trHeight w:val="3060"/>
        </w:trPr>
        <w:tc>
          <w:tcPr>
            <w:tcW w:w="600" w:type="dxa"/>
            <w:hideMark/>
          </w:tcPr>
          <w:p w:rsidR="00AF03E4" w:rsidRPr="00294C86" w:rsidRDefault="00AF03E4" w:rsidP="001A502D">
            <w:r w:rsidRPr="00294C86">
              <w:t>7672</w:t>
            </w:r>
          </w:p>
        </w:tc>
        <w:tc>
          <w:tcPr>
            <w:tcW w:w="920" w:type="dxa"/>
            <w:hideMark/>
          </w:tcPr>
          <w:p w:rsidR="00AF03E4" w:rsidRPr="00294C86" w:rsidRDefault="00AF03E4" w:rsidP="001A502D">
            <w:r w:rsidRPr="00294C86">
              <w:t>715</w:t>
            </w:r>
          </w:p>
        </w:tc>
        <w:tc>
          <w:tcPr>
            <w:tcW w:w="820" w:type="dxa"/>
            <w:hideMark/>
          </w:tcPr>
          <w:p w:rsidR="00AF03E4" w:rsidRPr="00294C86" w:rsidRDefault="00AF03E4" w:rsidP="001A502D">
            <w:r w:rsidRPr="00294C86">
              <w:t>42</w:t>
            </w:r>
          </w:p>
        </w:tc>
        <w:tc>
          <w:tcPr>
            <w:tcW w:w="920" w:type="dxa"/>
            <w:hideMark/>
          </w:tcPr>
          <w:p w:rsidR="00AF03E4" w:rsidRPr="00294C86" w:rsidRDefault="00AF03E4" w:rsidP="001A502D">
            <w:r w:rsidRPr="00294C86">
              <w:t>9.4.1.53</w:t>
            </w:r>
          </w:p>
        </w:tc>
        <w:tc>
          <w:tcPr>
            <w:tcW w:w="2700" w:type="dxa"/>
            <w:hideMark/>
          </w:tcPr>
          <w:p w:rsidR="00AF03E4" w:rsidRPr="00294C86" w:rsidRDefault="00AF03E4" w:rsidP="001A502D">
            <w:r w:rsidRPr="00294C86">
              <w:t xml:space="preserve">"If the Rx NSS Type subfield is 1, the value of this field, combined with other information described in 9.4.2.158.3 (Supported VHT-MCS and NSS Set field), indicates the maximum number of spatial streams that the STA can receive as a </w:t>
            </w:r>
            <w:proofErr w:type="spellStart"/>
            <w:r w:rsidRPr="00294C86">
              <w:t>beamformee</w:t>
            </w:r>
            <w:proofErr w:type="spellEnd"/>
            <w:r w:rsidRPr="00294C86">
              <w:t xml:space="preserve"> in an SU PPDU" -- I see nothing in there that deals with BF</w:t>
            </w:r>
          </w:p>
        </w:tc>
        <w:tc>
          <w:tcPr>
            <w:tcW w:w="2700" w:type="dxa"/>
            <w:hideMark/>
          </w:tcPr>
          <w:p w:rsidR="00AF03E4" w:rsidRPr="00294C86" w:rsidRDefault="00AF03E4" w:rsidP="001A502D">
            <w:r w:rsidRPr="00294C86">
              <w:t>Delete ", combined with other information described in 9.4.2.158.3 (Supported VHT-MCS and NSS Set field), "</w:t>
            </w:r>
          </w:p>
        </w:tc>
      </w:tr>
    </w:tbl>
    <w:p w:rsidR="00AF03E4" w:rsidRDefault="00AF03E4" w:rsidP="00AF03E4"/>
    <w:p w:rsidR="00AF03E4" w:rsidRDefault="00AF03E4" w:rsidP="00AF03E4">
      <w:r w:rsidRPr="00BB40E8">
        <w:rPr>
          <w:noProof/>
          <w:lang w:bidi="ar-SA"/>
        </w:rPr>
        <w:drawing>
          <wp:inline distT="0" distB="0" distL="0" distR="0" wp14:anchorId="6218B7E9" wp14:editId="6954512A">
            <wp:extent cx="5943600" cy="22604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60446"/>
                    </a:xfrm>
                    <a:prstGeom prst="rect">
                      <a:avLst/>
                    </a:prstGeom>
                    <a:noFill/>
                    <a:ln>
                      <a:noFill/>
                    </a:ln>
                  </pic:spPr>
                </pic:pic>
              </a:graphicData>
            </a:graphic>
          </wp:inline>
        </w:drawing>
      </w:r>
    </w:p>
    <w:p w:rsidR="00AF03E4" w:rsidRDefault="00AF03E4" w:rsidP="00AF03E4">
      <w:r>
        <w:t>Even for operation with BF, the number of streams is constrained by the general capabilities of the system. These should be taken into account in conjunction with the specific capability that is communicated here. As such, the reference to 9.4.2.158.3 appears to be in order.</w:t>
      </w:r>
    </w:p>
    <w:p w:rsidR="00AF03E4" w:rsidRPr="00AC7BA3" w:rsidRDefault="00AF03E4" w:rsidP="00AF03E4">
      <w:pPr>
        <w:rPr>
          <w:b/>
          <w:u w:val="single"/>
        </w:rPr>
      </w:pPr>
      <w:r w:rsidRPr="00AC7BA3">
        <w:rPr>
          <w:b/>
          <w:u w:val="single"/>
        </w:rPr>
        <w:t>Proposed resolution:</w:t>
      </w:r>
    </w:p>
    <w:p w:rsidR="00AF03E4" w:rsidRDefault="00AF03E4" w:rsidP="00AF03E4">
      <w:r>
        <w:t xml:space="preserve">Reject – reference to 9.4.2.158.3 is correct and appropriate. </w:t>
      </w:r>
    </w:p>
    <w:p w:rsidR="00AF03E4" w:rsidRDefault="00AF03E4" w:rsidP="00AF03E4"/>
    <w:p w:rsidR="00AF03E4" w:rsidRDefault="00AF03E4" w:rsidP="00AF03E4">
      <w:pPr>
        <w:pStyle w:val="Heading1"/>
      </w:pPr>
      <w:r>
        <w:lastRenderedPageBreak/>
        <w:t>CID 7687</w:t>
      </w:r>
    </w:p>
    <w:tbl>
      <w:tblPr>
        <w:tblStyle w:val="TableGrid"/>
        <w:tblW w:w="0" w:type="auto"/>
        <w:tblLook w:val="04A0" w:firstRow="1" w:lastRow="0" w:firstColumn="1" w:lastColumn="0" w:noHBand="0" w:noVBand="1"/>
      </w:tblPr>
      <w:tblGrid>
        <w:gridCol w:w="663"/>
        <w:gridCol w:w="905"/>
        <w:gridCol w:w="798"/>
        <w:gridCol w:w="1052"/>
        <w:gridCol w:w="2615"/>
        <w:gridCol w:w="2597"/>
      </w:tblGrid>
      <w:tr w:rsidR="00AF03E4" w:rsidRPr="003C5E17" w:rsidTr="001A502D">
        <w:trPr>
          <w:trHeight w:val="1020"/>
        </w:trPr>
        <w:tc>
          <w:tcPr>
            <w:tcW w:w="663" w:type="dxa"/>
            <w:hideMark/>
          </w:tcPr>
          <w:p w:rsidR="00AF03E4" w:rsidRPr="003C5E17" w:rsidRDefault="00AF03E4" w:rsidP="00AC7BA3">
            <w:pPr>
              <w:keepNext/>
            </w:pPr>
            <w:r w:rsidRPr="003C5E17">
              <w:t>7687</w:t>
            </w:r>
          </w:p>
        </w:tc>
        <w:tc>
          <w:tcPr>
            <w:tcW w:w="920" w:type="dxa"/>
            <w:hideMark/>
          </w:tcPr>
          <w:p w:rsidR="00AF03E4" w:rsidRPr="003C5E17" w:rsidRDefault="00AF03E4" w:rsidP="001A502D">
            <w:r w:rsidRPr="003C5E17">
              <w:t>1053</w:t>
            </w:r>
          </w:p>
        </w:tc>
        <w:tc>
          <w:tcPr>
            <w:tcW w:w="820" w:type="dxa"/>
            <w:hideMark/>
          </w:tcPr>
          <w:p w:rsidR="00AF03E4" w:rsidRPr="003C5E17" w:rsidRDefault="00AF03E4" w:rsidP="001A502D">
            <w:r w:rsidRPr="003C5E17">
              <w:t>30</w:t>
            </w:r>
          </w:p>
        </w:tc>
        <w:tc>
          <w:tcPr>
            <w:tcW w:w="1052" w:type="dxa"/>
            <w:hideMark/>
          </w:tcPr>
          <w:p w:rsidR="00AF03E4" w:rsidRPr="003C5E17" w:rsidRDefault="00AF03E4" w:rsidP="001A502D">
            <w:r w:rsidRPr="003C5E17">
              <w:t>9.4.2.158</w:t>
            </w:r>
          </w:p>
        </w:tc>
        <w:tc>
          <w:tcPr>
            <w:tcW w:w="2700" w:type="dxa"/>
            <w:hideMark/>
          </w:tcPr>
          <w:p w:rsidR="00AF03E4" w:rsidRPr="003C5E17" w:rsidRDefault="00AF03E4" w:rsidP="001A502D">
            <w:r w:rsidRPr="003C5E17">
              <w:t>"The value of Max VHT NSS is equal to the smaller of:" -- but this value is MCS-dependent</w:t>
            </w:r>
          </w:p>
        </w:tc>
        <w:tc>
          <w:tcPr>
            <w:tcW w:w="2700" w:type="dxa"/>
            <w:hideMark/>
          </w:tcPr>
          <w:p w:rsidR="00AF03E4" w:rsidRPr="003C5E17" w:rsidRDefault="00AF03E4" w:rsidP="001A502D">
            <w:r w:rsidRPr="003C5E17">
              <w:t>Change to "The value of Max VHT NSS for a given MCS is equal to the smaller of:"</w:t>
            </w:r>
          </w:p>
        </w:tc>
      </w:tr>
    </w:tbl>
    <w:p w:rsidR="00AF03E4" w:rsidRPr="00ED1A3F" w:rsidRDefault="00AF03E4" w:rsidP="00AF03E4">
      <w:pPr>
        <w:rPr>
          <w:i/>
        </w:rPr>
      </w:pPr>
      <w:r w:rsidRPr="00ED1A3F">
        <w:rPr>
          <w:i/>
        </w:rPr>
        <w:t>(NOTE: page number should be 1054</w:t>
      </w:r>
      <w:r>
        <w:rPr>
          <w:i/>
        </w:rPr>
        <w:t xml:space="preserve"> instead of 1053</w:t>
      </w:r>
      <w:r w:rsidRPr="00ED1A3F">
        <w:rPr>
          <w:i/>
        </w:rPr>
        <w:t>)</w:t>
      </w:r>
    </w:p>
    <w:p w:rsidR="00AF03E4" w:rsidRDefault="00AF03E4" w:rsidP="00AF03E4">
      <w:pPr>
        <w:keepNext/>
      </w:pPr>
      <w:r>
        <w:t xml:space="preserve">Table 9-246 </w:t>
      </w:r>
      <w:r w:rsidR="00AC7BA3">
        <w:t>uses</w:t>
      </w:r>
      <w:r>
        <w:t xml:space="preserve"> the value of Max VHT NSS</w:t>
      </w:r>
      <w:r w:rsidR="00AC7BA3">
        <w:t xml:space="preserve"> to determine how many streams can be used in 20/40/80 mode and how many can be used in 160 and 80+80</w:t>
      </w:r>
      <w:r>
        <w:t>.</w:t>
      </w:r>
    </w:p>
    <w:p w:rsidR="00AF03E4" w:rsidRDefault="00AF03E4" w:rsidP="00AF03E4">
      <w:r>
        <w:t>NOTE 2 in that table in fact confirms that this value is MCS-dependent:</w:t>
      </w:r>
    </w:p>
    <w:p w:rsidR="00AF03E4" w:rsidRDefault="00AF03E4" w:rsidP="00AF03E4">
      <w:r w:rsidRPr="003C5E17">
        <w:rPr>
          <w:noProof/>
          <w:lang w:bidi="ar-SA"/>
        </w:rPr>
        <w:drawing>
          <wp:inline distT="0" distB="0" distL="0" distR="0" wp14:anchorId="62BAAB32" wp14:editId="2E468F6E">
            <wp:extent cx="5943600" cy="935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35386"/>
                    </a:xfrm>
                    <a:prstGeom prst="rect">
                      <a:avLst/>
                    </a:prstGeom>
                    <a:noFill/>
                    <a:ln>
                      <a:noFill/>
                    </a:ln>
                  </pic:spPr>
                </pic:pic>
              </a:graphicData>
            </a:graphic>
          </wp:inline>
        </w:drawing>
      </w:r>
    </w:p>
    <w:p w:rsidR="00AF03E4" w:rsidRPr="00925C8B" w:rsidRDefault="00AF03E4" w:rsidP="00AF03E4">
      <w:pPr>
        <w:rPr>
          <w:u w:val="single"/>
        </w:rPr>
      </w:pPr>
      <w:r w:rsidRPr="00925C8B">
        <w:rPr>
          <w:u w:val="single"/>
        </w:rPr>
        <w:t>NOTE: the reference to 8.4.2.157.3 is wrong and should be corrected to 9.4.2.158.3.</w:t>
      </w:r>
    </w:p>
    <w:p w:rsidR="00AF03E4" w:rsidRDefault="00AF03E4" w:rsidP="00AF03E4">
      <w:r>
        <w:t>In section 9.4.2.158.3, Max VHT NSS is defined as:</w:t>
      </w:r>
    </w:p>
    <w:p w:rsidR="00AF03E4" w:rsidRDefault="00AF03E4" w:rsidP="00AF03E4">
      <w:r w:rsidRPr="0060319E">
        <w:rPr>
          <w:noProof/>
          <w:lang w:bidi="ar-SA"/>
        </w:rPr>
        <w:drawing>
          <wp:inline distT="0" distB="0" distL="0" distR="0" wp14:anchorId="63F948DF" wp14:editId="6D6D9203">
            <wp:extent cx="5943600" cy="747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7235"/>
                    </a:xfrm>
                    <a:prstGeom prst="rect">
                      <a:avLst/>
                    </a:prstGeom>
                    <a:noFill/>
                    <a:ln>
                      <a:noFill/>
                    </a:ln>
                  </pic:spPr>
                </pic:pic>
              </a:graphicData>
            </a:graphic>
          </wp:inline>
        </w:drawing>
      </w:r>
    </w:p>
    <w:p w:rsidR="00AF03E4" w:rsidRDefault="00AF03E4" w:rsidP="00AF03E4">
      <w:r>
        <w:t>To make this a function of MCS, the text can be modified as follows:</w:t>
      </w:r>
    </w:p>
    <w:p w:rsidR="00AF03E4" w:rsidRDefault="00AF03E4" w:rsidP="00AF03E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value of Max VHT NSS </w:t>
      </w:r>
      <w:r w:rsidRPr="00CD00D0">
        <w:rPr>
          <w:rFonts w:ascii="TimesNewRomanPSMT" w:hAnsi="TimesNewRomanPSMT" w:cs="TimesNewRomanPSMT"/>
          <w:color w:val="FF0000"/>
          <w:sz w:val="20"/>
          <w:szCs w:val="20"/>
          <w:u w:val="single"/>
        </w:rPr>
        <w:t>for a given MCS</w:t>
      </w:r>
      <w:r>
        <w:rPr>
          <w:rFonts w:ascii="TimesNewRomanPSMT" w:hAnsi="TimesNewRomanPSMT" w:cs="TimesNewRomanPSMT"/>
          <w:sz w:val="20"/>
          <w:szCs w:val="20"/>
        </w:rPr>
        <w:t xml:space="preserve"> is equal to the smaller of:</w:t>
      </w:r>
    </w:p>
    <w:p w:rsidR="00AF03E4" w:rsidRPr="00CD00D0" w:rsidRDefault="00AF03E4" w:rsidP="00AF03E4">
      <w:pPr>
        <w:autoSpaceDE w:val="0"/>
        <w:autoSpaceDN w:val="0"/>
        <w:adjustRightInd w:val="0"/>
        <w:spacing w:after="0" w:line="240" w:lineRule="auto"/>
        <w:rPr>
          <w:rFonts w:ascii="TimesNewRomanPSMT" w:hAnsi="TimesNewRomanPSMT" w:cs="TimesNewRomanPSMT"/>
          <w:sz w:val="20"/>
          <w:szCs w:val="20"/>
          <w:u w:val="single"/>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maximum value of </w:t>
      </w:r>
      <w:r>
        <w:rPr>
          <w:rFonts w:ascii="TimesNewRomanPS-ItalicMT" w:hAnsi="TimesNewRomanPS-ItalicMT" w:cs="TimesNewRomanPS-ItalicMT"/>
          <w:i/>
          <w:iCs/>
          <w:sz w:val="20"/>
          <w:szCs w:val="20"/>
        </w:rPr>
        <w:t xml:space="preserve">n </w:t>
      </w:r>
      <w:r>
        <w:rPr>
          <w:rFonts w:ascii="TimesNewRomanPSMT" w:hAnsi="TimesNewRomanPSMT" w:cs="TimesNewRomanPSMT"/>
          <w:sz w:val="20"/>
          <w:szCs w:val="20"/>
        </w:rPr>
        <w:t xml:space="preserve">for which the Max VHT-MCS for </w:t>
      </w:r>
      <w:r>
        <w:rPr>
          <w:rFonts w:ascii="TimesNewRomanPS-ItalicMT" w:hAnsi="TimesNewRomanPS-ItalicMT" w:cs="TimesNewRomanPS-ItalicMT"/>
          <w:i/>
          <w:iCs/>
          <w:sz w:val="20"/>
          <w:szCs w:val="20"/>
        </w:rPr>
        <w:t xml:space="preserve">n </w:t>
      </w:r>
      <w:r>
        <w:rPr>
          <w:rFonts w:ascii="TimesNewRomanPSMT" w:hAnsi="TimesNewRomanPSMT" w:cs="TimesNewRomanPSMT"/>
          <w:sz w:val="20"/>
          <w:szCs w:val="20"/>
        </w:rPr>
        <w:t xml:space="preserve">SS has a value that </w:t>
      </w:r>
      <w:r w:rsidRPr="00CD00D0">
        <w:rPr>
          <w:rFonts w:ascii="TimesNewRomanPSMT" w:hAnsi="TimesNewRomanPSMT" w:cs="TimesNewRomanPSMT"/>
          <w:strike/>
          <w:color w:val="FF0000"/>
          <w:sz w:val="20"/>
          <w:szCs w:val="20"/>
        </w:rPr>
        <w:t>is not equal to 3</w:t>
      </w:r>
      <w:r>
        <w:rPr>
          <w:rFonts w:ascii="TimesNewRomanPSMT" w:hAnsi="TimesNewRomanPSMT" w:cs="TimesNewRomanPSMT"/>
          <w:color w:val="FF0000"/>
          <w:sz w:val="20"/>
          <w:szCs w:val="20"/>
          <w:u w:val="single"/>
        </w:rPr>
        <w:t xml:space="preserve"> indicates support for that MCS (0, 1 or 2 for MCS 0-7, 1 or 2 for MCS 8, 2 for MCS 9)</w:t>
      </w:r>
    </w:p>
    <w:p w:rsidR="00AF03E4" w:rsidRDefault="00AF03E4" w:rsidP="00AF03E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the</w:t>
      </w:r>
      <w:proofErr w:type="gramEnd"/>
      <w:r>
        <w:rPr>
          <w:rFonts w:ascii="TimesNewRomanPSMT" w:hAnsi="TimesNewRomanPSMT" w:cs="TimesNewRomanPSMT"/>
          <w:sz w:val="20"/>
          <w:szCs w:val="20"/>
        </w:rPr>
        <w:t xml:space="preserve"> maximum supported NSS as indicated by the value of the Rx NSS field of the Operation Mode</w:t>
      </w:r>
    </w:p>
    <w:p w:rsidR="00AF03E4" w:rsidRDefault="00AF03E4" w:rsidP="00AF03E4">
      <w:pPr>
        <w:rPr>
          <w:rFonts w:ascii="TimesNewRomanPSMT" w:hAnsi="TimesNewRomanPSMT" w:cs="TimesNewRomanPSMT"/>
          <w:sz w:val="20"/>
          <w:szCs w:val="20"/>
        </w:rPr>
      </w:pPr>
      <w:r>
        <w:rPr>
          <w:rFonts w:ascii="TimesNewRomanPSMT" w:hAnsi="TimesNewRomanPSMT" w:cs="TimesNewRomanPSMT"/>
          <w:sz w:val="20"/>
          <w:szCs w:val="20"/>
        </w:rPr>
        <w:t>Notification frame if the value of RX NSS Type is 0</w:t>
      </w:r>
    </w:p>
    <w:p w:rsidR="00AF03E4" w:rsidRDefault="00AF03E4" w:rsidP="00AF03E4"/>
    <w:p w:rsidR="00AF03E4" w:rsidRPr="00AC7BA3" w:rsidRDefault="00AF03E4" w:rsidP="00AF03E4">
      <w:pPr>
        <w:rPr>
          <w:b/>
          <w:u w:val="single"/>
        </w:rPr>
      </w:pPr>
      <w:r w:rsidRPr="00AC7BA3">
        <w:rPr>
          <w:b/>
          <w:u w:val="single"/>
        </w:rPr>
        <w:t>Proposed resolution</w:t>
      </w:r>
    </w:p>
    <w:p w:rsidR="00AF03E4" w:rsidRDefault="00AF03E4" w:rsidP="00AF03E4">
      <w:r>
        <w:t>Revise</w:t>
      </w:r>
    </w:p>
    <w:p w:rsidR="00AF03E4" w:rsidRDefault="00AF03E4" w:rsidP="00AF03E4">
      <w:pPr>
        <w:pStyle w:val="ListParagraph"/>
        <w:numPr>
          <w:ilvl w:val="0"/>
          <w:numId w:val="18"/>
        </w:numPr>
        <w:spacing w:before="0" w:after="160" w:line="259" w:lineRule="auto"/>
      </w:pPr>
      <w:r>
        <w:t>Change the paragraph on page 1054, line 30 as shown above</w:t>
      </w:r>
    </w:p>
    <w:p w:rsidR="00AF03E4" w:rsidRDefault="00AF03E4" w:rsidP="00AF03E4">
      <w:pPr>
        <w:pStyle w:val="ListParagraph"/>
        <w:numPr>
          <w:ilvl w:val="0"/>
          <w:numId w:val="18"/>
        </w:numPr>
        <w:spacing w:before="0" w:after="160" w:line="259" w:lineRule="auto"/>
      </w:pPr>
      <w:r>
        <w:t>On Page 1053, line 44, change 8.4.2.157.3 to 9.4.2.158.3</w:t>
      </w:r>
    </w:p>
    <w:p w:rsidR="00AF03E4" w:rsidRDefault="00AF03E4" w:rsidP="00AF03E4">
      <w:pPr>
        <w:pStyle w:val="ListParagraph"/>
        <w:numPr>
          <w:ilvl w:val="0"/>
          <w:numId w:val="18"/>
        </w:numPr>
        <w:spacing w:before="0" w:after="160" w:line="259" w:lineRule="auto"/>
      </w:pPr>
      <w:r>
        <w:t>On Page 717, line 25, change 8.4.2.157.3 to 9.4.2.158.3</w:t>
      </w:r>
    </w:p>
    <w:p w:rsidR="00AF03E4" w:rsidRPr="00AF03E4" w:rsidRDefault="00AF03E4" w:rsidP="00AF03E4"/>
    <w:sectPr w:rsidR="00AF03E4" w:rsidRPr="00AF03E4" w:rsidSect="0008588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07" w:rsidRDefault="00391D07" w:rsidP="0035409E">
      <w:pPr>
        <w:spacing w:after="0" w:line="240" w:lineRule="auto"/>
      </w:pPr>
      <w:r>
        <w:separator/>
      </w:r>
    </w:p>
  </w:endnote>
  <w:endnote w:type="continuationSeparator" w:id="0">
    <w:p w:rsidR="00391D07" w:rsidRDefault="00391D07"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07D3">
          <w:rPr>
            <w:noProof/>
          </w:rPr>
          <w:t>3</w:t>
        </w:r>
        <w:r>
          <w:rPr>
            <w:noProof/>
          </w:rPr>
          <w:fldChar w:fldCharType="end"/>
        </w:r>
      </w:sdtContent>
    </w:sdt>
    <w:r>
      <w:rPr>
        <w:noProof/>
      </w:rPr>
      <w:t xml:space="preserve"> </w:t>
    </w:r>
    <w:r>
      <w:ptab w:relativeTo="margin" w:alignment="right" w:leader="none"/>
    </w:r>
    <w:r>
      <w:t xml:space="preserve">Sigurd Schelstraete, </w:t>
    </w:r>
    <w:proofErr w:type="spellStart"/>
    <w:r>
      <w:t>Quantenna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07" w:rsidRDefault="00391D07" w:rsidP="0035409E">
      <w:pPr>
        <w:spacing w:after="0" w:line="240" w:lineRule="auto"/>
      </w:pPr>
      <w:r>
        <w:separator/>
      </w:r>
    </w:p>
  </w:footnote>
  <w:footnote w:type="continuationSeparator" w:id="0">
    <w:p w:rsidR="00391D07" w:rsidRDefault="00391D07"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3D" w:rsidRPr="00B43485" w:rsidRDefault="00B43485"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KEYWORDS  \* MERGEFORMAT </w:instrText>
    </w:r>
    <w:r w:rsidRPr="00B43485">
      <w:rPr>
        <w:rFonts w:ascii="Times New Roman" w:eastAsia="Times New Roman" w:hAnsi="Times New Roman" w:cs="Times New Roman"/>
        <w:b/>
        <w:sz w:val="28"/>
        <w:szCs w:val="20"/>
        <w:lang w:val="en-GB" w:bidi="ar-SA"/>
      </w:rPr>
      <w:fldChar w:fldCharType="separate"/>
    </w:r>
    <w:r w:rsidR="003E57BF">
      <w:rPr>
        <w:rFonts w:ascii="Times New Roman" w:eastAsia="Times New Roman" w:hAnsi="Times New Roman" w:cs="Times New Roman"/>
        <w:b/>
        <w:sz w:val="28"/>
        <w:szCs w:val="20"/>
        <w:lang w:val="en-GB" w:bidi="ar-SA"/>
      </w:rPr>
      <w:t>March</w:t>
    </w:r>
    <w:r w:rsidRPr="00B43485">
      <w:rPr>
        <w:rFonts w:ascii="Times New Roman" w:eastAsia="Times New Roman" w:hAnsi="Times New Roman" w:cs="Times New Roman"/>
        <w:b/>
        <w:sz w:val="28"/>
        <w:szCs w:val="20"/>
        <w:lang w:val="en-GB" w:bidi="ar-SA"/>
      </w:rPr>
      <w:t xml:space="preserve"> 2016</w:t>
    </w:r>
    <w:r w:rsidRPr="00B43485">
      <w:rPr>
        <w:rFonts w:ascii="Times New Roman" w:eastAsia="Times New Roman" w:hAnsi="Times New Roman" w:cs="Times New Roman"/>
        <w:b/>
        <w:sz w:val="28"/>
        <w:szCs w:val="20"/>
        <w:lang w:val="en-GB" w:bidi="ar-SA"/>
      </w:rPr>
      <w:fldChar w:fldCharType="end"/>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TITLE  \* MERGEFORMAT </w:instrText>
    </w:r>
    <w:r w:rsidRPr="00B43485">
      <w:rPr>
        <w:rFonts w:ascii="Times New Roman" w:eastAsia="Times New Roman" w:hAnsi="Times New Roman" w:cs="Times New Roman"/>
        <w:b/>
        <w:sz w:val="28"/>
        <w:szCs w:val="20"/>
        <w:lang w:val="en-GB" w:bidi="ar-SA"/>
      </w:rPr>
      <w:fldChar w:fldCharType="separate"/>
    </w:r>
    <w:r>
      <w:rPr>
        <w:rFonts w:ascii="Times New Roman" w:eastAsia="Times New Roman" w:hAnsi="Times New Roman" w:cs="Times New Roman"/>
        <w:b/>
        <w:sz w:val="28"/>
        <w:szCs w:val="20"/>
        <w:lang w:val="en-GB" w:bidi="ar-SA"/>
      </w:rPr>
      <w:t>doc.: IEEE 802.11-16/</w:t>
    </w:r>
    <w:r w:rsidRPr="00B43485">
      <w:rPr>
        <w:rFonts w:ascii="Times New Roman" w:eastAsia="Times New Roman" w:hAnsi="Times New Roman" w:cs="Times New Roman"/>
        <w:b/>
        <w:sz w:val="28"/>
        <w:szCs w:val="20"/>
        <w:lang w:val="en-GB" w:bidi="ar-SA"/>
      </w:rPr>
      <w:fldChar w:fldCharType="end"/>
    </w:r>
    <w:r w:rsidR="000D07D3">
      <w:rPr>
        <w:rFonts w:ascii="Times New Roman" w:eastAsia="Times New Roman" w:hAnsi="Times New Roman" w:cs="Times New Roman"/>
        <w:b/>
        <w:sz w:val="28"/>
        <w:szCs w:val="20"/>
        <w:lang w:val="en-GB" w:bidi="ar-SA"/>
      </w:rPr>
      <w:t>0410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6"/>
  </w:num>
  <w:num w:numId="5">
    <w:abstractNumId w:val="2"/>
  </w:num>
  <w:num w:numId="6">
    <w:abstractNumId w:val="3"/>
  </w:num>
  <w:num w:numId="7">
    <w:abstractNumId w:val="15"/>
  </w:num>
  <w:num w:numId="8">
    <w:abstractNumId w:val="9"/>
  </w:num>
  <w:num w:numId="9">
    <w:abstractNumId w:val="0"/>
  </w:num>
  <w:num w:numId="10">
    <w:abstractNumId w:val="14"/>
  </w:num>
  <w:num w:numId="11">
    <w:abstractNumId w:val="11"/>
  </w:num>
  <w:num w:numId="12">
    <w:abstractNumId w:val="17"/>
  </w:num>
  <w:num w:numId="13">
    <w:abstractNumId w:val="1"/>
  </w:num>
  <w:num w:numId="14">
    <w:abstractNumId w:val="6"/>
  </w:num>
  <w:num w:numId="15">
    <w:abstractNumId w:val="7"/>
  </w:num>
  <w:num w:numId="16">
    <w:abstractNumId w:val="12"/>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80"/>
    <w:rsid w:val="0000477D"/>
    <w:rsid w:val="00004BCB"/>
    <w:rsid w:val="00006478"/>
    <w:rsid w:val="00015323"/>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55F1"/>
    <w:rsid w:val="001D2A9C"/>
    <w:rsid w:val="001D7B7F"/>
    <w:rsid w:val="001E40B9"/>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A2327"/>
    <w:rsid w:val="002A4536"/>
    <w:rsid w:val="002B2ED2"/>
    <w:rsid w:val="002B6639"/>
    <w:rsid w:val="002C58BE"/>
    <w:rsid w:val="002C68E8"/>
    <w:rsid w:val="002C6943"/>
    <w:rsid w:val="002D602E"/>
    <w:rsid w:val="002E14F4"/>
    <w:rsid w:val="002E20BD"/>
    <w:rsid w:val="002E55B8"/>
    <w:rsid w:val="002F0734"/>
    <w:rsid w:val="002F0EFB"/>
    <w:rsid w:val="002F6D5F"/>
    <w:rsid w:val="00316F36"/>
    <w:rsid w:val="00344E71"/>
    <w:rsid w:val="0035409E"/>
    <w:rsid w:val="00354C2F"/>
    <w:rsid w:val="00363B59"/>
    <w:rsid w:val="0038282B"/>
    <w:rsid w:val="00387F4C"/>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31BB7"/>
    <w:rsid w:val="00442CBC"/>
    <w:rsid w:val="00461DD5"/>
    <w:rsid w:val="00465843"/>
    <w:rsid w:val="00470BF7"/>
    <w:rsid w:val="00471186"/>
    <w:rsid w:val="00480F1D"/>
    <w:rsid w:val="00483FA2"/>
    <w:rsid w:val="00485E58"/>
    <w:rsid w:val="00487F26"/>
    <w:rsid w:val="00494CAB"/>
    <w:rsid w:val="00495F20"/>
    <w:rsid w:val="004A09A5"/>
    <w:rsid w:val="004C5CDC"/>
    <w:rsid w:val="004D001E"/>
    <w:rsid w:val="004D6147"/>
    <w:rsid w:val="004D6DE3"/>
    <w:rsid w:val="004F7294"/>
    <w:rsid w:val="005052A0"/>
    <w:rsid w:val="00516713"/>
    <w:rsid w:val="0051758F"/>
    <w:rsid w:val="0052327F"/>
    <w:rsid w:val="005251EA"/>
    <w:rsid w:val="00540C15"/>
    <w:rsid w:val="00553CD5"/>
    <w:rsid w:val="00561034"/>
    <w:rsid w:val="0056228C"/>
    <w:rsid w:val="005805F0"/>
    <w:rsid w:val="00584D1D"/>
    <w:rsid w:val="00585180"/>
    <w:rsid w:val="00595939"/>
    <w:rsid w:val="005A1B18"/>
    <w:rsid w:val="005A685B"/>
    <w:rsid w:val="005B559B"/>
    <w:rsid w:val="005B76EB"/>
    <w:rsid w:val="005C6CF8"/>
    <w:rsid w:val="005E33D0"/>
    <w:rsid w:val="00613359"/>
    <w:rsid w:val="00615044"/>
    <w:rsid w:val="00615333"/>
    <w:rsid w:val="00623744"/>
    <w:rsid w:val="006241EC"/>
    <w:rsid w:val="00651DA4"/>
    <w:rsid w:val="00653DE4"/>
    <w:rsid w:val="006551E5"/>
    <w:rsid w:val="00680F41"/>
    <w:rsid w:val="00690216"/>
    <w:rsid w:val="00693F0D"/>
    <w:rsid w:val="006B08BC"/>
    <w:rsid w:val="006B244C"/>
    <w:rsid w:val="006B4CFE"/>
    <w:rsid w:val="006B52A0"/>
    <w:rsid w:val="006B607E"/>
    <w:rsid w:val="006C7FFC"/>
    <w:rsid w:val="006D5E78"/>
    <w:rsid w:val="006E0FB0"/>
    <w:rsid w:val="006E28BD"/>
    <w:rsid w:val="007144CC"/>
    <w:rsid w:val="00722983"/>
    <w:rsid w:val="00725E78"/>
    <w:rsid w:val="007334CE"/>
    <w:rsid w:val="00733B3B"/>
    <w:rsid w:val="00742851"/>
    <w:rsid w:val="00750576"/>
    <w:rsid w:val="0075205E"/>
    <w:rsid w:val="00782609"/>
    <w:rsid w:val="007A014F"/>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3A74"/>
    <w:rsid w:val="00861400"/>
    <w:rsid w:val="00865AA8"/>
    <w:rsid w:val="00871D10"/>
    <w:rsid w:val="0088551B"/>
    <w:rsid w:val="008A1568"/>
    <w:rsid w:val="008B51BB"/>
    <w:rsid w:val="008D60AC"/>
    <w:rsid w:val="008E63F6"/>
    <w:rsid w:val="008F2A6F"/>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356E3"/>
    <w:rsid w:val="00A44B09"/>
    <w:rsid w:val="00A5607F"/>
    <w:rsid w:val="00A57928"/>
    <w:rsid w:val="00A73EE2"/>
    <w:rsid w:val="00A75D71"/>
    <w:rsid w:val="00A768D8"/>
    <w:rsid w:val="00A84758"/>
    <w:rsid w:val="00A85FE1"/>
    <w:rsid w:val="00AA24A3"/>
    <w:rsid w:val="00AB6601"/>
    <w:rsid w:val="00AC03E9"/>
    <w:rsid w:val="00AC420D"/>
    <w:rsid w:val="00AC7BA3"/>
    <w:rsid w:val="00AE249D"/>
    <w:rsid w:val="00AF03E4"/>
    <w:rsid w:val="00AF20A6"/>
    <w:rsid w:val="00B013CA"/>
    <w:rsid w:val="00B21E3F"/>
    <w:rsid w:val="00B30266"/>
    <w:rsid w:val="00B31CF1"/>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92FBB"/>
    <w:rsid w:val="00DB251A"/>
    <w:rsid w:val="00DB4A67"/>
    <w:rsid w:val="00DE78F2"/>
    <w:rsid w:val="00DE7CF7"/>
    <w:rsid w:val="00E05C77"/>
    <w:rsid w:val="00E061F9"/>
    <w:rsid w:val="00E12F1C"/>
    <w:rsid w:val="00E335E2"/>
    <w:rsid w:val="00E411AD"/>
    <w:rsid w:val="00E42D09"/>
    <w:rsid w:val="00E562BB"/>
    <w:rsid w:val="00E61CD7"/>
    <w:rsid w:val="00E63434"/>
    <w:rsid w:val="00E71EB6"/>
    <w:rsid w:val="00E73BDA"/>
    <w:rsid w:val="00E77022"/>
    <w:rsid w:val="00E81246"/>
    <w:rsid w:val="00E92289"/>
    <w:rsid w:val="00EB2DF9"/>
    <w:rsid w:val="00EC306E"/>
    <w:rsid w:val="00EC526D"/>
    <w:rsid w:val="00EE2CCF"/>
    <w:rsid w:val="00F026D3"/>
    <w:rsid w:val="00F0393D"/>
    <w:rsid w:val="00F10979"/>
    <w:rsid w:val="00F122EC"/>
    <w:rsid w:val="00F4195C"/>
    <w:rsid w:val="00F506E7"/>
    <w:rsid w:val="00F633A3"/>
    <w:rsid w:val="00F66727"/>
    <w:rsid w:val="00F70F9B"/>
    <w:rsid w:val="00F71256"/>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5A0E3-28A1-438D-98BE-03F55E7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C28F-BB06-4C96-A29C-BA4DD180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1</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3</cp:revision>
  <dcterms:created xsi:type="dcterms:W3CDTF">2016-03-14T03:46:00Z</dcterms:created>
  <dcterms:modified xsi:type="dcterms:W3CDTF">2016-03-14T03:46:00Z</dcterms:modified>
</cp:coreProperties>
</file>