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C5043A1" w:rsidR="00CA09B2" w:rsidRDefault="009C6869" w:rsidP="00F734D3">
            <w:pPr>
              <w:pStyle w:val="T2"/>
            </w:pPr>
            <w:bookmarkStart w:id="0" w:name="_GoBack"/>
            <w:r>
              <w:t xml:space="preserve">Resolution </w:t>
            </w:r>
            <w:r w:rsidR="009B1728">
              <w:t xml:space="preserve">for </w:t>
            </w:r>
            <w:r w:rsidR="00BC5BC9">
              <w:t>CID</w:t>
            </w:r>
            <w:r w:rsidR="006049E8">
              <w:t>s</w:t>
            </w:r>
            <w:r w:rsidR="00BC5BC9">
              <w:t xml:space="preserve"> </w:t>
            </w:r>
            <w:r w:rsidR="00990046">
              <w:t>7278, 7280, 7281</w:t>
            </w:r>
            <w:r w:rsidR="00F734D3">
              <w:t xml:space="preserve"> to 7290</w:t>
            </w:r>
            <w:bookmarkEnd w:id="0"/>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r w:rsidR="006454A3" w:rsidRPr="00066DE4" w14:paraId="4EA7E529" w14:textId="77777777" w:rsidTr="009C6869">
        <w:trPr>
          <w:jc w:val="center"/>
        </w:trPr>
        <w:tc>
          <w:tcPr>
            <w:tcW w:w="1668" w:type="dxa"/>
            <w:vAlign w:val="center"/>
          </w:tcPr>
          <w:p w14:paraId="22CEC9EF" w14:textId="1A0F27DE" w:rsidR="006454A3" w:rsidRPr="00A0482F" w:rsidRDefault="006454A3" w:rsidP="00894852">
            <w:pPr>
              <w:pStyle w:val="T2"/>
              <w:spacing w:after="0"/>
              <w:ind w:left="0" w:right="0"/>
              <w:rPr>
                <w:b w:val="0"/>
                <w:sz w:val="20"/>
              </w:rPr>
            </w:pPr>
            <w:r>
              <w:rPr>
                <w:b w:val="0"/>
                <w:sz w:val="20"/>
              </w:rPr>
              <w:t>Mark Rison</w:t>
            </w:r>
          </w:p>
        </w:tc>
        <w:tc>
          <w:tcPr>
            <w:tcW w:w="2126" w:type="dxa"/>
            <w:vAlign w:val="center"/>
          </w:tcPr>
          <w:p w14:paraId="7225A745" w14:textId="52793E8C" w:rsidR="006454A3" w:rsidRPr="00A0482F" w:rsidRDefault="006454A3" w:rsidP="00894852">
            <w:pPr>
              <w:pStyle w:val="T2"/>
              <w:spacing w:after="0"/>
              <w:ind w:left="0" w:right="0"/>
              <w:rPr>
                <w:b w:val="0"/>
                <w:sz w:val="20"/>
              </w:rPr>
            </w:pPr>
            <w:r>
              <w:rPr>
                <w:b w:val="0"/>
                <w:sz w:val="20"/>
              </w:rPr>
              <w:t>Samsung</w:t>
            </w:r>
          </w:p>
        </w:tc>
        <w:tc>
          <w:tcPr>
            <w:tcW w:w="2420" w:type="dxa"/>
            <w:vAlign w:val="center"/>
          </w:tcPr>
          <w:p w14:paraId="298EECEA" w14:textId="77777777" w:rsidR="006454A3" w:rsidRPr="00A0482F" w:rsidRDefault="006454A3" w:rsidP="00894852">
            <w:pPr>
              <w:pStyle w:val="T2"/>
              <w:spacing w:after="0"/>
              <w:ind w:left="0" w:right="0"/>
              <w:rPr>
                <w:b w:val="0"/>
                <w:sz w:val="20"/>
              </w:rPr>
            </w:pPr>
          </w:p>
        </w:tc>
        <w:tc>
          <w:tcPr>
            <w:tcW w:w="1715" w:type="dxa"/>
            <w:vAlign w:val="center"/>
          </w:tcPr>
          <w:p w14:paraId="6B23A798" w14:textId="77777777" w:rsidR="006454A3" w:rsidRPr="00A0482F" w:rsidRDefault="006454A3" w:rsidP="00894852">
            <w:pPr>
              <w:pStyle w:val="T2"/>
              <w:spacing w:after="0"/>
              <w:ind w:left="0" w:right="0"/>
              <w:rPr>
                <w:b w:val="0"/>
                <w:sz w:val="20"/>
              </w:rPr>
            </w:pPr>
          </w:p>
        </w:tc>
        <w:tc>
          <w:tcPr>
            <w:tcW w:w="1647" w:type="dxa"/>
            <w:vAlign w:val="center"/>
          </w:tcPr>
          <w:p w14:paraId="51E16336" w14:textId="77777777" w:rsidR="006454A3" w:rsidRPr="00A0482F" w:rsidRDefault="006454A3" w:rsidP="00894852">
            <w:pPr>
              <w:pStyle w:val="T2"/>
              <w:spacing w:after="0"/>
              <w:ind w:left="0" w:right="0"/>
              <w:rPr>
                <w:b w:val="0"/>
                <w:sz w:val="16"/>
              </w:rPr>
            </w:pP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602CCE" w:rsidRDefault="00602CCE">
                            <w:pPr>
                              <w:pStyle w:val="T1"/>
                              <w:spacing w:after="120"/>
                            </w:pPr>
                            <w:r>
                              <w:t>Abstract</w:t>
                            </w:r>
                          </w:p>
                          <w:p w14:paraId="0425380D" w14:textId="35363B5B" w:rsidR="00602CCE" w:rsidRDefault="00602CCE" w:rsidP="00990046">
                            <w:r>
                              <w:t>This submission proposes resolution for CID 7278, 7280, 7281 to 7290</w:t>
                            </w:r>
                          </w:p>
                          <w:p w14:paraId="792E16FD" w14:textId="77777777" w:rsidR="00602CCE" w:rsidRDefault="00602CCE" w:rsidP="006832AA">
                            <w:pPr>
                              <w:jc w:val="both"/>
                            </w:pPr>
                            <w:r w:rsidRPr="007E75AC">
                              <w:rPr>
                                <w:highlight w:val="green"/>
                              </w:rPr>
                              <w:t>Green</w:t>
                            </w:r>
                            <w:r>
                              <w:t xml:space="preserve"> indicates material agreed to in the group, </w:t>
                            </w:r>
                          </w:p>
                          <w:p w14:paraId="2199A832" w14:textId="77777777" w:rsidR="00602CCE" w:rsidRPr="00A0482F" w:rsidRDefault="00602CCE"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602CCE" w:rsidRDefault="00602CCE" w:rsidP="006832AA">
                            <w:pPr>
                              <w:jc w:val="both"/>
                            </w:pPr>
                            <w:proofErr w:type="gramStart"/>
                            <w:r w:rsidRPr="00066DE4">
                              <w:rPr>
                                <w:highlight w:val="cyan"/>
                              </w:rPr>
                              <w:t>cyan</w:t>
                            </w:r>
                            <w:proofErr w:type="gramEnd"/>
                            <w:r>
                              <w:t xml:space="preserve"> material not to be overlooked.  </w:t>
                            </w:r>
                          </w:p>
                          <w:p w14:paraId="3A97AE21" w14:textId="77777777" w:rsidR="00602CCE" w:rsidRDefault="00602CCE" w:rsidP="006832AA">
                            <w:pPr>
                              <w:jc w:val="both"/>
                            </w:pPr>
                          </w:p>
                          <w:p w14:paraId="722F1938" w14:textId="77777777" w:rsidR="00602CCE" w:rsidRDefault="00602CCE" w:rsidP="006832AA">
                            <w:pPr>
                              <w:jc w:val="both"/>
                            </w:pPr>
                            <w:r>
                              <w:t>The “Final” view should be selected in Word.</w:t>
                            </w:r>
                          </w:p>
                          <w:p w14:paraId="3273BE81" w14:textId="77777777" w:rsidR="00602CCE" w:rsidRDefault="00602CCE" w:rsidP="006832AA">
                            <w:pPr>
                              <w:jc w:val="both"/>
                            </w:pPr>
                          </w:p>
                          <w:p w14:paraId="678CF126" w14:textId="6F414FE0" w:rsidR="00602CCE" w:rsidRDefault="00602CCE" w:rsidP="006832AA">
                            <w:pPr>
                              <w:jc w:val="both"/>
                            </w:pPr>
                            <w:r>
                              <w:t xml:space="preserve">7278 and 7280 were </w:t>
                            </w:r>
                            <w:proofErr w:type="spellStart"/>
                            <w:r>
                              <w:t>ariginally</w:t>
                            </w:r>
                            <w:proofErr w:type="spellEnd"/>
                            <w:r>
                              <w:t xml:space="preserve"> included in 16/0237.  </w:t>
                            </w:r>
                          </w:p>
                          <w:p w14:paraId="1EBDD14E" w14:textId="77777777" w:rsidR="00206CCC" w:rsidRDefault="00206CCC" w:rsidP="006832AA">
                            <w:pPr>
                              <w:jc w:val="both"/>
                            </w:pPr>
                          </w:p>
                          <w:p w14:paraId="73136198" w14:textId="0899EF08" w:rsidR="00206CCC" w:rsidRDefault="00206CCC" w:rsidP="006832AA">
                            <w:pPr>
                              <w:jc w:val="both"/>
                            </w:pPr>
                            <w:proofErr w:type="gramStart"/>
                            <w:r>
                              <w:t>Captured the original thinking and then a fuller proposal from Mark.</w:t>
                            </w:r>
                            <w:proofErr w:type="gramEnd"/>
                            <w:r>
                              <w:t xml:space="preserve">  </w:t>
                            </w:r>
                          </w:p>
                          <w:p w14:paraId="2C7110B0" w14:textId="77777777" w:rsidR="00206CCC" w:rsidRDefault="00206CCC" w:rsidP="006832AA">
                            <w:pPr>
                              <w:jc w:val="both"/>
                            </w:pPr>
                          </w:p>
                          <w:p w14:paraId="1473B723" w14:textId="36457A27" w:rsidR="00206CCC" w:rsidRDefault="00206CCC" w:rsidP="006832AA">
                            <w:pPr>
                              <w:jc w:val="both"/>
                            </w:pPr>
                            <w:proofErr w:type="gramStart"/>
                            <w:r w:rsidRPr="00206CCC">
                              <w:rPr>
                                <w:b/>
                                <w:bCs/>
                                <w:u w:val="single"/>
                              </w:rPr>
                              <w:t>Can start discussion at Page 10</w:t>
                            </w:r>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602CCE" w:rsidRDefault="00602CCE">
                      <w:pPr>
                        <w:pStyle w:val="T1"/>
                        <w:spacing w:after="120"/>
                      </w:pPr>
                      <w:r>
                        <w:t>Abstract</w:t>
                      </w:r>
                    </w:p>
                    <w:p w14:paraId="0425380D" w14:textId="35363B5B" w:rsidR="00602CCE" w:rsidRDefault="00602CCE" w:rsidP="00990046">
                      <w:r>
                        <w:t>This submission proposes resolution for CID 7278, 7280, 7281 to 7290</w:t>
                      </w:r>
                    </w:p>
                    <w:p w14:paraId="792E16FD" w14:textId="77777777" w:rsidR="00602CCE" w:rsidRDefault="00602CCE" w:rsidP="006832AA">
                      <w:pPr>
                        <w:jc w:val="both"/>
                      </w:pPr>
                      <w:r w:rsidRPr="007E75AC">
                        <w:rPr>
                          <w:highlight w:val="green"/>
                        </w:rPr>
                        <w:t>Green</w:t>
                      </w:r>
                      <w:r>
                        <w:t xml:space="preserve"> indicates material agreed to in the group, </w:t>
                      </w:r>
                    </w:p>
                    <w:p w14:paraId="2199A832" w14:textId="77777777" w:rsidR="00602CCE" w:rsidRPr="00A0482F" w:rsidRDefault="00602CCE"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602CCE" w:rsidRDefault="00602CCE" w:rsidP="006832AA">
                      <w:pPr>
                        <w:jc w:val="both"/>
                      </w:pPr>
                      <w:proofErr w:type="gramStart"/>
                      <w:r w:rsidRPr="00066DE4">
                        <w:rPr>
                          <w:highlight w:val="cyan"/>
                        </w:rPr>
                        <w:t>cyan</w:t>
                      </w:r>
                      <w:proofErr w:type="gramEnd"/>
                      <w:r>
                        <w:t xml:space="preserve"> material not to be overlooked.  </w:t>
                      </w:r>
                    </w:p>
                    <w:p w14:paraId="3A97AE21" w14:textId="77777777" w:rsidR="00602CCE" w:rsidRDefault="00602CCE" w:rsidP="006832AA">
                      <w:pPr>
                        <w:jc w:val="both"/>
                      </w:pPr>
                    </w:p>
                    <w:p w14:paraId="722F1938" w14:textId="77777777" w:rsidR="00602CCE" w:rsidRDefault="00602CCE" w:rsidP="006832AA">
                      <w:pPr>
                        <w:jc w:val="both"/>
                      </w:pPr>
                      <w:r>
                        <w:t>The “Final” view should be selected in Word.</w:t>
                      </w:r>
                    </w:p>
                    <w:p w14:paraId="3273BE81" w14:textId="77777777" w:rsidR="00602CCE" w:rsidRDefault="00602CCE" w:rsidP="006832AA">
                      <w:pPr>
                        <w:jc w:val="both"/>
                      </w:pPr>
                    </w:p>
                    <w:p w14:paraId="678CF126" w14:textId="6F414FE0" w:rsidR="00602CCE" w:rsidRDefault="00602CCE" w:rsidP="006832AA">
                      <w:pPr>
                        <w:jc w:val="both"/>
                      </w:pPr>
                      <w:r>
                        <w:t xml:space="preserve">7278 and 7280 were </w:t>
                      </w:r>
                      <w:proofErr w:type="spellStart"/>
                      <w:r>
                        <w:t>ariginally</w:t>
                      </w:r>
                      <w:proofErr w:type="spellEnd"/>
                      <w:r>
                        <w:t xml:space="preserve"> included in 16/0237.  </w:t>
                      </w:r>
                    </w:p>
                    <w:p w14:paraId="1EBDD14E" w14:textId="77777777" w:rsidR="00206CCC" w:rsidRDefault="00206CCC" w:rsidP="006832AA">
                      <w:pPr>
                        <w:jc w:val="both"/>
                      </w:pPr>
                    </w:p>
                    <w:p w14:paraId="73136198" w14:textId="0899EF08" w:rsidR="00206CCC" w:rsidRDefault="00206CCC" w:rsidP="006832AA">
                      <w:pPr>
                        <w:jc w:val="both"/>
                      </w:pPr>
                      <w:proofErr w:type="gramStart"/>
                      <w:r>
                        <w:t>Captured the original thinking and then a fuller proposal from Mark.</w:t>
                      </w:r>
                      <w:proofErr w:type="gramEnd"/>
                      <w:r>
                        <w:t xml:space="preserve">  </w:t>
                      </w:r>
                    </w:p>
                    <w:p w14:paraId="2C7110B0" w14:textId="77777777" w:rsidR="00206CCC" w:rsidRDefault="00206CCC" w:rsidP="006832AA">
                      <w:pPr>
                        <w:jc w:val="both"/>
                      </w:pPr>
                    </w:p>
                    <w:p w14:paraId="1473B723" w14:textId="36457A27" w:rsidR="00206CCC" w:rsidRDefault="00206CCC" w:rsidP="006832AA">
                      <w:pPr>
                        <w:jc w:val="both"/>
                      </w:pPr>
                      <w:proofErr w:type="gramStart"/>
                      <w:r w:rsidRPr="00206CCC">
                        <w:rPr>
                          <w:b/>
                          <w:bCs/>
                          <w:u w:val="single"/>
                        </w:rPr>
                        <w:t>Can start discussion at Page 10</w:t>
                      </w:r>
                      <w:r>
                        <w:t>.</w:t>
                      </w:r>
                      <w:proofErr w:type="gramEnd"/>
                    </w:p>
                  </w:txbxContent>
                </v:textbox>
              </v:shape>
            </w:pict>
          </mc:Fallback>
        </mc:AlternateContent>
      </w:r>
    </w:p>
    <w:p w14:paraId="541E20A5" w14:textId="77777777" w:rsidR="00CA09B2" w:rsidRDefault="00CA09B2">
      <w:r>
        <w:br w:type="page"/>
      </w:r>
    </w:p>
    <w:p w14:paraId="6386C650" w14:textId="18EE9037" w:rsidR="00EF0763" w:rsidRDefault="00EF0763">
      <w:pPr>
        <w:rPr>
          <w:b/>
          <w:sz w:val="24"/>
          <w:szCs w:val="24"/>
        </w:rPr>
      </w:pPr>
    </w:p>
    <w:tbl>
      <w:tblPr>
        <w:tblStyle w:val="TableGrid"/>
        <w:tblW w:w="0" w:type="auto"/>
        <w:tblLook w:val="04A0" w:firstRow="1" w:lastRow="0" w:firstColumn="1" w:lastColumn="0" w:noHBand="0" w:noVBand="1"/>
      </w:tblPr>
      <w:tblGrid>
        <w:gridCol w:w="1809"/>
        <w:gridCol w:w="4383"/>
        <w:gridCol w:w="3384"/>
      </w:tblGrid>
      <w:tr w:rsidR="00C31BED" w14:paraId="53087BC5" w14:textId="77777777" w:rsidTr="00C31BED">
        <w:tc>
          <w:tcPr>
            <w:tcW w:w="1809" w:type="dxa"/>
          </w:tcPr>
          <w:p w14:paraId="55D01C01" w14:textId="77777777" w:rsidR="00C31BED" w:rsidRDefault="00C31BED" w:rsidP="00C31BED">
            <w:r>
              <w:t>Identifiers</w:t>
            </w:r>
          </w:p>
        </w:tc>
        <w:tc>
          <w:tcPr>
            <w:tcW w:w="4383" w:type="dxa"/>
          </w:tcPr>
          <w:p w14:paraId="2BCF387E" w14:textId="77777777" w:rsidR="00C31BED" w:rsidRDefault="00C31BED" w:rsidP="00C31BED">
            <w:r>
              <w:t>Comment</w:t>
            </w:r>
          </w:p>
        </w:tc>
        <w:tc>
          <w:tcPr>
            <w:tcW w:w="3384" w:type="dxa"/>
          </w:tcPr>
          <w:p w14:paraId="47B7035A" w14:textId="77777777" w:rsidR="00C31BED" w:rsidRDefault="00C31BED" w:rsidP="00C31BED">
            <w:r>
              <w:t>Proposed change</w:t>
            </w:r>
          </w:p>
        </w:tc>
      </w:tr>
      <w:tr w:rsidR="00C31BED" w14:paraId="10987BEA" w14:textId="77777777" w:rsidTr="00C31BED">
        <w:tc>
          <w:tcPr>
            <w:tcW w:w="1809" w:type="dxa"/>
          </w:tcPr>
          <w:p w14:paraId="078119E0" w14:textId="5576BC84" w:rsidR="00C31BED" w:rsidRDefault="00C31BED" w:rsidP="00C31BED">
            <w:r>
              <w:t>CID 7278</w:t>
            </w:r>
          </w:p>
          <w:p w14:paraId="7ECA49AA" w14:textId="77777777" w:rsidR="00C31BED" w:rsidRDefault="00C31BED" w:rsidP="00C31BED">
            <w:r>
              <w:t>Mark Rison</w:t>
            </w:r>
          </w:p>
          <w:p w14:paraId="472AF655" w14:textId="563907AC" w:rsidR="00C31BED" w:rsidRDefault="00C31BED" w:rsidP="00C31BED">
            <w:r>
              <w:t>144.01</w:t>
            </w:r>
          </w:p>
          <w:p w14:paraId="3178EDCE" w14:textId="77777777" w:rsidR="00C31BED" w:rsidRDefault="00C31BED" w:rsidP="00C31BED"/>
        </w:tc>
        <w:tc>
          <w:tcPr>
            <w:tcW w:w="4383" w:type="dxa"/>
          </w:tcPr>
          <w:p w14:paraId="6C510E55" w14:textId="77777777" w:rsidR="00C31BED" w:rsidRDefault="00C31BED" w:rsidP="00C31BED">
            <w:pPr>
              <w:rPr>
                <w:rFonts w:ascii="Arial" w:hAnsi="Arial" w:cs="Arial"/>
                <w:sz w:val="20"/>
              </w:rPr>
            </w:pPr>
            <w:r>
              <w:rPr>
                <w:rFonts w:ascii="Arial" w:hAnsi="Arial" w:cs="Arial"/>
                <w:sz w:val="20"/>
              </w:rPr>
              <w:t xml:space="preserve">In Clause 6, when an </w:t>
            </w:r>
            <w:proofErr w:type="spellStart"/>
            <w:r>
              <w:rPr>
                <w:rFonts w:ascii="Arial" w:hAnsi="Arial" w:cs="Arial"/>
                <w:sz w:val="20"/>
              </w:rPr>
              <w:t>OperationalRateSet</w:t>
            </w:r>
            <w:proofErr w:type="spellEnd"/>
            <w:r>
              <w:rPr>
                <w:rFonts w:ascii="Arial" w:hAnsi="Arial" w:cs="Arial"/>
                <w:sz w:val="20"/>
              </w:rPr>
              <w:t xml:space="preserve"> is passed down in MLME-JOIN/</w:t>
            </w:r>
            <w:proofErr w:type="spellStart"/>
            <w:r>
              <w:rPr>
                <w:rFonts w:ascii="Arial" w:hAnsi="Arial" w:cs="Arial"/>
                <w:sz w:val="20"/>
              </w:rPr>
              <w:t>START.request</w:t>
            </w:r>
            <w:proofErr w:type="spellEnd"/>
            <w:r>
              <w:rPr>
                <w:rFonts w:ascii="Arial" w:hAnsi="Arial" w:cs="Arial"/>
                <w:sz w:val="20"/>
              </w:rPr>
              <w:t>, it can't include rates not in  dot11SupportedDataRatesRxTable</w:t>
            </w:r>
          </w:p>
          <w:p w14:paraId="64A360CD" w14:textId="77777777" w:rsidR="00C31BED" w:rsidRPr="00B5334C" w:rsidRDefault="00C31BED" w:rsidP="00C31BED"/>
        </w:tc>
        <w:tc>
          <w:tcPr>
            <w:tcW w:w="3384" w:type="dxa"/>
          </w:tcPr>
          <w:p w14:paraId="4AD759C1" w14:textId="77777777" w:rsidR="00C31BED" w:rsidRDefault="00C31BED" w:rsidP="00C31BED">
            <w:pPr>
              <w:rPr>
                <w:rFonts w:ascii="Arial" w:hAnsi="Arial" w:cs="Arial"/>
                <w:sz w:val="20"/>
              </w:rPr>
            </w:pPr>
            <w:r>
              <w:rPr>
                <w:rFonts w:ascii="Arial" w:hAnsi="Arial" w:cs="Arial"/>
                <w:sz w:val="20"/>
              </w:rPr>
              <w:t>Add this caveat to the "Valid range" cell (where it currently says 1-127).  Make a similar statement about HT-MCS and VHT-</w:t>
            </w:r>
            <w:proofErr w:type="spellStart"/>
            <w:r>
              <w:rPr>
                <w:rFonts w:ascii="Arial" w:hAnsi="Arial" w:cs="Arial"/>
                <w:sz w:val="20"/>
              </w:rPr>
              <w:t>MCSes</w:t>
            </w:r>
            <w:proofErr w:type="spellEnd"/>
          </w:p>
          <w:p w14:paraId="35296871" w14:textId="77777777" w:rsidR="00C31BED" w:rsidRPr="00B5334C" w:rsidRDefault="00C31BED" w:rsidP="00C31BED"/>
        </w:tc>
      </w:tr>
    </w:tbl>
    <w:p w14:paraId="44D670B6" w14:textId="77777777" w:rsidR="00C31BED" w:rsidRDefault="00C31BED" w:rsidP="00C31BED"/>
    <w:tbl>
      <w:tblPr>
        <w:tblStyle w:val="TableGrid"/>
        <w:tblW w:w="0" w:type="auto"/>
        <w:tblLook w:val="04A0" w:firstRow="1" w:lastRow="0" w:firstColumn="1" w:lastColumn="0" w:noHBand="0" w:noVBand="1"/>
      </w:tblPr>
      <w:tblGrid>
        <w:gridCol w:w="1809"/>
        <w:gridCol w:w="4383"/>
        <w:gridCol w:w="3384"/>
      </w:tblGrid>
      <w:tr w:rsidR="003533B4" w14:paraId="6383E25E" w14:textId="77777777" w:rsidTr="00483A45">
        <w:tc>
          <w:tcPr>
            <w:tcW w:w="1809" w:type="dxa"/>
          </w:tcPr>
          <w:p w14:paraId="4457A1EB" w14:textId="77777777" w:rsidR="003533B4" w:rsidRDefault="003533B4" w:rsidP="00483A45">
            <w:r>
              <w:t>Identifiers</w:t>
            </w:r>
          </w:p>
        </w:tc>
        <w:tc>
          <w:tcPr>
            <w:tcW w:w="4383" w:type="dxa"/>
          </w:tcPr>
          <w:p w14:paraId="70EB970D" w14:textId="77777777" w:rsidR="003533B4" w:rsidRDefault="003533B4" w:rsidP="00483A45">
            <w:r>
              <w:t>Comment</w:t>
            </w:r>
          </w:p>
        </w:tc>
        <w:tc>
          <w:tcPr>
            <w:tcW w:w="3384" w:type="dxa"/>
          </w:tcPr>
          <w:p w14:paraId="190EB008" w14:textId="77777777" w:rsidR="003533B4" w:rsidRDefault="003533B4" w:rsidP="00483A45">
            <w:r>
              <w:t>Proposed change</w:t>
            </w:r>
          </w:p>
        </w:tc>
      </w:tr>
      <w:tr w:rsidR="003533B4" w14:paraId="2A7FBFE3" w14:textId="77777777" w:rsidTr="00483A45">
        <w:tc>
          <w:tcPr>
            <w:tcW w:w="1809" w:type="dxa"/>
          </w:tcPr>
          <w:p w14:paraId="55902A95" w14:textId="77777777" w:rsidR="003533B4" w:rsidRDefault="003533B4" w:rsidP="00483A45">
            <w:r>
              <w:t>CID 7280</w:t>
            </w:r>
          </w:p>
          <w:p w14:paraId="16BE6854" w14:textId="77777777" w:rsidR="003533B4" w:rsidRDefault="003533B4" w:rsidP="00483A45">
            <w:r>
              <w:t>Mark Rison</w:t>
            </w:r>
          </w:p>
          <w:p w14:paraId="21B51BF6" w14:textId="77777777" w:rsidR="003533B4" w:rsidRDefault="003533B4" w:rsidP="00483A45">
            <w:r>
              <w:t>6.3.11.2.2</w:t>
            </w:r>
          </w:p>
          <w:p w14:paraId="3BFE5DBF" w14:textId="77777777" w:rsidR="003533B4" w:rsidRDefault="003533B4" w:rsidP="00483A45">
            <w:r>
              <w:t>201.52</w:t>
            </w:r>
          </w:p>
          <w:p w14:paraId="285F36C3" w14:textId="77777777" w:rsidR="003533B4" w:rsidRDefault="003533B4" w:rsidP="00483A45"/>
        </w:tc>
        <w:tc>
          <w:tcPr>
            <w:tcW w:w="4383" w:type="dxa"/>
          </w:tcPr>
          <w:p w14:paraId="67C4B087" w14:textId="77777777" w:rsidR="003533B4" w:rsidRDefault="003533B4" w:rsidP="00483A45">
            <w:pPr>
              <w:rPr>
                <w:rFonts w:ascii="Arial" w:hAnsi="Arial" w:cs="Arial"/>
                <w:sz w:val="20"/>
              </w:rPr>
            </w:pPr>
            <w:r>
              <w:rPr>
                <w:rFonts w:ascii="Arial" w:hAnsi="Arial" w:cs="Arial"/>
                <w:sz w:val="20"/>
              </w:rPr>
              <w:t xml:space="preserve">The </w:t>
            </w:r>
            <w:proofErr w:type="spellStart"/>
            <w:r>
              <w:rPr>
                <w:rFonts w:ascii="Arial" w:hAnsi="Arial" w:cs="Arial"/>
                <w:sz w:val="20"/>
              </w:rPr>
              <w:t>BSSBasicRateSet</w:t>
            </w:r>
            <w:proofErr w:type="spellEnd"/>
            <w:r>
              <w:rPr>
                <w:rFonts w:ascii="Arial" w:hAnsi="Arial" w:cs="Arial"/>
                <w:sz w:val="20"/>
              </w:rPr>
              <w:t xml:space="preserve"> can't include rates not in  both dot11SupportedDataRatesRxTable and dot11SupportedDataRatesTxTable</w:t>
            </w:r>
          </w:p>
          <w:p w14:paraId="7FB51523" w14:textId="77777777" w:rsidR="003533B4" w:rsidRPr="00B5334C" w:rsidRDefault="003533B4" w:rsidP="00483A45"/>
        </w:tc>
        <w:tc>
          <w:tcPr>
            <w:tcW w:w="3384" w:type="dxa"/>
          </w:tcPr>
          <w:p w14:paraId="60F8E7B5" w14:textId="77777777" w:rsidR="003533B4" w:rsidRDefault="003533B4" w:rsidP="00483A45">
            <w:pPr>
              <w:rPr>
                <w:rFonts w:ascii="Arial" w:hAnsi="Arial" w:cs="Arial"/>
                <w:sz w:val="20"/>
              </w:rPr>
            </w:pPr>
            <w:r>
              <w:rPr>
                <w:rFonts w:ascii="Arial" w:hAnsi="Arial" w:cs="Arial"/>
                <w:sz w:val="20"/>
              </w:rPr>
              <w:t>Add this caveat to the "Valid range" cell (where it currently says 1-127).  Make a similar statement about HT-MCS and VHT-</w:t>
            </w:r>
            <w:proofErr w:type="spellStart"/>
            <w:r>
              <w:rPr>
                <w:rFonts w:ascii="Arial" w:hAnsi="Arial" w:cs="Arial"/>
                <w:sz w:val="20"/>
              </w:rPr>
              <w:t>MCSes</w:t>
            </w:r>
            <w:proofErr w:type="spellEnd"/>
          </w:p>
          <w:p w14:paraId="47DDFEAB" w14:textId="77777777" w:rsidR="003533B4" w:rsidRPr="00B5334C" w:rsidRDefault="003533B4" w:rsidP="00483A45"/>
        </w:tc>
      </w:tr>
    </w:tbl>
    <w:p w14:paraId="01F1322C" w14:textId="77777777" w:rsidR="003533B4" w:rsidRDefault="003533B4" w:rsidP="003533B4"/>
    <w:p w14:paraId="391E5A65" w14:textId="77777777" w:rsidR="00483A45" w:rsidRDefault="00483A45" w:rsidP="00C31BED">
      <w:pPr>
        <w:rPr>
          <w:u w:val="single"/>
        </w:rPr>
      </w:pPr>
    </w:p>
    <w:p w14:paraId="13B1DA36" w14:textId="592B91C9" w:rsidR="007324A4" w:rsidRDefault="00C31BED" w:rsidP="00C31BED">
      <w:pPr>
        <w:rPr>
          <w:sz w:val="24"/>
          <w:szCs w:val="24"/>
          <w:u w:val="single"/>
        </w:rPr>
      </w:pPr>
      <w:r w:rsidRPr="004F5246">
        <w:rPr>
          <w:sz w:val="24"/>
          <w:szCs w:val="24"/>
          <w:u w:val="single"/>
        </w:rPr>
        <w:t>Discussion:</w:t>
      </w:r>
    </w:p>
    <w:p w14:paraId="3DC2C585" w14:textId="64281F02" w:rsidR="00C31BED" w:rsidRDefault="006A385D" w:rsidP="00C31BED">
      <w:r>
        <w:t>6.3.4.2</w:t>
      </w:r>
      <w:proofErr w:type="gramStart"/>
      <w:r>
        <w:t>.  P159.51</w:t>
      </w:r>
      <w:proofErr w:type="gramEnd"/>
      <w:r>
        <w:t xml:space="preserve"> MLME-</w:t>
      </w:r>
      <w:proofErr w:type="spellStart"/>
      <w:r>
        <w:t>JOIN.request</w:t>
      </w:r>
      <w:proofErr w:type="spellEnd"/>
    </w:p>
    <w:p w14:paraId="046114E0" w14:textId="77777777" w:rsidR="006A385D" w:rsidRDefault="006A385D" w:rsidP="00C31BED"/>
    <w:p w14:paraId="723A7EC4" w14:textId="3A57E69C" w:rsidR="006A385D" w:rsidRDefault="006A385D" w:rsidP="00C31BED">
      <w:r>
        <w:rPr>
          <w:noProof/>
          <w:lang w:val="en-US" w:bidi="he-IL"/>
        </w:rPr>
        <w:drawing>
          <wp:inline distT="0" distB="0" distL="0" distR="0" wp14:anchorId="3AC34095" wp14:editId="4DC2843D">
            <wp:extent cx="6392545" cy="155829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1558290"/>
                    </a:xfrm>
                    <a:prstGeom prst="rect">
                      <a:avLst/>
                    </a:prstGeom>
                    <a:noFill/>
                    <a:ln>
                      <a:noFill/>
                    </a:ln>
                  </pic:spPr>
                </pic:pic>
              </a:graphicData>
            </a:graphic>
          </wp:inline>
        </w:drawing>
      </w:r>
    </w:p>
    <w:p w14:paraId="5ECC3EFD" w14:textId="77777777" w:rsidR="006A385D" w:rsidRDefault="006A385D" w:rsidP="00C31BED"/>
    <w:p w14:paraId="212E0C2D" w14:textId="7886820C" w:rsidR="00242E25" w:rsidRDefault="00242E25" w:rsidP="00C31BED">
      <w:r>
        <w:t>6.3.11.2 MLME-</w:t>
      </w:r>
      <w:proofErr w:type="spellStart"/>
      <w:r>
        <w:t>START.request</w:t>
      </w:r>
      <w:proofErr w:type="spellEnd"/>
    </w:p>
    <w:p w14:paraId="78B0C83D" w14:textId="38EA696E" w:rsidR="00242E25" w:rsidRDefault="00242E25" w:rsidP="00C31BED">
      <w:r>
        <w:t>6.3.3.3 MLME-</w:t>
      </w:r>
      <w:proofErr w:type="spellStart"/>
      <w:r>
        <w:t>SCAN.confirm</w:t>
      </w:r>
      <w:proofErr w:type="spellEnd"/>
    </w:p>
    <w:p w14:paraId="30FEC578" w14:textId="151CB729" w:rsidR="00242E25" w:rsidRDefault="00242E25" w:rsidP="00C31BED">
      <w:r>
        <w:t>“</w:t>
      </w:r>
      <w:proofErr w:type="spellStart"/>
      <w:r>
        <w:t>BSSBasicRate</w:t>
      </w:r>
      <w:proofErr w:type="spellEnd"/>
      <w:r>
        <w:t xml:space="preserve"> Set is defined in 6.3.11.2</w:t>
      </w:r>
      <w:r w:rsidR="00D05460">
        <w:t>”</w:t>
      </w:r>
    </w:p>
    <w:p w14:paraId="527BF583" w14:textId="77777777" w:rsidR="00242E25" w:rsidRDefault="00242E25" w:rsidP="00C31BED"/>
    <w:p w14:paraId="5B37EFEF" w14:textId="66021371" w:rsidR="00242E25" w:rsidRDefault="00242E25" w:rsidP="00C31BED">
      <w:r>
        <w:rPr>
          <w:noProof/>
          <w:lang w:val="en-US" w:bidi="he-IL"/>
        </w:rPr>
        <w:drawing>
          <wp:inline distT="0" distB="0" distL="0" distR="0" wp14:anchorId="5A9F9A86" wp14:editId="1ADE8787">
            <wp:extent cx="6392545" cy="126428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2545" cy="1264285"/>
                    </a:xfrm>
                    <a:prstGeom prst="rect">
                      <a:avLst/>
                    </a:prstGeom>
                    <a:noFill/>
                    <a:ln>
                      <a:noFill/>
                    </a:ln>
                  </pic:spPr>
                </pic:pic>
              </a:graphicData>
            </a:graphic>
          </wp:inline>
        </w:drawing>
      </w:r>
    </w:p>
    <w:p w14:paraId="7E95D144" w14:textId="77777777" w:rsidR="00242E25" w:rsidRDefault="00242E25" w:rsidP="00C31BED"/>
    <w:p w14:paraId="09AB5326" w14:textId="5EA072D9" w:rsidR="00D05460" w:rsidRDefault="00D05460" w:rsidP="00C31BED">
      <w:proofErr w:type="spellStart"/>
      <w:r>
        <w:t>OperationalRateSet</w:t>
      </w:r>
      <w:proofErr w:type="spellEnd"/>
      <w:r>
        <w:t xml:space="preserve"> </w:t>
      </w:r>
      <w:r w:rsidR="00670AC1">
        <w:t xml:space="preserve">is </w:t>
      </w:r>
      <w:r>
        <w:t>defined</w:t>
      </w:r>
      <w:r w:rsidR="00670AC1">
        <w:t xml:space="preserve"> at </w:t>
      </w:r>
      <w:r>
        <w:t xml:space="preserve">P37.35 </w:t>
      </w:r>
      <w:r w:rsidR="00670AC1">
        <w:t xml:space="preserve">and </w:t>
      </w:r>
      <w:r>
        <w:t xml:space="preserve">refers to </w:t>
      </w:r>
      <w:r w:rsidR="00670AC1">
        <w:t xml:space="preserve">the Supported Rates and BSS Membership Selectors element.  </w:t>
      </w:r>
    </w:p>
    <w:p w14:paraId="0CA19593" w14:textId="77777777" w:rsidR="00D05460" w:rsidRDefault="00D05460" w:rsidP="00C31BED"/>
    <w:p w14:paraId="44A091E1" w14:textId="7BB695F9" w:rsidR="00871C63" w:rsidRDefault="00871C63" w:rsidP="00871C63">
      <w:r>
        <w:t xml:space="preserve">730.38 </w:t>
      </w:r>
    </w:p>
    <w:p w14:paraId="00B8452F" w14:textId="77777777" w:rsidR="00871C63" w:rsidRDefault="00871C63" w:rsidP="00871C63">
      <w:r>
        <w:t>9.4.2.3 Supported Rates and BSS Membership Selectors element</w:t>
      </w:r>
    </w:p>
    <w:p w14:paraId="0E5B62C3" w14:textId="417A3CA6" w:rsidR="00871C63" w:rsidRDefault="00871C63" w:rsidP="00871C63">
      <w:r>
        <w:rPr>
          <w:noProof/>
          <w:lang w:val="en-US" w:bidi="he-IL"/>
        </w:rPr>
        <w:drawing>
          <wp:inline distT="0" distB="0" distL="0" distR="0" wp14:anchorId="0C62C3D3" wp14:editId="1903CA72">
            <wp:extent cx="640080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009650"/>
                    </a:xfrm>
                    <a:prstGeom prst="rect">
                      <a:avLst/>
                    </a:prstGeom>
                    <a:noFill/>
                    <a:ln>
                      <a:noFill/>
                    </a:ln>
                  </pic:spPr>
                </pic:pic>
              </a:graphicData>
            </a:graphic>
          </wp:inline>
        </w:drawing>
      </w:r>
    </w:p>
    <w:p w14:paraId="10F691C1" w14:textId="26A4721C" w:rsidR="00871C63" w:rsidRDefault="00871C63" w:rsidP="00871C63">
      <w:r>
        <w:lastRenderedPageBreak/>
        <w:t>730.58</w:t>
      </w:r>
    </w:p>
    <w:p w14:paraId="01E020EA" w14:textId="77D6B5A5" w:rsidR="00871C63" w:rsidRDefault="00871C63" w:rsidP="00B41AA0">
      <w:pPr>
        <w:autoSpaceDE w:val="0"/>
        <w:autoSpaceDN w:val="0"/>
        <w:adjustRightInd w:val="0"/>
        <w:rPr>
          <w:rFonts w:ascii="TimesNewRomanPSMT" w:hAnsi="TimesNewRomanPSMT" w:cs="TimesNewRomanPSMT"/>
          <w:lang w:val="en-US" w:eastAsia="ja-JP"/>
        </w:rPr>
      </w:pPr>
      <w:r w:rsidRPr="00871C63">
        <w:rPr>
          <w:rFonts w:ascii="TimesNewRomanPSMT" w:hAnsi="TimesNewRomanPSMT" w:cs="TimesNewRomanPSMT"/>
          <w:lang w:val="en-US" w:eastAsia="ja-JP"/>
        </w:rPr>
        <w:t xml:space="preserve">“…each Supported Rate contained in the </w:t>
      </w:r>
      <w:proofErr w:type="spellStart"/>
      <w:r w:rsidRPr="00871C63">
        <w:rPr>
          <w:rFonts w:ascii="TimesNewRomanPSMT" w:hAnsi="TimesNewRomanPSMT" w:cs="TimesNewRomanPSMT"/>
          <w:lang w:val="en-US" w:eastAsia="ja-JP"/>
        </w:rPr>
        <w:t>BSSBasicRateSet</w:t>
      </w:r>
      <w:proofErr w:type="spellEnd"/>
      <w:r w:rsidRPr="00871C63">
        <w:rPr>
          <w:rFonts w:ascii="TimesNewRomanPSMT" w:hAnsi="TimesNewRomanPSMT" w:cs="TimesNewRomanPSMT"/>
          <w:lang w:val="en-US" w:eastAsia="ja-JP"/>
        </w:rPr>
        <w:t xml:space="preserve"> parameter is encoded as an octet with the MSB (bit 7) set to 1, and bits 6 to 0 are set to the data rate</w:t>
      </w:r>
      <w:r w:rsidRPr="00B41AA0">
        <w:rPr>
          <w:rFonts w:ascii="TimesNewRomanPSMT" w:hAnsi="TimesNewRomanPSMT" w:cs="TimesNewRomanPSMT"/>
          <w:sz w:val="24"/>
          <w:lang w:val="en-US" w:eastAsia="ja-JP"/>
        </w:rPr>
        <w:t>,…”</w:t>
      </w:r>
      <w:r w:rsidR="00B41AA0">
        <w:rPr>
          <w:rFonts w:ascii="TimesNewRomanPSMT" w:hAnsi="TimesNewRomanPSMT" w:cs="TimesNewRomanPSMT"/>
          <w:sz w:val="24"/>
          <w:lang w:val="en-US" w:eastAsia="ja-JP"/>
        </w:rPr>
        <w:t>…“</w:t>
      </w:r>
      <w:r w:rsidR="00B41AA0" w:rsidRPr="00B41AA0">
        <w:rPr>
          <w:rFonts w:ascii="TimesNewRomanPSMT" w:hAnsi="TimesNewRomanPSMT" w:cs="TimesNewRomanPSMT"/>
          <w:lang w:val="en-US" w:eastAsia="ja-JP"/>
        </w:rPr>
        <w:t xml:space="preserve">Rates not contained in the </w:t>
      </w:r>
      <w:proofErr w:type="spellStart"/>
      <w:r w:rsidR="00B41AA0" w:rsidRPr="00B41AA0">
        <w:rPr>
          <w:rFonts w:ascii="TimesNewRomanPSMT" w:hAnsi="TimesNewRomanPSMT" w:cs="TimesNewRomanPSMT"/>
          <w:lang w:val="en-US" w:eastAsia="ja-JP"/>
        </w:rPr>
        <w:t>BSSBasicRateSet</w:t>
      </w:r>
      <w:proofErr w:type="spellEnd"/>
      <w:r w:rsidR="00B41AA0" w:rsidRPr="00B41AA0">
        <w:rPr>
          <w:rFonts w:ascii="TimesNewRomanPSMT" w:hAnsi="TimesNewRomanPSMT" w:cs="TimesNewRomanPSMT"/>
          <w:lang w:val="en-US" w:eastAsia="ja-JP"/>
        </w:rPr>
        <w:t xml:space="preserve"> parameter are encoded with the MSB set to 0, and bits 6 to 0 are set to the </w:t>
      </w:r>
      <w:r w:rsidR="00B41AA0" w:rsidRPr="00B41AA0">
        <w:rPr>
          <w:rFonts w:ascii="TimesNewRomanPSMT" w:hAnsi="TimesNewRomanPSMT" w:cs="TimesNewRomanPSMT"/>
          <w:b/>
          <w:lang w:val="en-US" w:eastAsia="ja-JP"/>
        </w:rPr>
        <w:t>appropriate value from the valid range column of the DATARATE row of the table in 6.5.5.2</w:t>
      </w:r>
      <w:r w:rsidR="00B41AA0">
        <w:rPr>
          <w:rFonts w:ascii="TimesNewRomanPSMT" w:hAnsi="TimesNewRomanPSMT" w:cs="TimesNewRomanPSMT"/>
          <w:lang w:val="en-US" w:eastAsia="ja-JP"/>
        </w:rPr>
        <w:t>…”</w:t>
      </w:r>
    </w:p>
    <w:p w14:paraId="03036305" w14:textId="7908C1A4" w:rsidR="00B41AA0" w:rsidRPr="00B41AA0" w:rsidRDefault="00B41AA0" w:rsidP="00B41AA0">
      <w:pPr>
        <w:autoSpaceDE w:val="0"/>
        <w:autoSpaceDN w:val="0"/>
        <w:adjustRightInd w:val="0"/>
        <w:rPr>
          <w:rFonts w:ascii="TimesNewRomanPSMT" w:hAnsi="TimesNewRomanPSMT" w:cs="TimesNewRomanPSMT"/>
          <w:lang w:val="en-US" w:eastAsia="ja-JP"/>
        </w:rPr>
      </w:pPr>
      <w:r>
        <w:rPr>
          <w:rFonts w:ascii="TimesNewRomanPSMT" w:hAnsi="TimesNewRomanPSMT" w:cs="TimesNewRomanPSMT"/>
          <w:noProof/>
          <w:lang w:val="en-US" w:bidi="he-IL"/>
        </w:rPr>
        <w:drawing>
          <wp:inline distT="0" distB="0" distL="0" distR="0" wp14:anchorId="36810A2D" wp14:editId="3DCCE8B8">
            <wp:extent cx="6400800" cy="33077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307715"/>
                    </a:xfrm>
                    <a:prstGeom prst="rect">
                      <a:avLst/>
                    </a:prstGeom>
                    <a:noFill/>
                    <a:ln>
                      <a:noFill/>
                    </a:ln>
                  </pic:spPr>
                </pic:pic>
              </a:graphicData>
            </a:graphic>
          </wp:inline>
        </w:drawing>
      </w:r>
    </w:p>
    <w:p w14:paraId="3D716A69" w14:textId="77777777" w:rsidR="00B41AA0" w:rsidRDefault="00B41AA0" w:rsidP="00B41AA0">
      <w:pPr>
        <w:autoSpaceDE w:val="0"/>
        <w:autoSpaceDN w:val="0"/>
        <w:adjustRightInd w:val="0"/>
        <w:rPr>
          <w:rFonts w:ascii="TimesNewRomanPSMT" w:hAnsi="TimesNewRomanPSMT" w:cs="TimesNewRomanPSMT"/>
          <w:sz w:val="20"/>
          <w:lang w:val="en-US" w:eastAsia="ja-JP"/>
        </w:rPr>
      </w:pPr>
    </w:p>
    <w:p w14:paraId="430C00AE" w14:textId="77777777" w:rsidR="00B41AA0" w:rsidRDefault="00B41AA0" w:rsidP="00B41AA0">
      <w:pPr>
        <w:autoSpaceDE w:val="0"/>
        <w:autoSpaceDN w:val="0"/>
        <w:adjustRightInd w:val="0"/>
      </w:pPr>
    </w:p>
    <w:p w14:paraId="5002C206" w14:textId="7EF0939B" w:rsidR="00242E25" w:rsidRDefault="00242E25" w:rsidP="00C31BED">
      <w:r>
        <w:t>P740.14</w:t>
      </w:r>
    </w:p>
    <w:p w14:paraId="30C133E5" w14:textId="677374F6" w:rsidR="00242E25" w:rsidRDefault="00242E25" w:rsidP="00C31BED">
      <w:r>
        <w:t>9.4.2.13 Extended Supported Rates and BSS Membership Selectors element</w:t>
      </w:r>
    </w:p>
    <w:p w14:paraId="72BA6C8B" w14:textId="5B538DF7" w:rsidR="00871C63" w:rsidRDefault="00871C63" w:rsidP="00871C63">
      <w:r>
        <w:t>“</w:t>
      </w:r>
      <w:proofErr w:type="spellStart"/>
      <w:r>
        <w:t>BSSBasicRate</w:t>
      </w:r>
      <w:proofErr w:type="spellEnd"/>
      <w:r>
        <w:t xml:space="preserve"> Set is defined in 6.3.11.2</w:t>
      </w:r>
      <w:r w:rsidR="00B41AA0">
        <w:t>”</w:t>
      </w:r>
    </w:p>
    <w:p w14:paraId="14DA3F44" w14:textId="77777777" w:rsidR="00242E25" w:rsidRDefault="00242E25" w:rsidP="00C31BED"/>
    <w:p w14:paraId="13B9DA70" w14:textId="472C420E" w:rsidR="00242E25" w:rsidRDefault="00647550" w:rsidP="00C31BED">
      <w:r>
        <w:t>(</w:t>
      </w:r>
      <w:r w:rsidR="00F167A9">
        <w:t>Maybe this should be added to 9.4.2.3 where it first appears</w:t>
      </w:r>
      <w:r>
        <w:t>)</w:t>
      </w:r>
    </w:p>
    <w:p w14:paraId="5BFDC025" w14:textId="77777777" w:rsidR="00242E25" w:rsidRDefault="00242E25" w:rsidP="00C31BED"/>
    <w:p w14:paraId="74FF009C" w14:textId="2F7A2F4C" w:rsidR="003626BC" w:rsidRDefault="00B41AA0" w:rsidP="00C31BED">
      <w:r>
        <w:t>Commenter refers to dot11SupportedDataRatesRXTable</w:t>
      </w:r>
    </w:p>
    <w:p w14:paraId="6A8E8218" w14:textId="2791A590" w:rsidR="003626BC" w:rsidRDefault="003626BC" w:rsidP="00C31BED">
      <w:r>
        <w:t>P2412.23 HT PHY MIB attributes</w:t>
      </w:r>
    </w:p>
    <w:p w14:paraId="78B792EA" w14:textId="04667B22" w:rsidR="003626BC" w:rsidRDefault="003626BC" w:rsidP="00C31BED">
      <w:r>
        <w:rPr>
          <w:noProof/>
          <w:lang w:val="en-US" w:bidi="he-IL"/>
        </w:rPr>
        <w:drawing>
          <wp:inline distT="0" distB="0" distL="0" distR="0" wp14:anchorId="186E2ECC" wp14:editId="3ECE1E20">
            <wp:extent cx="6400800" cy="2465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465070"/>
                    </a:xfrm>
                    <a:prstGeom prst="rect">
                      <a:avLst/>
                    </a:prstGeom>
                    <a:noFill/>
                    <a:ln>
                      <a:noFill/>
                    </a:ln>
                  </pic:spPr>
                </pic:pic>
              </a:graphicData>
            </a:graphic>
          </wp:inline>
        </w:drawing>
      </w:r>
    </w:p>
    <w:p w14:paraId="03A2EEE7" w14:textId="77777777" w:rsidR="006A385D" w:rsidRDefault="006A385D" w:rsidP="00C31BED"/>
    <w:p w14:paraId="75F9D4B0" w14:textId="77777777" w:rsidR="00E5680B" w:rsidRDefault="00E5680B" w:rsidP="00C31BED"/>
    <w:p w14:paraId="494B8012" w14:textId="75939FCA" w:rsidR="00E5680B" w:rsidRPr="00E5680B" w:rsidRDefault="00E5680B" w:rsidP="00647550">
      <w:pPr>
        <w:rPr>
          <w:i/>
        </w:rPr>
      </w:pPr>
      <w:r w:rsidRPr="00E5680B">
        <w:rPr>
          <w:i/>
        </w:rPr>
        <w:t xml:space="preserve">Aside: </w:t>
      </w:r>
      <w:r w:rsidR="005151E1" w:rsidRPr="00E5680B">
        <w:rPr>
          <w:i/>
        </w:rPr>
        <w:t xml:space="preserve">I think 22Mb/s </w:t>
      </w:r>
      <w:r w:rsidR="00F167A9" w:rsidRPr="00E5680B">
        <w:rPr>
          <w:i/>
        </w:rPr>
        <w:t xml:space="preserve">and 33Mb/s </w:t>
      </w:r>
      <w:r w:rsidR="005151E1" w:rsidRPr="00E5680B">
        <w:rPr>
          <w:i/>
        </w:rPr>
        <w:t>should now be removed</w:t>
      </w:r>
      <w:r w:rsidR="00647550">
        <w:rPr>
          <w:i/>
        </w:rPr>
        <w:t xml:space="preserve"> </w:t>
      </w:r>
      <w:proofErr w:type="spellStart"/>
      <w:r w:rsidR="00647550">
        <w:rPr>
          <w:i/>
        </w:rPr>
        <w:t>asthey</w:t>
      </w:r>
      <w:proofErr w:type="spellEnd"/>
      <w:r w:rsidR="00647550">
        <w:rPr>
          <w:i/>
        </w:rPr>
        <w:t xml:space="preserve"> are from obsolete PHY</w:t>
      </w:r>
      <w:r w:rsidR="005151E1" w:rsidRPr="00E5680B">
        <w:rPr>
          <w:i/>
        </w:rPr>
        <w:t>??</w:t>
      </w:r>
      <w:r w:rsidR="00F167A9" w:rsidRPr="00E5680B">
        <w:rPr>
          <w:i/>
        </w:rPr>
        <w:t xml:space="preserve"> </w:t>
      </w:r>
    </w:p>
    <w:p w14:paraId="69249E36" w14:textId="329AD2AE" w:rsidR="00E5680B" w:rsidRPr="00E5680B" w:rsidRDefault="00B41AA0" w:rsidP="00C31BED">
      <w:pPr>
        <w:rPr>
          <w:i/>
        </w:rPr>
      </w:pPr>
      <w:r>
        <w:rPr>
          <w:i/>
        </w:rPr>
        <w:lastRenderedPageBreak/>
        <w:t>22 and 33 are a</w:t>
      </w:r>
      <w:r w:rsidR="00E5680B" w:rsidRPr="00E5680B">
        <w:rPr>
          <w:i/>
        </w:rPr>
        <w:t>t following places in the “Valid range” and the “Description” columns</w:t>
      </w:r>
    </w:p>
    <w:p w14:paraId="3828BC24" w14:textId="2E4FFF16" w:rsidR="005151E1" w:rsidRPr="00E5680B" w:rsidRDefault="00E5680B" w:rsidP="00C31BED">
      <w:pPr>
        <w:rPr>
          <w:i/>
        </w:rPr>
      </w:pPr>
      <w:r w:rsidRPr="00E5680B">
        <w:rPr>
          <w:i/>
        </w:rPr>
        <w:t>P537.16 and 20</w:t>
      </w:r>
      <w:r w:rsidRPr="00E5680B">
        <w:rPr>
          <w:i/>
        </w:rPr>
        <w:tab/>
      </w:r>
    </w:p>
    <w:p w14:paraId="24E93953" w14:textId="4DF9CAEE" w:rsidR="00E5680B" w:rsidRPr="00E5680B" w:rsidRDefault="00E5680B" w:rsidP="00C31BED">
      <w:pPr>
        <w:rPr>
          <w:i/>
        </w:rPr>
      </w:pPr>
      <w:r w:rsidRPr="00E5680B">
        <w:rPr>
          <w:i/>
        </w:rPr>
        <w:t>P2317.31 and 33, 47 and 50</w:t>
      </w:r>
    </w:p>
    <w:p w14:paraId="2248E30C" w14:textId="07D7120E" w:rsidR="00E5680B" w:rsidRDefault="00E5680B" w:rsidP="00C31BED">
      <w:pPr>
        <w:rPr>
          <w:i/>
        </w:rPr>
      </w:pPr>
      <w:r w:rsidRPr="00E5680B">
        <w:rPr>
          <w:i/>
        </w:rPr>
        <w:t>P2412.17 and 19, 34 and 36</w:t>
      </w:r>
    </w:p>
    <w:p w14:paraId="36D86879" w14:textId="272CB6C3" w:rsidR="00195C4A" w:rsidRPr="00E5680B" w:rsidRDefault="00195C4A" w:rsidP="00C31BED">
      <w:pPr>
        <w:rPr>
          <w:i/>
        </w:rPr>
      </w:pPr>
      <w:r>
        <w:rPr>
          <w:i/>
        </w:rPr>
        <w:t>Opinions??</w:t>
      </w:r>
    </w:p>
    <w:p w14:paraId="60DC5570" w14:textId="77777777" w:rsidR="00E5680B" w:rsidRDefault="00E5680B" w:rsidP="00C31BED"/>
    <w:p w14:paraId="2FBBDE70" w14:textId="2E539F9A" w:rsidR="005151E1" w:rsidRDefault="005151E1" w:rsidP="00C31BED">
      <w:r>
        <w:t>An AP adds a (</w:t>
      </w:r>
      <w:r w:rsidR="00F167A9">
        <w:t xml:space="preserve">B) bit to indicate “basic rate” (from the </w:t>
      </w:r>
      <w:proofErr w:type="spellStart"/>
      <w:r w:rsidR="00F167A9">
        <w:t>BSSBasicRateSet</w:t>
      </w:r>
      <w:proofErr w:type="spellEnd"/>
      <w:r w:rsidR="00F167A9">
        <w:t xml:space="preserve">).  I don’t know why a STA should indicate Basic Rates unless it is as a confirmation?  </w:t>
      </w:r>
    </w:p>
    <w:p w14:paraId="1924406F" w14:textId="028EE107" w:rsidR="00E5680B" w:rsidRDefault="00E5680B" w:rsidP="00C31BED">
      <w:proofErr w:type="spellStart"/>
      <w:r>
        <w:t>BSSBasicRateSet</w:t>
      </w:r>
      <w:proofErr w:type="spellEnd"/>
      <w:r>
        <w:t xml:space="preserve"> is clear, it is the basic rates</w:t>
      </w:r>
    </w:p>
    <w:p w14:paraId="1EC89C05" w14:textId="77777777" w:rsidR="00E5680B" w:rsidRDefault="00E5680B" w:rsidP="00C31BED"/>
    <w:p w14:paraId="40461531" w14:textId="77777777" w:rsidR="00F167A9" w:rsidRDefault="00F167A9" w:rsidP="00C31BED"/>
    <w:p w14:paraId="003C544E" w14:textId="1BB2E8EF" w:rsidR="00D05460" w:rsidRDefault="00F167A9" w:rsidP="00D05460">
      <w:r>
        <w:t xml:space="preserve">So the commenter is pointing out that the </w:t>
      </w:r>
      <w:proofErr w:type="spellStart"/>
      <w:r>
        <w:t>OperationalRateSet</w:t>
      </w:r>
      <w:proofErr w:type="spellEnd"/>
      <w:r>
        <w:t xml:space="preserve"> and the </w:t>
      </w:r>
      <w:proofErr w:type="spellStart"/>
      <w:r>
        <w:t>BSSBasicRateSet</w:t>
      </w:r>
      <w:proofErr w:type="spellEnd"/>
      <w:r>
        <w:t xml:space="preserve"> can only be from the 11b/g list</w:t>
      </w:r>
      <w:r w:rsidR="00E5680B">
        <w:t xml:space="preserve">.  </w:t>
      </w:r>
      <w:r w:rsidR="00B41AA0">
        <w:t xml:space="preserve">This is clear for the </w:t>
      </w:r>
      <w:r w:rsidR="00D05460">
        <w:t>“9.4.2.3 Supported Rates and BSS Membership Selectors element” and 9.4.2.13 Extended Supported Rates and BSS Membership Selectors element” which refer to the Table 6.5.5.2.</w:t>
      </w:r>
    </w:p>
    <w:p w14:paraId="399EEC72" w14:textId="77777777" w:rsidR="00D05460" w:rsidRDefault="00D05460" w:rsidP="00D05460"/>
    <w:p w14:paraId="20E1A02A" w14:textId="144CAEE6" w:rsidR="00D05460" w:rsidRDefault="00D05460" w:rsidP="00D05460">
      <w:r>
        <w:t xml:space="preserve">So what about </w:t>
      </w:r>
      <w:proofErr w:type="spellStart"/>
      <w:r>
        <w:t>OperationalRateSet</w:t>
      </w:r>
      <w:proofErr w:type="spellEnd"/>
      <w:r>
        <w:t xml:space="preserve">?  This is a “superset of </w:t>
      </w:r>
      <w:proofErr w:type="spellStart"/>
      <w:r>
        <w:t>BSSBasicRateSet</w:t>
      </w:r>
      <w:proofErr w:type="spellEnd"/>
      <w:r>
        <w:t xml:space="preserve">”.  </w:t>
      </w:r>
    </w:p>
    <w:p w14:paraId="16A7A08F" w14:textId="0DC3BDD0" w:rsidR="00871C63" w:rsidRDefault="00D05460" w:rsidP="00C31BED">
      <w:r>
        <w:t xml:space="preserve">“Superset” means that all the rates in the </w:t>
      </w:r>
      <w:proofErr w:type="spellStart"/>
      <w:r>
        <w:t>BSSBasicRateSet</w:t>
      </w:r>
      <w:proofErr w:type="spellEnd"/>
      <w:r>
        <w:t xml:space="preserve"> are in the </w:t>
      </w:r>
      <w:proofErr w:type="spellStart"/>
      <w:r>
        <w:t>OperationalRateSet</w:t>
      </w:r>
      <w:proofErr w:type="spellEnd"/>
      <w:r>
        <w:t xml:space="preserve"> and it also contains rates not in the </w:t>
      </w:r>
      <w:proofErr w:type="spellStart"/>
      <w:r>
        <w:t>BSSBasicRateSet</w:t>
      </w:r>
      <w:proofErr w:type="spellEnd"/>
      <w:r>
        <w:t xml:space="preserve">.  </w:t>
      </w:r>
    </w:p>
    <w:p w14:paraId="4FA74C72" w14:textId="77777777" w:rsidR="00670AC1" w:rsidRDefault="00670AC1" w:rsidP="00C31BED"/>
    <w:p w14:paraId="602C86E8" w14:textId="3B660AC2" w:rsidR="00670AC1" w:rsidRDefault="00670AC1" w:rsidP="00647550">
      <w:r>
        <w:t>SO after all that,</w:t>
      </w:r>
      <w:r w:rsidR="00195C4A">
        <w:t xml:space="preserve"> it does seem that the </w:t>
      </w:r>
      <w:proofErr w:type="spellStart"/>
      <w:r>
        <w:t>the</w:t>
      </w:r>
      <w:proofErr w:type="spellEnd"/>
      <w:r>
        <w:t xml:space="preserve"> limits of the rates are restricted to those in Table 6.5.5.2.  </w:t>
      </w:r>
      <w:r w:rsidR="00195C4A">
        <w:t xml:space="preserve">The description in the cited tables does set the limit and whether it is necessary to spell this out in the “Valid range” column to me does not seem necessary, hence the recommended resolution is “Reject” </w:t>
      </w:r>
    </w:p>
    <w:p w14:paraId="55911F6C" w14:textId="77777777" w:rsidR="009449B1" w:rsidRDefault="009449B1" w:rsidP="00C31BED"/>
    <w:p w14:paraId="56F1F8D5" w14:textId="77777777" w:rsidR="009449B1" w:rsidRPr="009449B1" w:rsidRDefault="009449B1" w:rsidP="009449B1">
      <w:pPr>
        <w:pStyle w:val="CommentText"/>
        <w:rPr>
          <w:i/>
          <w:color w:val="FF0000"/>
          <w:sz w:val="22"/>
        </w:rPr>
      </w:pPr>
      <w:r w:rsidRPr="009449B1">
        <w:rPr>
          <w:i/>
          <w:color w:val="FF0000"/>
          <w:sz w:val="22"/>
        </w:rPr>
        <w:t>MARK - That’s not the problem (well, except that 6.5.5.2 allows for e.g. 33 Mbps).  The problem is that the operational rate set cannot include 108 (54 Mbps), say, if this is not in dot11SupportedDataRatesRxTable, even though it is in T6.5.5.2</w:t>
      </w:r>
    </w:p>
    <w:p w14:paraId="3B6F59F0" w14:textId="0BE8B28D" w:rsidR="009449B1" w:rsidRDefault="009449B1" w:rsidP="00C31BED"/>
    <w:p w14:paraId="39DA0EA6" w14:textId="6467475D" w:rsidR="009449B1" w:rsidRDefault="009449B1" w:rsidP="00C31BED">
      <w:r>
        <w:t xml:space="preserve">BUT all the rates are in dot11SupportedDataRatesRXTable.  Mark </w:t>
      </w:r>
      <w:r w:rsidR="00803587">
        <w:t>says</w:t>
      </w:r>
      <w:r>
        <w:t xml:space="preserve"> that </w:t>
      </w:r>
      <w:r w:rsidR="00803587">
        <w:t xml:space="preserve">if </w:t>
      </w:r>
      <w:r>
        <w:t>the AP, for some reason</w:t>
      </w:r>
      <w:r w:rsidR="00803587">
        <w:t>,</w:t>
      </w:r>
      <w:r>
        <w:t xml:space="preserve"> does not include 54 Mb/s in its dot11SupportedDataRatesRXTable</w:t>
      </w:r>
      <w:r w:rsidR="00803587">
        <w:t xml:space="preserve"> then it cannot include 54Mb/s in its </w:t>
      </w:r>
      <w:proofErr w:type="spellStart"/>
      <w:r w:rsidR="00803587">
        <w:t>OperationalRateSet</w:t>
      </w:r>
      <w:proofErr w:type="spellEnd"/>
      <w:r w:rsidR="00803587">
        <w:t xml:space="preserve">.  I suppose the question is whether these are independent entities or whether they are, in fact, linked?  </w:t>
      </w:r>
    </w:p>
    <w:p w14:paraId="54B7906A" w14:textId="212C077B" w:rsidR="00647550" w:rsidRDefault="00647550" w:rsidP="00C31BED">
      <w:r>
        <w:t>IT WAS AGREED THAT THEY ARE LINKED.</w:t>
      </w:r>
    </w:p>
    <w:p w14:paraId="7D70D490" w14:textId="77777777" w:rsidR="009449B1" w:rsidRDefault="009449B1" w:rsidP="00C31BED"/>
    <w:p w14:paraId="5E8B634B" w14:textId="69F7ED47" w:rsidR="00DC5C8C" w:rsidRDefault="00DC5C8C" w:rsidP="00C31BED">
      <w:r>
        <w:t>Now as to the HT-MCS. In the MLME-</w:t>
      </w:r>
      <w:proofErr w:type="spellStart"/>
      <w:r>
        <w:t>STAR</w:t>
      </w:r>
      <w:r w:rsidR="00C46CBA">
        <w:t>T</w:t>
      </w:r>
      <w:r>
        <w:t>.request</w:t>
      </w:r>
      <w:proofErr w:type="spellEnd"/>
      <w:r>
        <w:t xml:space="preserve"> the HT capabilities element is included.</w:t>
      </w:r>
    </w:p>
    <w:p w14:paraId="59A80FEB" w14:textId="3127AC69" w:rsidR="00DC5C8C" w:rsidRDefault="00DC5C8C" w:rsidP="00647550">
      <w:pPr>
        <w:rPr>
          <w:color w:val="FF0000"/>
        </w:rPr>
      </w:pPr>
      <w:r w:rsidRPr="00647550">
        <w:rPr>
          <w:b/>
          <w:bCs/>
        </w:rPr>
        <w:t>9.4.2.56 HT Capabilities element includes the “Supported MCS Set” 16 octets</w:t>
      </w:r>
      <w:r>
        <w:t xml:space="preserve">.  This has a bitmask to set the supported </w:t>
      </w:r>
      <w:proofErr w:type="spellStart"/>
      <w:r>
        <w:t>MCSi</w:t>
      </w:r>
      <w:proofErr w:type="spellEnd"/>
      <w:r>
        <w:t xml:space="preserve"> index values MCS 0 to 76.  </w:t>
      </w:r>
      <w:r w:rsidR="00135CDB">
        <w:br/>
      </w:r>
      <w:r w:rsidR="00135CDB" w:rsidRPr="00135CDB">
        <w:rPr>
          <w:color w:val="FF0000"/>
        </w:rPr>
        <w:t xml:space="preserve">MARK </w:t>
      </w:r>
    </w:p>
    <w:p w14:paraId="3D3B6BCF" w14:textId="4EBDF233" w:rsidR="00C46CBA" w:rsidRPr="00803587" w:rsidRDefault="00C46CBA" w:rsidP="00C46CBA">
      <w:pPr>
        <w:pStyle w:val="CommentText"/>
        <w:rPr>
          <w:i/>
          <w:color w:val="FF0000"/>
          <w:sz w:val="22"/>
        </w:rPr>
      </w:pPr>
      <w:r w:rsidRPr="00803587">
        <w:rPr>
          <w:i/>
          <w:color w:val="FF0000"/>
          <w:sz w:val="22"/>
        </w:rPr>
        <w:t xml:space="preserve"> “The HT Caps shows the operational HT-MCS set.  The HT Op shows the basic HT-MCS set.  The MIB variables defining a device’s HT-MCS capabilities are dot11SupportedMCSTxTable and dot11SupportedMCSRxTable; for VHT-MCS capabilities they are dot11VHTTxVHTMCSMap and dot11VHTRxVHTMCSMap”</w:t>
      </w:r>
    </w:p>
    <w:p w14:paraId="05CD0414" w14:textId="77777777" w:rsidR="00001A24" w:rsidRDefault="00001A24" w:rsidP="00C46CBA">
      <w:pPr>
        <w:pStyle w:val="CommentText"/>
        <w:rPr>
          <w:sz w:val="22"/>
        </w:rPr>
      </w:pPr>
    </w:p>
    <w:p w14:paraId="2A2C07A8" w14:textId="532DD82B" w:rsidR="00001A24" w:rsidRDefault="00001A24" w:rsidP="00C46CBA">
      <w:pPr>
        <w:pStyle w:val="CommentText"/>
        <w:rPr>
          <w:sz w:val="22"/>
        </w:rPr>
      </w:pPr>
      <w:r>
        <w:rPr>
          <w:sz w:val="22"/>
        </w:rPr>
        <w:t xml:space="preserve">OK, I know that </w:t>
      </w:r>
      <w:r w:rsidRPr="00647550">
        <w:rPr>
          <w:b/>
          <w:bCs/>
          <w:sz w:val="22"/>
        </w:rPr>
        <w:t>the Basic HT-MCS Set is part of the HT Operation element</w:t>
      </w:r>
      <w:r>
        <w:rPr>
          <w:sz w:val="22"/>
        </w:rPr>
        <w:t>.  (I also know that in the vast majority of APs</w:t>
      </w:r>
      <w:r w:rsidR="00F272FB">
        <w:rPr>
          <w:sz w:val="22"/>
        </w:rPr>
        <w:t>, if not all,</w:t>
      </w:r>
      <w:r>
        <w:rPr>
          <w:sz w:val="22"/>
        </w:rPr>
        <w:t xml:space="preserve"> I have looked at, this field is all zeros.)</w:t>
      </w:r>
    </w:p>
    <w:p w14:paraId="3EB6AC75" w14:textId="77777777" w:rsidR="00F272FB" w:rsidRDefault="00F272FB" w:rsidP="00F272FB">
      <w:pPr>
        <w:pStyle w:val="CommentText"/>
        <w:rPr>
          <w:sz w:val="22"/>
        </w:rPr>
      </w:pPr>
      <w:r>
        <w:rPr>
          <w:sz w:val="22"/>
        </w:rPr>
        <w:t xml:space="preserve">“HT Operation” is in </w:t>
      </w:r>
    </w:p>
    <w:p w14:paraId="7F536E2D" w14:textId="594DBB50" w:rsidR="00F272FB" w:rsidRPr="00C46CBA" w:rsidRDefault="00F272FB" w:rsidP="00F272FB">
      <w:pPr>
        <w:pStyle w:val="CommentText"/>
        <w:rPr>
          <w:sz w:val="22"/>
        </w:rPr>
      </w:pPr>
      <w:r>
        <w:rPr>
          <w:sz w:val="22"/>
        </w:rPr>
        <w:t>MLME-</w:t>
      </w:r>
      <w:proofErr w:type="spellStart"/>
      <w:r>
        <w:rPr>
          <w:sz w:val="22"/>
        </w:rPr>
        <w:t>SCAN.confirm</w:t>
      </w:r>
      <w:proofErr w:type="spellEnd"/>
      <w:r>
        <w:rPr>
          <w:sz w:val="22"/>
        </w:rPr>
        <w:t xml:space="preserve"> (Probe Response and Beacons), AND</w:t>
      </w:r>
    </w:p>
    <w:p w14:paraId="2522191B" w14:textId="05383B75" w:rsidR="00001A24" w:rsidRDefault="00F272FB" w:rsidP="00C46CBA">
      <w:pPr>
        <w:pStyle w:val="CommentText"/>
        <w:rPr>
          <w:sz w:val="22"/>
        </w:rPr>
      </w:pPr>
      <w:r>
        <w:rPr>
          <w:sz w:val="22"/>
        </w:rPr>
        <w:t xml:space="preserve">MLME- </w:t>
      </w:r>
      <w:proofErr w:type="spellStart"/>
      <w:r>
        <w:rPr>
          <w:sz w:val="22"/>
        </w:rPr>
        <w:t>START.request</w:t>
      </w:r>
      <w:proofErr w:type="spellEnd"/>
    </w:p>
    <w:p w14:paraId="62B462B4" w14:textId="49E939CB" w:rsidR="00C46CBA" w:rsidRDefault="00001A24" w:rsidP="00C31BED">
      <w:r>
        <w:t>“Valid Range: as defined in 9.4.2.57 (HT Operation Element)”</w:t>
      </w:r>
    </w:p>
    <w:p w14:paraId="1617D4AA" w14:textId="135AF63E" w:rsidR="00F272FB" w:rsidRDefault="00F272FB" w:rsidP="00C31BED">
      <w:r>
        <w:t>“A bitmap size 128 bits”</w:t>
      </w:r>
    </w:p>
    <w:p w14:paraId="67C4F8DF" w14:textId="77777777" w:rsidR="00F272FB" w:rsidRDefault="00F272FB" w:rsidP="00C31BED"/>
    <w:p w14:paraId="3A0EC8B6" w14:textId="77777777" w:rsidR="00712C90" w:rsidRDefault="00712C90">
      <w:pPr>
        <w:rPr>
          <w:u w:val="single"/>
        </w:rPr>
      </w:pPr>
      <w:r>
        <w:rPr>
          <w:u w:val="single"/>
        </w:rPr>
        <w:br w:type="page"/>
      </w:r>
    </w:p>
    <w:p w14:paraId="74205A47" w14:textId="0E60FE77" w:rsidR="00C31BED" w:rsidRDefault="00C31BED" w:rsidP="00C31BED">
      <w:pPr>
        <w:rPr>
          <w:u w:val="single"/>
        </w:rPr>
      </w:pPr>
      <w:r w:rsidRPr="00EB6166">
        <w:rPr>
          <w:u w:val="single"/>
        </w:rPr>
        <w:lastRenderedPageBreak/>
        <w:t>RESOLUTION:</w:t>
      </w:r>
    </w:p>
    <w:p w14:paraId="0C68581D" w14:textId="77777777" w:rsidR="00A141E2" w:rsidRDefault="00A141E2" w:rsidP="00C31BED">
      <w:pPr>
        <w:rPr>
          <w:u w:val="single"/>
        </w:rPr>
      </w:pPr>
    </w:p>
    <w:p w14:paraId="4439F135" w14:textId="789DE065" w:rsidR="00803587" w:rsidRDefault="00B45AB4" w:rsidP="00195C4A">
      <w:r>
        <w:t>REVISE</w:t>
      </w:r>
    </w:p>
    <w:p w14:paraId="0E443DEC" w14:textId="77777777" w:rsidR="008F0589" w:rsidRDefault="008F0589" w:rsidP="00195C4A"/>
    <w:p w14:paraId="7E7B94C7" w14:textId="17EC2F0E" w:rsidR="00B45AB4" w:rsidRDefault="00B45AB4" w:rsidP="00195C4A">
      <w:r>
        <w:t>At P159.33 and P202.5</w:t>
      </w:r>
    </w:p>
    <w:p w14:paraId="5BB68A89" w14:textId="0DE8AA14" w:rsidR="00B45AB4" w:rsidRDefault="00B45AB4" w:rsidP="00195C4A">
      <w:r>
        <w:t xml:space="preserve">Add the following to the </w:t>
      </w:r>
      <w:r w:rsidR="00E46698">
        <w:t>“</w:t>
      </w:r>
      <w:r>
        <w:t>Valid Range</w:t>
      </w:r>
      <w:r w:rsidR="00E46698">
        <w:t>”</w:t>
      </w:r>
      <w:r>
        <w:t xml:space="preserve"> entry of </w:t>
      </w:r>
      <w:r w:rsidR="00E46698">
        <w:t>“</w:t>
      </w:r>
      <w:proofErr w:type="spellStart"/>
      <w:r>
        <w:t>OperationalRateSet</w:t>
      </w:r>
      <w:proofErr w:type="spellEnd"/>
      <w:r w:rsidR="00E46698">
        <w:t>”</w:t>
      </w:r>
      <w:r>
        <w:t>:</w:t>
      </w:r>
    </w:p>
    <w:p w14:paraId="4D19ACD1" w14:textId="2405D788" w:rsidR="00B45AB4" w:rsidRDefault="00B45AB4" w:rsidP="00195C4A">
      <w:pPr>
        <w:rPr>
          <w:rFonts w:ascii="Arial" w:hAnsi="Arial" w:cs="Arial"/>
          <w:sz w:val="20"/>
        </w:rPr>
      </w:pPr>
      <w:r>
        <w:rPr>
          <w:rFonts w:ascii="Arial" w:hAnsi="Arial" w:cs="Arial"/>
          <w:sz w:val="20"/>
        </w:rPr>
        <w:t>“Only data rates in dot11SupportedDataRatesRxTable</w:t>
      </w:r>
      <w:r w:rsidR="00A2573B">
        <w:rPr>
          <w:rFonts w:ascii="Arial" w:hAnsi="Arial" w:cs="Arial"/>
          <w:sz w:val="20"/>
        </w:rPr>
        <w:t xml:space="preserve"> may be present</w:t>
      </w:r>
      <w:r>
        <w:rPr>
          <w:rFonts w:ascii="Arial" w:hAnsi="Arial" w:cs="Arial"/>
          <w:sz w:val="20"/>
        </w:rPr>
        <w:t>”</w:t>
      </w:r>
    </w:p>
    <w:p w14:paraId="567F90EC" w14:textId="77777777" w:rsidR="00C97629" w:rsidRDefault="00C97629" w:rsidP="00C97629">
      <w:pPr>
        <w:rPr>
          <w:sz w:val="24"/>
          <w:szCs w:val="24"/>
          <w:lang w:bidi="he-IL"/>
        </w:rPr>
      </w:pPr>
    </w:p>
    <w:p w14:paraId="0FD74F88" w14:textId="37A76276" w:rsidR="00C97629" w:rsidRDefault="00C97629" w:rsidP="00C97629">
      <w:pPr>
        <w:rPr>
          <w:sz w:val="24"/>
          <w:szCs w:val="24"/>
          <w:lang w:bidi="he-IL"/>
        </w:rPr>
      </w:pPr>
      <w:r>
        <w:rPr>
          <w:sz w:val="24"/>
          <w:szCs w:val="24"/>
          <w:lang w:bidi="he-IL"/>
        </w:rPr>
        <w:t xml:space="preserve">Mark R suggests </w:t>
      </w:r>
    </w:p>
    <w:p w14:paraId="03E62863" w14:textId="5212D5F8" w:rsidR="00C97629" w:rsidRPr="00C97629" w:rsidRDefault="00C97629" w:rsidP="00C97629">
      <w:pPr>
        <w:rPr>
          <w:sz w:val="24"/>
          <w:szCs w:val="24"/>
          <w:lang w:val="en-US" w:bidi="he-IL"/>
        </w:rPr>
      </w:pPr>
      <w:r w:rsidRPr="00C97629">
        <w:rPr>
          <w:sz w:val="24"/>
          <w:szCs w:val="24"/>
          <w:lang w:bidi="he-IL"/>
        </w:rPr>
        <w:t>At 159.30 (</w:t>
      </w:r>
      <w:proofErr w:type="spellStart"/>
      <w:r w:rsidRPr="00C97629">
        <w:rPr>
          <w:sz w:val="24"/>
          <w:szCs w:val="24"/>
          <w:lang w:bidi="he-IL"/>
        </w:rPr>
        <w:t>JOIN.req</w:t>
      </w:r>
      <w:proofErr w:type="spellEnd"/>
      <w:r w:rsidRPr="00C97629">
        <w:rPr>
          <w:sz w:val="24"/>
          <w:szCs w:val="24"/>
          <w:lang w:bidi="he-IL"/>
        </w:rPr>
        <w:t>): </w:t>
      </w:r>
    </w:p>
    <w:tbl>
      <w:tblPr>
        <w:tblW w:w="0" w:type="auto"/>
        <w:tblLayout w:type="fixed"/>
        <w:tblCellMar>
          <w:left w:w="0" w:type="dxa"/>
          <w:right w:w="0" w:type="dxa"/>
        </w:tblCellMar>
        <w:tblLook w:val="04A0" w:firstRow="1" w:lastRow="0" w:firstColumn="1" w:lastColumn="0" w:noHBand="0" w:noVBand="1"/>
      </w:tblPr>
      <w:tblGrid>
        <w:gridCol w:w="2268"/>
        <w:gridCol w:w="1955"/>
        <w:gridCol w:w="2772"/>
        <w:gridCol w:w="3307"/>
      </w:tblGrid>
      <w:tr w:rsidR="00C97629" w:rsidRPr="00C97629" w14:paraId="3A187E5A" w14:textId="77777777" w:rsidTr="00C97629">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A7FE1C" w14:textId="77777777" w:rsidR="00C97629" w:rsidRPr="00C97629" w:rsidRDefault="00C97629" w:rsidP="00972B6D">
            <w:pPr>
              <w:spacing w:before="100" w:beforeAutospacing="1" w:after="100" w:afterAutospacing="1"/>
              <w:rPr>
                <w:sz w:val="24"/>
                <w:szCs w:val="24"/>
                <w:lang w:val="en-US" w:bidi="he-IL"/>
              </w:rPr>
            </w:pPr>
            <w:proofErr w:type="spellStart"/>
            <w:r w:rsidRPr="00C97629">
              <w:rPr>
                <w:sz w:val="24"/>
                <w:szCs w:val="24"/>
                <w:lang w:val="en-US" w:bidi="he-IL"/>
              </w:rPr>
              <w:t>OperationalRateAndMembershipSelectorSet</w:t>
            </w:r>
            <w:proofErr w:type="spellEnd"/>
          </w:p>
        </w:tc>
        <w:tc>
          <w:tcPr>
            <w:tcW w:w="1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CC4F16"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Set of integers</w:t>
            </w:r>
          </w:p>
        </w:tc>
        <w:tc>
          <w:tcPr>
            <w:tcW w:w="2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2F3CE"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A value in dot11SupportedDataRatesRxTable, or in Table 9-77 and corresponding to a supported feature (for each integer in the set)</w:t>
            </w:r>
          </w:p>
          <w:p w14:paraId="6B50067E"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 </w:t>
            </w:r>
          </w:p>
        </w:tc>
        <w:tc>
          <w:tcPr>
            <w:tcW w:w="33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15F5BF"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 xml:space="preserve">Non-DMG BSS: The set of data rates and features that the STA is able to use for communication within the BSS. The STA is able to receive at each of the data rates listed in the set and with each of the features listed in the set. This set is a superset of the rates contained in the </w:t>
            </w:r>
            <w:proofErr w:type="spellStart"/>
            <w:r w:rsidRPr="00C97629">
              <w:rPr>
                <w:sz w:val="24"/>
                <w:szCs w:val="24"/>
                <w:lang w:val="en-US" w:bidi="he-IL"/>
              </w:rPr>
              <w:t>BSSBasicRateAndMembershipSelectorSet</w:t>
            </w:r>
            <w:proofErr w:type="spellEnd"/>
            <w:r w:rsidRPr="00C97629">
              <w:rPr>
                <w:sz w:val="24"/>
                <w:szCs w:val="24"/>
                <w:lang w:val="en-US" w:bidi="he-IL"/>
              </w:rPr>
              <w:t xml:space="preserve"> parameter in the </w:t>
            </w:r>
            <w:proofErr w:type="spellStart"/>
            <w:r w:rsidRPr="00C97629">
              <w:rPr>
                <w:sz w:val="24"/>
                <w:szCs w:val="24"/>
                <w:lang w:val="en-US" w:bidi="he-IL"/>
              </w:rPr>
              <w:t>SelectedBSS</w:t>
            </w:r>
            <w:proofErr w:type="spellEnd"/>
            <w:r w:rsidRPr="00C97629">
              <w:rPr>
                <w:sz w:val="24"/>
                <w:szCs w:val="24"/>
                <w:lang w:val="en-US" w:bidi="he-IL"/>
              </w:rPr>
              <w:t xml:space="preserve"> parameter.</w:t>
            </w:r>
          </w:p>
          <w:p w14:paraId="7D81A8D4"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 </w:t>
            </w:r>
          </w:p>
          <w:p w14:paraId="7236C460"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DMG BSS: The set of MCS indexes that the STA uses for communication within the BSS.</w:t>
            </w:r>
          </w:p>
        </w:tc>
      </w:tr>
    </w:tbl>
    <w:p w14:paraId="5F887F49" w14:textId="77777777" w:rsidR="00C97629" w:rsidRPr="00C97629" w:rsidRDefault="00C97629" w:rsidP="00195C4A">
      <w:pPr>
        <w:rPr>
          <w:lang w:val="en-US"/>
        </w:rPr>
      </w:pPr>
    </w:p>
    <w:p w14:paraId="6D07A24B" w14:textId="77777777" w:rsidR="00B45AB4" w:rsidRDefault="00B45AB4" w:rsidP="00195C4A"/>
    <w:p w14:paraId="3BEF3AF5" w14:textId="77777777" w:rsidR="00C97629" w:rsidRDefault="00C97629">
      <w:r>
        <w:br w:type="page"/>
      </w:r>
    </w:p>
    <w:p w14:paraId="30713C51" w14:textId="23457D93" w:rsidR="008308B9" w:rsidRDefault="008308B9" w:rsidP="008308B9">
      <w:r>
        <w:lastRenderedPageBreak/>
        <w:t>At P201.54</w:t>
      </w:r>
    </w:p>
    <w:p w14:paraId="58D151BE" w14:textId="5B4AE98D" w:rsidR="000E3BC3" w:rsidRDefault="000E3BC3" w:rsidP="008308B9">
      <w:proofErr w:type="spellStart"/>
      <w:r>
        <w:t>BSSBasicRateSet</w:t>
      </w:r>
      <w:proofErr w:type="spellEnd"/>
    </w:p>
    <w:p w14:paraId="0323CF90" w14:textId="77777777" w:rsidR="008308B9" w:rsidRDefault="008308B9" w:rsidP="008308B9">
      <w:r>
        <w:t>Add the following to the “Valid Range” entry of “</w:t>
      </w:r>
      <w:proofErr w:type="spellStart"/>
      <w:r>
        <w:t>BSSBasicRateSet</w:t>
      </w:r>
      <w:proofErr w:type="spellEnd"/>
      <w:r>
        <w:t>”:</w:t>
      </w:r>
    </w:p>
    <w:p w14:paraId="0FDE7C84" w14:textId="77777777" w:rsidR="008308B9" w:rsidRDefault="008308B9" w:rsidP="008308B9">
      <w:pPr>
        <w:rPr>
          <w:rFonts w:ascii="Arial" w:hAnsi="Arial" w:cs="Arial"/>
          <w:sz w:val="20"/>
        </w:rPr>
      </w:pPr>
      <w:r>
        <w:rPr>
          <w:rFonts w:ascii="Arial" w:hAnsi="Arial" w:cs="Arial"/>
          <w:sz w:val="20"/>
        </w:rPr>
        <w:t>“Only data rates present in dot11SupportedDataRatesRxTable and dot11SupportedDataRatesTxTable may be present”</w:t>
      </w:r>
    </w:p>
    <w:p w14:paraId="2ECCB03D" w14:textId="77777777" w:rsidR="00C97629" w:rsidRDefault="00C97629" w:rsidP="008308B9">
      <w:pPr>
        <w:rPr>
          <w:rFonts w:ascii="Arial" w:hAnsi="Arial" w:cs="Arial"/>
          <w:sz w:val="20"/>
        </w:rPr>
      </w:pPr>
    </w:p>
    <w:p w14:paraId="26AE4B56" w14:textId="77777777" w:rsidR="00C97629" w:rsidRDefault="00C97629" w:rsidP="00C97629">
      <w:pPr>
        <w:rPr>
          <w:sz w:val="24"/>
          <w:szCs w:val="24"/>
          <w:lang w:bidi="he-IL"/>
        </w:rPr>
      </w:pPr>
      <w:r>
        <w:rPr>
          <w:sz w:val="24"/>
          <w:szCs w:val="24"/>
          <w:lang w:bidi="he-IL"/>
        </w:rPr>
        <w:t>Mark R Suggests</w:t>
      </w:r>
    </w:p>
    <w:p w14:paraId="02E5A649" w14:textId="078CEE00" w:rsidR="00C97629" w:rsidRPr="00C97629" w:rsidRDefault="00C97629" w:rsidP="00C97629">
      <w:pPr>
        <w:rPr>
          <w:sz w:val="24"/>
          <w:szCs w:val="24"/>
          <w:lang w:val="en-US" w:bidi="he-IL"/>
        </w:rPr>
      </w:pPr>
      <w:r w:rsidRPr="00C97629">
        <w:rPr>
          <w:sz w:val="24"/>
          <w:szCs w:val="24"/>
          <w:lang w:bidi="he-IL"/>
        </w:rPr>
        <w:t>A</w:t>
      </w:r>
      <w:r>
        <w:rPr>
          <w:sz w:val="24"/>
          <w:szCs w:val="24"/>
          <w:lang w:bidi="he-IL"/>
        </w:rPr>
        <w:t>t</w:t>
      </w:r>
      <w:r w:rsidRPr="00C97629">
        <w:rPr>
          <w:sz w:val="24"/>
          <w:szCs w:val="24"/>
          <w:lang w:bidi="he-IL"/>
        </w:rPr>
        <w:t xml:space="preserve"> 201.52 (</w:t>
      </w:r>
      <w:proofErr w:type="spellStart"/>
      <w:r w:rsidRPr="00C97629">
        <w:rPr>
          <w:sz w:val="24"/>
          <w:szCs w:val="24"/>
          <w:lang w:bidi="he-IL"/>
        </w:rPr>
        <w:t>START.req</w:t>
      </w:r>
      <w:proofErr w:type="spellEnd"/>
      <w:r w:rsidRPr="00C97629">
        <w:rPr>
          <w:sz w:val="24"/>
          <w:szCs w:val="24"/>
          <w:lang w:bidi="he-IL"/>
        </w:rPr>
        <w:t>):</w:t>
      </w:r>
    </w:p>
    <w:tbl>
      <w:tblPr>
        <w:tblW w:w="0" w:type="auto"/>
        <w:tblLayout w:type="fixed"/>
        <w:tblCellMar>
          <w:left w:w="0" w:type="dxa"/>
          <w:right w:w="0" w:type="dxa"/>
        </w:tblCellMar>
        <w:tblLook w:val="04A0" w:firstRow="1" w:lastRow="0" w:firstColumn="1" w:lastColumn="0" w:noHBand="0" w:noVBand="1"/>
      </w:tblPr>
      <w:tblGrid>
        <w:gridCol w:w="2178"/>
        <w:gridCol w:w="2045"/>
        <w:gridCol w:w="2772"/>
        <w:gridCol w:w="3307"/>
      </w:tblGrid>
      <w:tr w:rsidR="00C97629" w:rsidRPr="00C97629" w14:paraId="270136E2" w14:textId="77777777" w:rsidTr="00C97629">
        <w:tc>
          <w:tcPr>
            <w:tcW w:w="2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28DDD7" w14:textId="77777777" w:rsidR="00C97629" w:rsidRPr="00C97629" w:rsidRDefault="00C97629" w:rsidP="00972B6D">
            <w:pPr>
              <w:spacing w:before="100" w:beforeAutospacing="1" w:after="100" w:afterAutospacing="1"/>
              <w:rPr>
                <w:sz w:val="24"/>
                <w:szCs w:val="24"/>
                <w:lang w:val="en-US" w:bidi="he-IL"/>
              </w:rPr>
            </w:pPr>
            <w:proofErr w:type="spellStart"/>
            <w:r w:rsidRPr="00C97629">
              <w:rPr>
                <w:sz w:val="24"/>
                <w:szCs w:val="24"/>
                <w:lang w:val="en-US" w:bidi="he-IL"/>
              </w:rPr>
              <w:t>BSSBasicRateAndMembershipSelectorSet</w:t>
            </w:r>
            <w:proofErr w:type="spellEnd"/>
          </w:p>
        </w:tc>
        <w:tc>
          <w:tcPr>
            <w:tcW w:w="2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3581A"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Set of integers</w:t>
            </w:r>
          </w:p>
        </w:tc>
        <w:tc>
          <w:tcPr>
            <w:tcW w:w="2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E7A381"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A value in both dot11SupportedDataRatesRxTable and dot11SupportedDataRatesTxTable, or in Table 9-77 and corresponding to a supported feature (for each integer in the set)</w:t>
            </w:r>
          </w:p>
        </w:tc>
        <w:tc>
          <w:tcPr>
            <w:tcW w:w="33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785F56"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Non-DMG BSS: The set of data rates and features that all STAs in the BSS are able to use for communication. All STAs in the BSS, including the STA that is creating the BSS, are able to receive and transmit at each of the data rates listed in the set and with each of the features listed in the set.</w:t>
            </w:r>
          </w:p>
          <w:p w14:paraId="18EE270F"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 </w:t>
            </w:r>
          </w:p>
          <w:p w14:paraId="035D2280"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DMG BSS: Empty.</w:t>
            </w:r>
          </w:p>
        </w:tc>
      </w:tr>
      <w:tr w:rsidR="00C97629" w:rsidRPr="00C97629" w14:paraId="700FA54D" w14:textId="77777777" w:rsidTr="00C97629">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34049" w14:textId="77777777" w:rsidR="00C97629" w:rsidRPr="00C97629" w:rsidRDefault="00C97629" w:rsidP="00972B6D">
            <w:pPr>
              <w:spacing w:before="100" w:beforeAutospacing="1" w:after="100" w:afterAutospacing="1"/>
              <w:rPr>
                <w:sz w:val="24"/>
                <w:szCs w:val="24"/>
                <w:lang w:val="en-US" w:bidi="he-IL"/>
              </w:rPr>
            </w:pPr>
            <w:proofErr w:type="spellStart"/>
            <w:r w:rsidRPr="00C97629">
              <w:rPr>
                <w:sz w:val="24"/>
                <w:szCs w:val="24"/>
                <w:lang w:val="en-US" w:bidi="he-IL"/>
              </w:rPr>
              <w:t>OperationalRateAndMembershipSelectorSet</w:t>
            </w:r>
            <w:proofErr w:type="spellEnd"/>
          </w:p>
        </w:tc>
        <w:tc>
          <w:tcPr>
            <w:tcW w:w="2045" w:type="dxa"/>
            <w:tcBorders>
              <w:top w:val="nil"/>
              <w:left w:val="nil"/>
              <w:bottom w:val="single" w:sz="8" w:space="0" w:color="auto"/>
              <w:right w:val="single" w:sz="8" w:space="0" w:color="auto"/>
            </w:tcBorders>
            <w:tcMar>
              <w:top w:w="0" w:type="dxa"/>
              <w:left w:w="108" w:type="dxa"/>
              <w:bottom w:w="0" w:type="dxa"/>
              <w:right w:w="108" w:type="dxa"/>
            </w:tcMar>
            <w:hideMark/>
          </w:tcPr>
          <w:p w14:paraId="35E61599"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Set of integers</w:t>
            </w:r>
          </w:p>
        </w:tc>
        <w:tc>
          <w:tcPr>
            <w:tcW w:w="2772" w:type="dxa"/>
            <w:tcBorders>
              <w:top w:val="nil"/>
              <w:left w:val="nil"/>
              <w:bottom w:val="single" w:sz="8" w:space="0" w:color="auto"/>
              <w:right w:val="single" w:sz="8" w:space="0" w:color="auto"/>
            </w:tcBorders>
            <w:tcMar>
              <w:top w:w="0" w:type="dxa"/>
              <w:left w:w="108" w:type="dxa"/>
              <w:bottom w:w="0" w:type="dxa"/>
              <w:right w:w="108" w:type="dxa"/>
            </w:tcMar>
            <w:hideMark/>
          </w:tcPr>
          <w:p w14:paraId="56D769C5"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A value in dot11SupportedDataRatesRxTable, or in Table 9-77 and corresponding to a supported feature (for each integer in the set)</w:t>
            </w:r>
          </w:p>
          <w:p w14:paraId="21018695"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 </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5294B7B4"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 xml:space="preserve">Non-DMG BSS: The set of data rates and features that the STA is able to use for communication within the BSS. The STA is able to receive at each of the data rates listed in the set and with each of the features listed in the set. This set is a superset of the rates contained in the </w:t>
            </w:r>
            <w:proofErr w:type="spellStart"/>
            <w:r w:rsidRPr="00C97629">
              <w:rPr>
                <w:sz w:val="24"/>
                <w:szCs w:val="24"/>
                <w:lang w:val="en-US" w:bidi="he-IL"/>
              </w:rPr>
              <w:t>BSSBasicRateAndMembershipSelectorSet</w:t>
            </w:r>
            <w:proofErr w:type="spellEnd"/>
            <w:r w:rsidRPr="00C97629">
              <w:rPr>
                <w:sz w:val="24"/>
                <w:szCs w:val="24"/>
                <w:lang w:val="en-US" w:bidi="he-IL"/>
              </w:rPr>
              <w:t xml:space="preserve"> parameter.</w:t>
            </w:r>
          </w:p>
          <w:p w14:paraId="2E58495C"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 </w:t>
            </w:r>
          </w:p>
          <w:p w14:paraId="0C032784" w14:textId="77777777" w:rsidR="00C97629" w:rsidRPr="00C97629" w:rsidRDefault="00C97629" w:rsidP="00972B6D">
            <w:pPr>
              <w:spacing w:before="100" w:beforeAutospacing="1" w:after="100" w:afterAutospacing="1"/>
              <w:rPr>
                <w:sz w:val="24"/>
                <w:szCs w:val="24"/>
                <w:lang w:val="en-US" w:bidi="he-IL"/>
              </w:rPr>
            </w:pPr>
            <w:r w:rsidRPr="00C97629">
              <w:rPr>
                <w:sz w:val="24"/>
                <w:szCs w:val="24"/>
                <w:lang w:val="en-US" w:bidi="he-IL"/>
              </w:rPr>
              <w:t>DMG BSS: The set of MCS indexes that the STA uses for communication within the BSS.</w:t>
            </w:r>
          </w:p>
        </w:tc>
      </w:tr>
    </w:tbl>
    <w:p w14:paraId="7D91F291" w14:textId="77777777" w:rsidR="00C97629" w:rsidRPr="00C97629" w:rsidRDefault="00C97629" w:rsidP="008308B9">
      <w:pPr>
        <w:rPr>
          <w:lang w:val="en-US"/>
        </w:rPr>
      </w:pPr>
    </w:p>
    <w:p w14:paraId="2029DE7C" w14:textId="77777777" w:rsidR="008308B9" w:rsidRDefault="008308B9" w:rsidP="00195C4A"/>
    <w:p w14:paraId="009AEC37" w14:textId="77777777" w:rsidR="00C97629" w:rsidRDefault="00C97629">
      <w:r>
        <w:br w:type="page"/>
      </w:r>
    </w:p>
    <w:p w14:paraId="28EE76FC" w14:textId="3B211E79" w:rsidR="00B45AB4" w:rsidRDefault="00B45AB4" w:rsidP="00195C4A">
      <w:r>
        <w:lastRenderedPageBreak/>
        <w:t>At P202.44</w:t>
      </w:r>
      <w:r w:rsidR="00E46698">
        <w:t xml:space="preserve"> and P153.17</w:t>
      </w:r>
    </w:p>
    <w:p w14:paraId="5F57577E" w14:textId="394655F8" w:rsidR="00B45AB4" w:rsidRDefault="00B45AB4" w:rsidP="00195C4A">
      <w:r>
        <w:t xml:space="preserve">Add the following to the </w:t>
      </w:r>
      <w:r w:rsidR="00E46698">
        <w:t>“</w:t>
      </w:r>
      <w:r>
        <w:t>Valid Range</w:t>
      </w:r>
      <w:r w:rsidR="00E46698">
        <w:t>”</w:t>
      </w:r>
      <w:r>
        <w:t xml:space="preserve"> entry of </w:t>
      </w:r>
      <w:r w:rsidR="00E46698">
        <w:t>“</w:t>
      </w:r>
      <w:r>
        <w:t>HT Operation</w:t>
      </w:r>
      <w:r w:rsidR="00E46698">
        <w:t>”</w:t>
      </w:r>
    </w:p>
    <w:p w14:paraId="6FB962F9" w14:textId="43A2B9C6" w:rsidR="00B45AB4" w:rsidRDefault="00B45AB4" w:rsidP="00A141E2">
      <w:r>
        <w:t>“</w:t>
      </w:r>
      <w:r w:rsidR="00E46698">
        <w:t xml:space="preserve">Only </w:t>
      </w:r>
      <w:r>
        <w:t xml:space="preserve">MCSs present in </w:t>
      </w:r>
      <w:r w:rsidR="00E46698" w:rsidRPr="00E46698">
        <w:t xml:space="preserve">dot11SupportedMCSTxTable and dot11SupportedMCSRxTable </w:t>
      </w:r>
      <w:r w:rsidR="00A141E2">
        <w:t>may be present”</w:t>
      </w:r>
    </w:p>
    <w:p w14:paraId="2ACA69C4" w14:textId="77777777" w:rsidR="00C97629" w:rsidRDefault="00C97629" w:rsidP="00A141E2"/>
    <w:p w14:paraId="5264AECE" w14:textId="77777777" w:rsidR="00C97629" w:rsidRDefault="00C97629" w:rsidP="00C97629">
      <w:pPr>
        <w:rPr>
          <w:sz w:val="24"/>
          <w:szCs w:val="24"/>
          <w:lang w:bidi="he-IL"/>
        </w:rPr>
      </w:pPr>
      <w:r>
        <w:rPr>
          <w:sz w:val="24"/>
          <w:szCs w:val="24"/>
          <w:lang w:bidi="he-IL"/>
        </w:rPr>
        <w:t>Mark R suggests</w:t>
      </w:r>
    </w:p>
    <w:p w14:paraId="1BA8F08D" w14:textId="7B92F0D9" w:rsidR="00C97629" w:rsidRDefault="00C97629" w:rsidP="00C97629">
      <w:pPr>
        <w:rPr>
          <w:sz w:val="24"/>
          <w:szCs w:val="24"/>
          <w:lang w:bidi="he-IL"/>
        </w:rPr>
      </w:pPr>
      <w:r w:rsidRPr="00C97629">
        <w:rPr>
          <w:sz w:val="24"/>
          <w:szCs w:val="24"/>
          <w:lang w:bidi="he-IL"/>
        </w:rPr>
        <w:t xml:space="preserve">Delete the </w:t>
      </w:r>
      <w:proofErr w:type="spellStart"/>
      <w:r w:rsidRPr="00C97629">
        <w:rPr>
          <w:sz w:val="24"/>
          <w:szCs w:val="24"/>
          <w:lang w:bidi="he-IL"/>
        </w:rPr>
        <w:t>BSSMembershipSelectorSet</w:t>
      </w:r>
      <w:proofErr w:type="spellEnd"/>
      <w:r w:rsidRPr="00C97629">
        <w:rPr>
          <w:sz w:val="24"/>
          <w:szCs w:val="24"/>
          <w:lang w:bidi="he-IL"/>
        </w:rPr>
        <w:t xml:space="preserve"> row at 202.48.</w:t>
      </w:r>
    </w:p>
    <w:p w14:paraId="7037D8DD" w14:textId="77777777" w:rsidR="00C97629" w:rsidRPr="00C97629" w:rsidRDefault="00C97629" w:rsidP="00C97629">
      <w:pPr>
        <w:rPr>
          <w:sz w:val="24"/>
          <w:szCs w:val="24"/>
          <w:lang w:val="en-US" w:bidi="he-IL"/>
        </w:rPr>
      </w:pPr>
    </w:p>
    <w:p w14:paraId="3248531B" w14:textId="77777777" w:rsidR="00C97629" w:rsidRPr="00C97629" w:rsidRDefault="00C97629" w:rsidP="00A141E2">
      <w:pPr>
        <w:rPr>
          <w:lang w:val="en-US"/>
        </w:rPr>
      </w:pPr>
    </w:p>
    <w:p w14:paraId="0E56679F" w14:textId="77777777" w:rsidR="000E3BC3" w:rsidRDefault="000E3BC3" w:rsidP="00195C4A"/>
    <w:p w14:paraId="23D206EB" w14:textId="23EC196B" w:rsidR="000E3BC3" w:rsidRDefault="000E3BC3" w:rsidP="00195C4A">
      <w:r>
        <w:t>At P153.06 and P202.40</w:t>
      </w:r>
    </w:p>
    <w:p w14:paraId="094382B4" w14:textId="0EC1EB90" w:rsidR="000E3BC3" w:rsidRDefault="000E3BC3" w:rsidP="000E3BC3">
      <w:r>
        <w:t>Add the following to the “Valid Range” entry of “HT Capabilities”</w:t>
      </w:r>
    </w:p>
    <w:p w14:paraId="7DF9F879" w14:textId="77777777" w:rsidR="000E3BC3" w:rsidRDefault="000E3BC3" w:rsidP="000E3BC3">
      <w:r>
        <w:t xml:space="preserve">“Only MCSs present in </w:t>
      </w:r>
      <w:r w:rsidRPr="00E46698">
        <w:t xml:space="preserve">dot11SupportedMCSTxTable and dot11SupportedMCSRxTable </w:t>
      </w:r>
      <w:r>
        <w:t>may be present”</w:t>
      </w:r>
    </w:p>
    <w:p w14:paraId="211416C2" w14:textId="77777777" w:rsidR="000E3BC3" w:rsidRDefault="000E3BC3" w:rsidP="00195C4A"/>
    <w:p w14:paraId="25573303" w14:textId="4BA38CC1" w:rsidR="00E46698" w:rsidRDefault="00E46698" w:rsidP="00195C4A">
      <w:r>
        <w:t>At P156.52</w:t>
      </w:r>
    </w:p>
    <w:p w14:paraId="23227C80" w14:textId="59430073" w:rsidR="00E46698" w:rsidRDefault="00E46698" w:rsidP="00E46698">
      <w:r>
        <w:t>Add the following to the “Valid Range” entry of “VHT Capabilities”</w:t>
      </w:r>
    </w:p>
    <w:p w14:paraId="7D0F111D" w14:textId="748B25CD" w:rsidR="00E46698" w:rsidRDefault="00E46698" w:rsidP="00E46698">
      <w:r>
        <w:t xml:space="preserve">“Only MCSs present </w:t>
      </w:r>
      <w:r w:rsidRPr="00E46698">
        <w:t xml:space="preserve">in dot11VHTTxVHTMCSMap and dot11VHTRxVHTMCSMap may </w:t>
      </w:r>
      <w:r>
        <w:t>be present in the RX VHT-MCS Map subfield of the Supported VHT-MCS and NSS Set”</w:t>
      </w:r>
    </w:p>
    <w:p w14:paraId="63A9A68E" w14:textId="77777777" w:rsidR="00C97629" w:rsidRDefault="00C97629" w:rsidP="00E46698"/>
    <w:p w14:paraId="1762A726" w14:textId="77777777" w:rsidR="00C97629" w:rsidRDefault="00C97629" w:rsidP="00C97629">
      <w:pPr>
        <w:spacing w:before="100" w:beforeAutospacing="1" w:after="100" w:afterAutospacing="1"/>
        <w:rPr>
          <w:sz w:val="24"/>
          <w:szCs w:val="24"/>
          <w:lang w:bidi="he-IL"/>
        </w:rPr>
      </w:pPr>
    </w:p>
    <w:p w14:paraId="3EB31800" w14:textId="73C8387C" w:rsidR="00C97629" w:rsidRDefault="00C97629" w:rsidP="00C97629">
      <w:pPr>
        <w:rPr>
          <w:sz w:val="24"/>
          <w:szCs w:val="24"/>
          <w:lang w:bidi="he-IL"/>
        </w:rPr>
      </w:pPr>
      <w:r>
        <w:rPr>
          <w:sz w:val="24"/>
          <w:szCs w:val="24"/>
          <w:lang w:bidi="he-IL"/>
        </w:rPr>
        <w:t>Mark R suggests</w:t>
      </w:r>
    </w:p>
    <w:p w14:paraId="1BA7C73B" w14:textId="77AC7E81" w:rsidR="00C97629" w:rsidRPr="00C97629" w:rsidRDefault="00C97629" w:rsidP="00C97629">
      <w:pPr>
        <w:rPr>
          <w:sz w:val="24"/>
          <w:szCs w:val="24"/>
          <w:lang w:val="en-US" w:bidi="he-IL"/>
        </w:rPr>
      </w:pPr>
      <w:r w:rsidRPr="00C97629">
        <w:rPr>
          <w:sz w:val="24"/>
          <w:szCs w:val="24"/>
          <w:lang w:bidi="he-IL"/>
        </w:rPr>
        <w:t xml:space="preserve">Delete the </w:t>
      </w:r>
      <w:proofErr w:type="spellStart"/>
      <w:r w:rsidRPr="00C97629">
        <w:rPr>
          <w:sz w:val="24"/>
          <w:szCs w:val="24"/>
          <w:lang w:bidi="he-IL"/>
        </w:rPr>
        <w:t>BSSMembershipSelectorSet</w:t>
      </w:r>
      <w:proofErr w:type="spellEnd"/>
      <w:r w:rsidRPr="00C97629">
        <w:rPr>
          <w:sz w:val="24"/>
          <w:szCs w:val="24"/>
          <w:lang w:bidi="he-IL"/>
        </w:rPr>
        <w:t xml:space="preserve"> row at 202.48.</w:t>
      </w:r>
    </w:p>
    <w:p w14:paraId="31A3C323" w14:textId="77777777" w:rsidR="00C97629" w:rsidRPr="00C97629" w:rsidRDefault="00C97629" w:rsidP="00C97629">
      <w:pPr>
        <w:rPr>
          <w:sz w:val="24"/>
          <w:szCs w:val="24"/>
          <w:lang w:val="en-US" w:bidi="he-IL"/>
        </w:rPr>
      </w:pPr>
      <w:r w:rsidRPr="00C97629">
        <w:rPr>
          <w:sz w:val="24"/>
          <w:szCs w:val="24"/>
          <w:lang w:bidi="he-IL"/>
        </w:rPr>
        <w:t>At 173.47 (</w:t>
      </w:r>
      <w:proofErr w:type="spellStart"/>
      <w:r w:rsidRPr="00C97629">
        <w:rPr>
          <w:sz w:val="24"/>
          <w:szCs w:val="24"/>
          <w:lang w:bidi="he-IL"/>
        </w:rPr>
        <w:t>ASSOC.cfm</w:t>
      </w:r>
      <w:proofErr w:type="spellEnd"/>
      <w:r w:rsidRPr="00C97629">
        <w:rPr>
          <w:sz w:val="24"/>
          <w:szCs w:val="24"/>
          <w:lang w:bidi="he-IL"/>
        </w:rPr>
        <w:t>):</w:t>
      </w:r>
    </w:p>
    <w:tbl>
      <w:tblPr>
        <w:tblW w:w="0" w:type="auto"/>
        <w:tblLayout w:type="fixed"/>
        <w:tblCellMar>
          <w:left w:w="0" w:type="dxa"/>
          <w:right w:w="0" w:type="dxa"/>
        </w:tblCellMar>
        <w:tblLook w:val="04A0" w:firstRow="1" w:lastRow="0" w:firstColumn="1" w:lastColumn="0" w:noHBand="0" w:noVBand="1"/>
      </w:tblPr>
      <w:tblGrid>
        <w:gridCol w:w="2088"/>
        <w:gridCol w:w="1851"/>
        <w:gridCol w:w="3203"/>
        <w:gridCol w:w="3160"/>
      </w:tblGrid>
      <w:tr w:rsidR="00C97629" w:rsidRPr="00C97629" w14:paraId="6152D4F1" w14:textId="77777777" w:rsidTr="00C97629">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CA5806" w14:textId="77777777" w:rsidR="00C97629" w:rsidRPr="00C97629" w:rsidRDefault="00C97629" w:rsidP="00C97629">
            <w:pPr>
              <w:spacing w:before="100" w:beforeAutospacing="1" w:after="100" w:afterAutospacing="1"/>
              <w:rPr>
                <w:sz w:val="24"/>
                <w:szCs w:val="24"/>
                <w:lang w:val="en-US" w:bidi="he-IL"/>
              </w:rPr>
            </w:pPr>
            <w:proofErr w:type="spellStart"/>
            <w:r w:rsidRPr="00C97629">
              <w:rPr>
                <w:sz w:val="24"/>
                <w:szCs w:val="24"/>
                <w:lang w:val="en-US" w:bidi="he-IL"/>
              </w:rPr>
              <w:t>SupportedRateAndMembershipSelectorSet</w:t>
            </w:r>
            <w:proofErr w:type="spellEnd"/>
          </w:p>
        </w:tc>
        <w:tc>
          <w:tcPr>
            <w:tcW w:w="1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FD563" w14:textId="77777777" w:rsidR="00C97629" w:rsidRPr="00C97629" w:rsidRDefault="00C97629" w:rsidP="00C97629">
            <w:pPr>
              <w:spacing w:before="100" w:beforeAutospacing="1" w:after="100" w:afterAutospacing="1"/>
              <w:rPr>
                <w:sz w:val="24"/>
                <w:szCs w:val="24"/>
                <w:lang w:val="en-US" w:bidi="he-IL"/>
              </w:rPr>
            </w:pPr>
            <w:r w:rsidRPr="00C97629">
              <w:rPr>
                <w:sz w:val="24"/>
                <w:szCs w:val="24"/>
                <w:lang w:val="en-US" w:bidi="he-IL"/>
              </w:rPr>
              <w:t>Set of integers</w:t>
            </w:r>
          </w:p>
        </w:tc>
        <w:tc>
          <w:tcPr>
            <w:tcW w:w="32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A36DF" w14:textId="77777777" w:rsidR="00C97629" w:rsidRPr="00C97629" w:rsidRDefault="00C97629" w:rsidP="00C97629">
            <w:pPr>
              <w:spacing w:before="100" w:beforeAutospacing="1" w:after="100" w:afterAutospacing="1"/>
              <w:rPr>
                <w:sz w:val="24"/>
                <w:szCs w:val="24"/>
                <w:lang w:val="en-US" w:bidi="he-IL"/>
              </w:rPr>
            </w:pPr>
            <w:r w:rsidRPr="00C97629">
              <w:rPr>
                <w:sz w:val="24"/>
                <w:szCs w:val="24"/>
                <w:lang w:val="en-US" w:bidi="he-IL"/>
              </w:rPr>
              <w:t xml:space="preserve">1–127 inclusive (for each integer in the set), bit 7 is set to 1 to indicate that a rate or feature is a member of the </w:t>
            </w:r>
            <w:proofErr w:type="spellStart"/>
            <w:r w:rsidRPr="00C97629">
              <w:rPr>
                <w:sz w:val="24"/>
                <w:szCs w:val="24"/>
                <w:lang w:val="en-US" w:bidi="he-IL"/>
              </w:rPr>
              <w:t>BSSBasicRateAndMembershipSelectorSet</w:t>
            </w:r>
            <w:proofErr w:type="spellEnd"/>
            <w:r w:rsidRPr="00C97629">
              <w:rPr>
                <w:sz w:val="24"/>
                <w:szCs w:val="24"/>
                <w:lang w:val="en-US" w:bidi="he-IL"/>
              </w:rPr>
              <w:t>.</w:t>
            </w:r>
          </w:p>
        </w:tc>
        <w:tc>
          <w:tcPr>
            <w:tcW w:w="3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A7BEE2" w14:textId="77777777" w:rsidR="00C97629" w:rsidRPr="00C97629" w:rsidRDefault="00C97629" w:rsidP="00C97629">
            <w:pPr>
              <w:spacing w:before="100" w:beforeAutospacing="1" w:after="100" w:afterAutospacing="1"/>
              <w:rPr>
                <w:sz w:val="24"/>
                <w:szCs w:val="24"/>
                <w:lang w:val="en-US" w:bidi="he-IL"/>
              </w:rPr>
            </w:pPr>
            <w:r w:rsidRPr="00C97629">
              <w:rPr>
                <w:sz w:val="24"/>
                <w:szCs w:val="24"/>
                <w:lang w:val="en-US" w:bidi="he-IL"/>
              </w:rPr>
              <w:t xml:space="preserve">The set of data rates (in units of 500 kb/s) and features that are supported by the AP or PCP, including indication of which rates and features are part of the </w:t>
            </w:r>
            <w:proofErr w:type="spellStart"/>
            <w:r w:rsidRPr="00C97629">
              <w:rPr>
                <w:sz w:val="24"/>
                <w:szCs w:val="24"/>
                <w:lang w:val="en-US" w:bidi="he-IL"/>
              </w:rPr>
              <w:t>BSSBasicRateAndMembershipSelectorSet</w:t>
            </w:r>
            <w:proofErr w:type="spellEnd"/>
            <w:r w:rsidRPr="00C97629">
              <w:rPr>
                <w:sz w:val="24"/>
                <w:szCs w:val="24"/>
                <w:lang w:val="en-US" w:bidi="he-IL"/>
              </w:rPr>
              <w:t xml:space="preserve"> (according to 9.4.2.3 (Supported Rates and BSS Membership Selectors element)).</w:t>
            </w:r>
          </w:p>
        </w:tc>
      </w:tr>
    </w:tbl>
    <w:p w14:paraId="00469889" w14:textId="77777777" w:rsidR="00C97629" w:rsidRPr="00C97629" w:rsidRDefault="00C97629" w:rsidP="00C97629">
      <w:pPr>
        <w:spacing w:before="100" w:beforeAutospacing="1" w:after="100" w:afterAutospacing="1"/>
        <w:rPr>
          <w:sz w:val="24"/>
          <w:szCs w:val="24"/>
          <w:lang w:val="en-US" w:bidi="he-IL"/>
        </w:rPr>
      </w:pPr>
      <w:r w:rsidRPr="00C97629">
        <w:rPr>
          <w:rFonts w:ascii="Courier New" w:hAnsi="Courier New" w:cs="Courier New"/>
          <w:sz w:val="24"/>
          <w:szCs w:val="24"/>
          <w:lang w:bidi="he-IL"/>
        </w:rPr>
        <w:t>Or even split this out into basic and operational?  This would be</w:t>
      </w:r>
    </w:p>
    <w:p w14:paraId="2F56678F" w14:textId="77777777" w:rsidR="00C97629" w:rsidRPr="00C97629" w:rsidRDefault="00C97629" w:rsidP="00C97629">
      <w:pPr>
        <w:spacing w:before="100" w:beforeAutospacing="1" w:after="100" w:afterAutospacing="1"/>
        <w:rPr>
          <w:sz w:val="24"/>
          <w:szCs w:val="24"/>
          <w:lang w:val="en-US" w:bidi="he-IL"/>
        </w:rPr>
      </w:pPr>
      <w:proofErr w:type="gramStart"/>
      <w:r w:rsidRPr="00C97629">
        <w:rPr>
          <w:rFonts w:ascii="Courier New" w:hAnsi="Courier New" w:cs="Courier New"/>
          <w:sz w:val="24"/>
          <w:szCs w:val="24"/>
          <w:lang w:bidi="he-IL"/>
        </w:rPr>
        <w:t>more</w:t>
      </w:r>
      <w:proofErr w:type="gramEnd"/>
      <w:r w:rsidRPr="00C97629">
        <w:rPr>
          <w:rFonts w:ascii="Courier New" w:hAnsi="Courier New" w:cs="Courier New"/>
          <w:sz w:val="24"/>
          <w:szCs w:val="24"/>
          <w:lang w:bidi="he-IL"/>
        </w:rPr>
        <w:t xml:space="preserve"> consistent and arguably cleaner, for a SAP.</w:t>
      </w:r>
    </w:p>
    <w:p w14:paraId="7E678932" w14:textId="77777777" w:rsidR="00C97629" w:rsidRPr="00C97629" w:rsidRDefault="00C97629" w:rsidP="00E46698">
      <w:pPr>
        <w:rPr>
          <w:lang w:val="en-US"/>
        </w:rPr>
      </w:pPr>
    </w:p>
    <w:p w14:paraId="5E3E4D18" w14:textId="77777777" w:rsidR="00A141E2" w:rsidRDefault="00A141E2" w:rsidP="00C31BED"/>
    <w:p w14:paraId="589AF2D7" w14:textId="77777777" w:rsidR="00A2573B" w:rsidRPr="00A2573B" w:rsidRDefault="00A2573B" w:rsidP="00C31BED"/>
    <w:p w14:paraId="50CCE060" w14:textId="77777777" w:rsidR="00712C90"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712C90" w14:paraId="7CE54F65" w14:textId="77777777" w:rsidTr="00712C90">
        <w:tc>
          <w:tcPr>
            <w:tcW w:w="1809" w:type="dxa"/>
          </w:tcPr>
          <w:p w14:paraId="5EC8B2F7" w14:textId="77777777" w:rsidR="00712C90" w:rsidRDefault="00712C90" w:rsidP="00712C90">
            <w:r>
              <w:lastRenderedPageBreak/>
              <w:t>Identifiers</w:t>
            </w:r>
          </w:p>
        </w:tc>
        <w:tc>
          <w:tcPr>
            <w:tcW w:w="4383" w:type="dxa"/>
          </w:tcPr>
          <w:p w14:paraId="5486A3BE" w14:textId="77777777" w:rsidR="00712C90" w:rsidRDefault="00712C90" w:rsidP="00712C90">
            <w:r>
              <w:t>Comment</w:t>
            </w:r>
          </w:p>
        </w:tc>
        <w:tc>
          <w:tcPr>
            <w:tcW w:w="3384" w:type="dxa"/>
          </w:tcPr>
          <w:p w14:paraId="4C448D15" w14:textId="77777777" w:rsidR="00712C90" w:rsidRDefault="00712C90" w:rsidP="00712C90">
            <w:r>
              <w:t>Proposed change</w:t>
            </w:r>
          </w:p>
        </w:tc>
      </w:tr>
      <w:tr w:rsidR="00712C90" w14:paraId="4C2DB249" w14:textId="77777777" w:rsidTr="00712C90">
        <w:tc>
          <w:tcPr>
            <w:tcW w:w="1809" w:type="dxa"/>
          </w:tcPr>
          <w:p w14:paraId="0423BDB2" w14:textId="77777777" w:rsidR="00712C90" w:rsidRDefault="00712C90" w:rsidP="00712C90">
            <w:r>
              <w:t>CID 7282</w:t>
            </w:r>
          </w:p>
          <w:p w14:paraId="6A310DA2" w14:textId="77777777" w:rsidR="00712C90" w:rsidRDefault="00712C90" w:rsidP="00712C90">
            <w:r>
              <w:t>Mark Rison</w:t>
            </w:r>
          </w:p>
          <w:p w14:paraId="76E4F3FD" w14:textId="77777777" w:rsidR="00712C90" w:rsidRDefault="00712C90" w:rsidP="00712C90">
            <w:r>
              <w:t>6.3.4.2.2</w:t>
            </w:r>
          </w:p>
          <w:p w14:paraId="48711F94" w14:textId="77777777" w:rsidR="00712C90" w:rsidRDefault="00712C90" w:rsidP="00712C90">
            <w:r>
              <w:t>159.30</w:t>
            </w:r>
          </w:p>
          <w:p w14:paraId="36D5558C" w14:textId="77777777" w:rsidR="00712C90" w:rsidRDefault="00712C90" w:rsidP="00712C90"/>
          <w:p w14:paraId="313F9B1A" w14:textId="77777777" w:rsidR="00712C90" w:rsidRDefault="00712C90" w:rsidP="00712C90">
            <w:r>
              <w:t>CID 7284</w:t>
            </w:r>
          </w:p>
          <w:p w14:paraId="2DE7863C" w14:textId="77777777" w:rsidR="00712C90" w:rsidRDefault="00712C90" w:rsidP="00712C90">
            <w:r>
              <w:t>6.3.7.4.2</w:t>
            </w:r>
          </w:p>
          <w:p w14:paraId="26156844" w14:textId="77777777" w:rsidR="00712C90" w:rsidRDefault="00712C90" w:rsidP="00712C90">
            <w:r>
              <w:t>177.36</w:t>
            </w:r>
          </w:p>
          <w:p w14:paraId="1E4DC296" w14:textId="77777777" w:rsidR="00712C90" w:rsidRDefault="00712C90" w:rsidP="00712C90"/>
          <w:p w14:paraId="282EABB7" w14:textId="77777777" w:rsidR="00712C90" w:rsidRDefault="00712C90" w:rsidP="00712C90">
            <w:r>
              <w:t>CID 7286</w:t>
            </w:r>
          </w:p>
          <w:p w14:paraId="08413521" w14:textId="77777777" w:rsidR="00712C90" w:rsidRDefault="00712C90" w:rsidP="00712C90">
            <w:r>
              <w:t>6.3.8.4.2</w:t>
            </w:r>
          </w:p>
          <w:p w14:paraId="489FED95" w14:textId="77777777" w:rsidR="00712C90" w:rsidRDefault="00712C90" w:rsidP="00712C90">
            <w:r>
              <w:t>190.50</w:t>
            </w:r>
          </w:p>
          <w:p w14:paraId="3A6A489E" w14:textId="77777777" w:rsidR="00712C90" w:rsidRDefault="00712C90" w:rsidP="00712C90"/>
          <w:p w14:paraId="1A70A6EC" w14:textId="77777777" w:rsidR="00712C90" w:rsidRDefault="00712C90" w:rsidP="00712C90">
            <w:r>
              <w:t>CID 7287</w:t>
            </w:r>
          </w:p>
          <w:p w14:paraId="68A942E7" w14:textId="77777777" w:rsidR="00712C90" w:rsidRDefault="00712C90" w:rsidP="00712C90">
            <w:r>
              <w:t>6.3.11.2.2</w:t>
            </w:r>
          </w:p>
          <w:p w14:paraId="4078896F" w14:textId="77777777" w:rsidR="00712C90" w:rsidRDefault="00712C90" w:rsidP="00712C90">
            <w:r>
              <w:t>201.52</w:t>
            </w:r>
          </w:p>
          <w:p w14:paraId="6B3D4847" w14:textId="77777777" w:rsidR="00712C90" w:rsidRDefault="00712C90" w:rsidP="00712C90"/>
          <w:p w14:paraId="290ACDA5" w14:textId="77777777" w:rsidR="00712C90" w:rsidRDefault="00712C90" w:rsidP="00712C90">
            <w:r>
              <w:t>CID 7288</w:t>
            </w:r>
          </w:p>
          <w:p w14:paraId="303AF48E" w14:textId="77777777" w:rsidR="00712C90" w:rsidRDefault="00712C90" w:rsidP="00712C90">
            <w:r>
              <w:t>6.3.27.3.2</w:t>
            </w:r>
          </w:p>
          <w:p w14:paraId="60C4BDEE" w14:textId="77777777" w:rsidR="00712C90" w:rsidRDefault="00712C90" w:rsidP="00712C90">
            <w:r>
              <w:t>246.60</w:t>
            </w:r>
          </w:p>
          <w:p w14:paraId="76B74533" w14:textId="77777777" w:rsidR="00712C90" w:rsidRDefault="00712C90" w:rsidP="00712C90"/>
          <w:p w14:paraId="6FE6AB63" w14:textId="77777777" w:rsidR="00712C90" w:rsidRDefault="00712C90" w:rsidP="00712C90">
            <w:r>
              <w:t>CID 7289</w:t>
            </w:r>
          </w:p>
          <w:p w14:paraId="51B716BB" w14:textId="77777777" w:rsidR="00712C90" w:rsidRDefault="00712C90" w:rsidP="00712C90">
            <w:r>
              <w:t>6.3.27.4.2</w:t>
            </w:r>
          </w:p>
          <w:p w14:paraId="77EFEE1B" w14:textId="77777777" w:rsidR="00712C90" w:rsidRDefault="00712C90" w:rsidP="00712C90">
            <w:r>
              <w:t>247.58</w:t>
            </w:r>
          </w:p>
          <w:p w14:paraId="4A8E6A68" w14:textId="77777777" w:rsidR="00712C90" w:rsidRDefault="00712C90" w:rsidP="00712C90"/>
          <w:p w14:paraId="54950780" w14:textId="77777777" w:rsidR="00712C90" w:rsidRDefault="00712C90" w:rsidP="00712C90">
            <w:r>
              <w:t>CID 7290</w:t>
            </w:r>
          </w:p>
          <w:p w14:paraId="5E1A6DC9" w14:textId="77777777" w:rsidR="00712C90" w:rsidRDefault="00712C90" w:rsidP="00712C90">
            <w:r>
              <w:t>6.3.27.4.2</w:t>
            </w:r>
          </w:p>
          <w:p w14:paraId="36F2A6FD" w14:textId="77777777" w:rsidR="00712C90" w:rsidRDefault="00712C90" w:rsidP="00712C90">
            <w:r>
              <w:t>249.03</w:t>
            </w:r>
          </w:p>
          <w:p w14:paraId="15FD1220" w14:textId="77777777" w:rsidR="00712C90" w:rsidRDefault="00712C90" w:rsidP="00712C90"/>
        </w:tc>
        <w:tc>
          <w:tcPr>
            <w:tcW w:w="4383" w:type="dxa"/>
          </w:tcPr>
          <w:p w14:paraId="28AD23C7" w14:textId="77777777" w:rsidR="00712C90" w:rsidRDefault="00712C90" w:rsidP="00712C90">
            <w:pPr>
              <w:rPr>
                <w:rFonts w:ascii="Arial" w:hAnsi="Arial" w:cs="Arial"/>
                <w:sz w:val="20"/>
              </w:rPr>
            </w:pPr>
            <w:r>
              <w:rPr>
                <w:rFonts w:ascii="Arial" w:hAnsi="Arial" w:cs="Arial"/>
                <w:sz w:val="20"/>
              </w:rPr>
              <w:t>126 and 127 are not valid "</w:t>
            </w:r>
            <w:proofErr w:type="spellStart"/>
            <w:r>
              <w:rPr>
                <w:rFonts w:ascii="Arial" w:hAnsi="Arial" w:cs="Arial"/>
                <w:sz w:val="20"/>
              </w:rPr>
              <w:t>rate"s</w:t>
            </w:r>
            <w:proofErr w:type="spellEnd"/>
            <w:r>
              <w:rPr>
                <w:rFonts w:ascii="Arial" w:hAnsi="Arial" w:cs="Arial"/>
                <w:sz w:val="20"/>
              </w:rPr>
              <w:t xml:space="preserve"> (they're BSS membership selectors)</w:t>
            </w:r>
          </w:p>
          <w:p w14:paraId="15424E14" w14:textId="77777777" w:rsidR="00712C90" w:rsidRPr="00B5334C" w:rsidRDefault="00712C90" w:rsidP="00712C90"/>
        </w:tc>
        <w:tc>
          <w:tcPr>
            <w:tcW w:w="3384" w:type="dxa"/>
          </w:tcPr>
          <w:p w14:paraId="2BBA255E" w14:textId="77777777" w:rsidR="00712C90" w:rsidRDefault="00712C90" w:rsidP="00712C90">
            <w:pPr>
              <w:rPr>
                <w:rFonts w:ascii="Arial" w:hAnsi="Arial" w:cs="Arial"/>
                <w:sz w:val="20"/>
              </w:rPr>
            </w:pPr>
            <w:r>
              <w:rPr>
                <w:rFonts w:ascii="Arial" w:hAnsi="Arial" w:cs="Arial"/>
                <w:sz w:val="20"/>
              </w:rPr>
              <w:t xml:space="preserve">Change "1-127" to "1-125" </w:t>
            </w:r>
          </w:p>
          <w:p w14:paraId="1F38414C" w14:textId="77777777" w:rsidR="00712C90" w:rsidRPr="00B5334C" w:rsidRDefault="00712C90" w:rsidP="00712C90"/>
        </w:tc>
      </w:tr>
      <w:tr w:rsidR="00712C90" w14:paraId="6146A8FD" w14:textId="77777777" w:rsidTr="00712C90">
        <w:tc>
          <w:tcPr>
            <w:tcW w:w="1809" w:type="dxa"/>
          </w:tcPr>
          <w:p w14:paraId="4C177AB0" w14:textId="77777777" w:rsidR="00712C90" w:rsidRDefault="00712C90" w:rsidP="00712C90">
            <w:r>
              <w:t>CID 7283</w:t>
            </w:r>
          </w:p>
          <w:p w14:paraId="63AC0B1C" w14:textId="77777777" w:rsidR="00712C90" w:rsidRDefault="00712C90" w:rsidP="00712C90">
            <w:r>
              <w:t>6.3.7.3.2</w:t>
            </w:r>
          </w:p>
          <w:p w14:paraId="5A332802" w14:textId="77777777" w:rsidR="00712C90" w:rsidRDefault="00712C90" w:rsidP="00712C90">
            <w:r>
              <w:t>173.47</w:t>
            </w:r>
          </w:p>
          <w:p w14:paraId="7792B1B6" w14:textId="77777777" w:rsidR="00712C90" w:rsidRDefault="00712C90" w:rsidP="00712C90"/>
          <w:p w14:paraId="51B87CEA" w14:textId="77777777" w:rsidR="00712C90" w:rsidRDefault="00712C90" w:rsidP="00712C90">
            <w:r>
              <w:t>CID 7285</w:t>
            </w:r>
          </w:p>
          <w:p w14:paraId="7C7414F2" w14:textId="77777777" w:rsidR="00712C90" w:rsidRDefault="00712C90" w:rsidP="00712C90">
            <w:r>
              <w:t>6.3.8.3.2</w:t>
            </w:r>
          </w:p>
          <w:p w14:paraId="0C547F94" w14:textId="77777777" w:rsidR="00712C90" w:rsidRDefault="00712C90" w:rsidP="00712C90">
            <w:r>
              <w:t>187.29</w:t>
            </w:r>
          </w:p>
          <w:p w14:paraId="20AF0764" w14:textId="77777777" w:rsidR="00712C90" w:rsidRDefault="00712C90" w:rsidP="00712C90"/>
          <w:p w14:paraId="75BB4AC3" w14:textId="77777777" w:rsidR="00712C90" w:rsidRDefault="00712C90" w:rsidP="00712C90"/>
        </w:tc>
        <w:tc>
          <w:tcPr>
            <w:tcW w:w="4383" w:type="dxa"/>
          </w:tcPr>
          <w:p w14:paraId="2D3006F6" w14:textId="77777777" w:rsidR="00712C90" w:rsidRDefault="00712C90" w:rsidP="00712C90">
            <w:pPr>
              <w:rPr>
                <w:rFonts w:ascii="Arial" w:hAnsi="Arial" w:cs="Arial"/>
                <w:sz w:val="20"/>
              </w:rPr>
            </w:pPr>
            <w:r>
              <w:rPr>
                <w:rFonts w:ascii="Arial" w:hAnsi="Arial" w:cs="Arial"/>
                <w:sz w:val="20"/>
              </w:rPr>
              <w:t>126 and 127 are not valid "</w:t>
            </w:r>
            <w:proofErr w:type="spellStart"/>
            <w:r>
              <w:rPr>
                <w:rFonts w:ascii="Arial" w:hAnsi="Arial" w:cs="Arial"/>
                <w:sz w:val="20"/>
              </w:rPr>
              <w:t>rate"s</w:t>
            </w:r>
            <w:proofErr w:type="spellEnd"/>
            <w:r>
              <w:rPr>
                <w:rFonts w:ascii="Arial" w:hAnsi="Arial" w:cs="Arial"/>
                <w:sz w:val="20"/>
              </w:rPr>
              <w:t xml:space="preserve"> (they're BSS membership selectors)</w:t>
            </w:r>
          </w:p>
          <w:p w14:paraId="2687E967" w14:textId="77777777" w:rsidR="00712C90" w:rsidRPr="00B5334C" w:rsidRDefault="00712C90" w:rsidP="00712C90"/>
        </w:tc>
        <w:tc>
          <w:tcPr>
            <w:tcW w:w="3384" w:type="dxa"/>
          </w:tcPr>
          <w:p w14:paraId="4711ECAF" w14:textId="77777777" w:rsidR="00712C90" w:rsidRDefault="00712C90" w:rsidP="00712C90">
            <w:pPr>
              <w:rPr>
                <w:rFonts w:ascii="Arial" w:hAnsi="Arial" w:cs="Arial"/>
                <w:sz w:val="20"/>
              </w:rPr>
            </w:pPr>
            <w:r>
              <w:rPr>
                <w:rFonts w:ascii="Arial" w:hAnsi="Arial" w:cs="Arial"/>
                <w:sz w:val="20"/>
              </w:rPr>
              <w:t xml:space="preserve">Change "1-127" to "1-125" and add a row for </w:t>
            </w:r>
            <w:proofErr w:type="spellStart"/>
            <w:r>
              <w:rPr>
                <w:rFonts w:ascii="Arial" w:hAnsi="Arial" w:cs="Arial"/>
                <w:sz w:val="20"/>
              </w:rPr>
              <w:t>BSSMembershipSelectorSet</w:t>
            </w:r>
            <w:proofErr w:type="spellEnd"/>
          </w:p>
          <w:p w14:paraId="15B1CE5E" w14:textId="77777777" w:rsidR="00712C90" w:rsidRPr="00B5334C" w:rsidRDefault="00712C90" w:rsidP="00712C90"/>
        </w:tc>
      </w:tr>
      <w:tr w:rsidR="00712C90" w14:paraId="428F08E1" w14:textId="77777777" w:rsidTr="00712C90">
        <w:tc>
          <w:tcPr>
            <w:tcW w:w="1809" w:type="dxa"/>
          </w:tcPr>
          <w:p w14:paraId="1BC26413" w14:textId="77777777" w:rsidR="00712C90" w:rsidRDefault="00712C90" w:rsidP="00712C90">
            <w:r>
              <w:t>CID 7281</w:t>
            </w:r>
          </w:p>
          <w:p w14:paraId="2C0BC33F" w14:textId="77777777" w:rsidR="00712C90" w:rsidRDefault="00712C90" w:rsidP="00712C90">
            <w:r>
              <w:t>6.3.3.3.2</w:t>
            </w:r>
          </w:p>
          <w:p w14:paraId="5A4E0806" w14:textId="77777777" w:rsidR="00712C90" w:rsidRDefault="00712C90" w:rsidP="00712C90">
            <w:r>
              <w:t>150.51</w:t>
            </w:r>
          </w:p>
          <w:p w14:paraId="7E96BA99" w14:textId="77777777" w:rsidR="00712C90" w:rsidRDefault="00712C90" w:rsidP="00712C90"/>
        </w:tc>
        <w:tc>
          <w:tcPr>
            <w:tcW w:w="4383" w:type="dxa"/>
          </w:tcPr>
          <w:p w14:paraId="7781796A" w14:textId="77777777" w:rsidR="00712C90" w:rsidRDefault="00712C90" w:rsidP="00712C90">
            <w:pPr>
              <w:rPr>
                <w:rFonts w:ascii="Arial" w:hAnsi="Arial" w:cs="Arial"/>
                <w:sz w:val="20"/>
              </w:rPr>
            </w:pPr>
            <w:r>
              <w:rPr>
                <w:rFonts w:ascii="Arial" w:hAnsi="Arial" w:cs="Arial"/>
                <w:sz w:val="20"/>
              </w:rPr>
              <w:t>126 and 127 are not valid "</w:t>
            </w:r>
            <w:proofErr w:type="spellStart"/>
            <w:r>
              <w:rPr>
                <w:rFonts w:ascii="Arial" w:hAnsi="Arial" w:cs="Arial"/>
                <w:sz w:val="20"/>
              </w:rPr>
              <w:t>rate"s</w:t>
            </w:r>
            <w:proofErr w:type="spellEnd"/>
            <w:r>
              <w:rPr>
                <w:rFonts w:ascii="Arial" w:hAnsi="Arial" w:cs="Arial"/>
                <w:sz w:val="20"/>
              </w:rPr>
              <w:t xml:space="preserve"> (they're BSS membership selectors)</w:t>
            </w:r>
          </w:p>
          <w:p w14:paraId="3D1BBED6" w14:textId="77777777" w:rsidR="00712C90" w:rsidRPr="00B5334C" w:rsidRDefault="00712C90" w:rsidP="00712C90"/>
        </w:tc>
        <w:tc>
          <w:tcPr>
            <w:tcW w:w="3384" w:type="dxa"/>
          </w:tcPr>
          <w:p w14:paraId="6C74DDCC" w14:textId="77777777" w:rsidR="00712C90" w:rsidRDefault="00712C90" w:rsidP="00712C90">
            <w:pPr>
              <w:rPr>
                <w:rFonts w:ascii="Arial" w:hAnsi="Arial" w:cs="Arial"/>
                <w:sz w:val="20"/>
              </w:rPr>
            </w:pPr>
            <w:r>
              <w:rPr>
                <w:rFonts w:ascii="Arial" w:hAnsi="Arial" w:cs="Arial"/>
                <w:sz w:val="20"/>
              </w:rPr>
              <w:t>Change "1-127" to "1-125" here and at the top of the next page</w:t>
            </w:r>
          </w:p>
          <w:p w14:paraId="5A6DD4F1" w14:textId="77777777" w:rsidR="00712C90" w:rsidRPr="00B5334C" w:rsidRDefault="00712C90" w:rsidP="00712C90"/>
        </w:tc>
      </w:tr>
    </w:tbl>
    <w:p w14:paraId="3165C7D4" w14:textId="77777777" w:rsidR="00712C90" w:rsidRDefault="00712C90" w:rsidP="00712C90">
      <w:pPr>
        <w:rPr>
          <w:u w:val="single"/>
        </w:rPr>
      </w:pPr>
    </w:p>
    <w:p w14:paraId="62A76921" w14:textId="77777777" w:rsidR="0036261A" w:rsidRDefault="0036261A">
      <w:pPr>
        <w:rPr>
          <w:b/>
          <w:sz w:val="24"/>
          <w:szCs w:val="24"/>
        </w:rPr>
      </w:pPr>
      <w:r>
        <w:rPr>
          <w:b/>
          <w:sz w:val="24"/>
          <w:szCs w:val="24"/>
        </w:rPr>
        <w:br w:type="page"/>
      </w:r>
    </w:p>
    <w:p w14:paraId="0E2F42CA" w14:textId="19581196" w:rsidR="00C31BED" w:rsidRDefault="00712C90" w:rsidP="00C31BED">
      <w:pPr>
        <w:rPr>
          <w:b/>
          <w:sz w:val="24"/>
          <w:szCs w:val="24"/>
        </w:rPr>
      </w:pPr>
      <w:r>
        <w:rPr>
          <w:b/>
          <w:sz w:val="24"/>
          <w:szCs w:val="24"/>
        </w:rPr>
        <w:lastRenderedPageBreak/>
        <w:t>Discussion</w:t>
      </w:r>
    </w:p>
    <w:p w14:paraId="4B78F553" w14:textId="77777777" w:rsidR="0036261A" w:rsidRDefault="0036261A" w:rsidP="00C31BED">
      <w:pPr>
        <w:rPr>
          <w:b/>
          <w:sz w:val="24"/>
          <w:szCs w:val="24"/>
        </w:rPr>
      </w:pPr>
    </w:p>
    <w:p w14:paraId="7A683EED" w14:textId="746EEF99" w:rsidR="0036261A" w:rsidRPr="0036261A" w:rsidRDefault="0036261A" w:rsidP="00C31BED">
      <w:pPr>
        <w:rPr>
          <w:sz w:val="24"/>
          <w:szCs w:val="24"/>
        </w:rPr>
      </w:pPr>
      <w:r w:rsidRPr="0036261A">
        <w:rPr>
          <w:sz w:val="24"/>
          <w:szCs w:val="24"/>
        </w:rPr>
        <w:t>Example table entry</w:t>
      </w:r>
      <w:r>
        <w:rPr>
          <w:sz w:val="24"/>
          <w:szCs w:val="24"/>
        </w:rPr>
        <w:t xml:space="preserve"> </w:t>
      </w:r>
      <w:r>
        <w:t>6.3.4.2.  P159.30</w:t>
      </w:r>
    </w:p>
    <w:p w14:paraId="0C42F8C5" w14:textId="77777777" w:rsidR="0036261A" w:rsidRDefault="0036261A" w:rsidP="00C31BED">
      <w:pPr>
        <w:rPr>
          <w:b/>
          <w:sz w:val="24"/>
          <w:szCs w:val="24"/>
        </w:rPr>
      </w:pPr>
    </w:p>
    <w:p w14:paraId="04706ACF" w14:textId="057C12E9" w:rsidR="00602CCE" w:rsidRDefault="00602CCE" w:rsidP="00C31BED">
      <w:pPr>
        <w:rPr>
          <w:noProof/>
          <w:lang w:val="en-US"/>
        </w:rPr>
      </w:pPr>
      <w:r>
        <w:rPr>
          <w:noProof/>
          <w:lang w:val="en-US" w:bidi="he-IL"/>
        </w:rPr>
        <w:drawing>
          <wp:inline distT="0" distB="0" distL="0" distR="0" wp14:anchorId="03EE2A13" wp14:editId="62D0BB92">
            <wp:extent cx="6392545" cy="1558290"/>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1558290"/>
                    </a:xfrm>
                    <a:prstGeom prst="rect">
                      <a:avLst/>
                    </a:prstGeom>
                    <a:noFill/>
                    <a:ln>
                      <a:noFill/>
                    </a:ln>
                  </pic:spPr>
                </pic:pic>
              </a:graphicData>
            </a:graphic>
          </wp:inline>
        </w:drawing>
      </w:r>
    </w:p>
    <w:p w14:paraId="08C53B92" w14:textId="3074162E" w:rsidR="0036261A" w:rsidRDefault="0036261A" w:rsidP="00C31BED">
      <w:pPr>
        <w:rPr>
          <w:b/>
          <w:sz w:val="24"/>
          <w:szCs w:val="24"/>
        </w:rPr>
      </w:pPr>
    </w:p>
    <w:p w14:paraId="26D39DEE" w14:textId="77777777" w:rsidR="00602CCE" w:rsidRDefault="00602CCE" w:rsidP="00602CCE">
      <w:r>
        <w:t xml:space="preserve">730.38 </w:t>
      </w:r>
    </w:p>
    <w:p w14:paraId="1F5E7793" w14:textId="77777777" w:rsidR="00602CCE" w:rsidRDefault="00602CCE" w:rsidP="00602CCE">
      <w:r>
        <w:t>9.4.2.3 Supported Rates and BSS Membership Selectors element</w:t>
      </w:r>
    </w:p>
    <w:p w14:paraId="7CB8B15E" w14:textId="4D4BAC8D" w:rsidR="00602CCE" w:rsidRDefault="00602CCE">
      <w:pPr>
        <w:rPr>
          <w:b/>
          <w:sz w:val="24"/>
          <w:szCs w:val="24"/>
        </w:rPr>
      </w:pPr>
      <w:r>
        <w:rPr>
          <w:noProof/>
          <w:lang w:val="en-US" w:bidi="he-IL"/>
        </w:rPr>
        <w:drawing>
          <wp:inline distT="0" distB="0" distL="0" distR="0" wp14:anchorId="6B27866B" wp14:editId="665CB7F8">
            <wp:extent cx="6400800" cy="1009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009650"/>
                    </a:xfrm>
                    <a:prstGeom prst="rect">
                      <a:avLst/>
                    </a:prstGeom>
                    <a:noFill/>
                    <a:ln>
                      <a:noFill/>
                    </a:ln>
                  </pic:spPr>
                </pic:pic>
              </a:graphicData>
            </a:graphic>
          </wp:inline>
        </w:drawing>
      </w:r>
    </w:p>
    <w:p w14:paraId="64F95FD7" w14:textId="77777777" w:rsidR="00602CCE" w:rsidRDefault="00602CCE">
      <w:pPr>
        <w:rPr>
          <w:b/>
          <w:sz w:val="24"/>
          <w:szCs w:val="24"/>
        </w:rPr>
      </w:pPr>
    </w:p>
    <w:p w14:paraId="602BFC09" w14:textId="1270CE2C" w:rsidR="00602CCE" w:rsidRPr="00602CCE" w:rsidRDefault="00602CCE">
      <w:pPr>
        <w:rPr>
          <w:sz w:val="24"/>
          <w:szCs w:val="24"/>
        </w:rPr>
      </w:pPr>
      <w:r w:rsidRPr="00602CCE">
        <w:rPr>
          <w:sz w:val="24"/>
          <w:szCs w:val="24"/>
        </w:rPr>
        <w:t>And indeed we see that 126 and 127 are BSS membership selector values</w:t>
      </w:r>
    </w:p>
    <w:p w14:paraId="35F337FB" w14:textId="600CA53D" w:rsidR="00602CCE" w:rsidRDefault="00602CCE">
      <w:pPr>
        <w:rPr>
          <w:b/>
          <w:sz w:val="24"/>
          <w:szCs w:val="24"/>
        </w:rPr>
      </w:pPr>
      <w:r>
        <w:rPr>
          <w:b/>
          <w:noProof/>
          <w:sz w:val="24"/>
          <w:szCs w:val="24"/>
          <w:lang w:val="en-US" w:bidi="he-IL"/>
        </w:rPr>
        <w:drawing>
          <wp:inline distT="0" distB="0" distL="0" distR="0" wp14:anchorId="77AD03A4" wp14:editId="6E3E1DDD">
            <wp:extent cx="6400800" cy="23774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377440"/>
                    </a:xfrm>
                    <a:prstGeom prst="rect">
                      <a:avLst/>
                    </a:prstGeom>
                    <a:noFill/>
                    <a:ln>
                      <a:noFill/>
                    </a:ln>
                  </pic:spPr>
                </pic:pic>
              </a:graphicData>
            </a:graphic>
          </wp:inline>
        </w:drawing>
      </w:r>
    </w:p>
    <w:p w14:paraId="0CA22CDA" w14:textId="77777777" w:rsidR="00602CCE" w:rsidRDefault="00602CCE">
      <w:pPr>
        <w:rPr>
          <w:b/>
          <w:sz w:val="24"/>
          <w:szCs w:val="24"/>
        </w:rPr>
      </w:pPr>
    </w:p>
    <w:p w14:paraId="1567FA20" w14:textId="1CADA33D" w:rsidR="00602CCE" w:rsidRDefault="00602CCE">
      <w:pPr>
        <w:rPr>
          <w:sz w:val="24"/>
          <w:szCs w:val="24"/>
        </w:rPr>
      </w:pPr>
      <w:r w:rsidRPr="00602CCE">
        <w:rPr>
          <w:sz w:val="24"/>
          <w:szCs w:val="24"/>
        </w:rPr>
        <w:t xml:space="preserve">So, as the </w:t>
      </w:r>
      <w:proofErr w:type="spellStart"/>
      <w:r w:rsidRPr="00602CCE">
        <w:rPr>
          <w:sz w:val="24"/>
          <w:szCs w:val="24"/>
        </w:rPr>
        <w:t>commentor</w:t>
      </w:r>
      <w:proofErr w:type="spellEnd"/>
      <w:r w:rsidRPr="00602CCE">
        <w:rPr>
          <w:sz w:val="24"/>
          <w:szCs w:val="24"/>
        </w:rPr>
        <w:t xml:space="preserve"> states, the operational rate set is only contained </w:t>
      </w:r>
      <w:r>
        <w:rPr>
          <w:sz w:val="24"/>
          <w:szCs w:val="24"/>
        </w:rPr>
        <w:t>in the</w:t>
      </w:r>
      <w:r w:rsidRPr="00602CCE">
        <w:rPr>
          <w:sz w:val="24"/>
          <w:szCs w:val="24"/>
        </w:rPr>
        <w:t xml:space="preserve"> range 0 -125</w:t>
      </w:r>
    </w:p>
    <w:p w14:paraId="4C5C1C92" w14:textId="350456AD" w:rsidR="00602CCE" w:rsidRPr="00602CCE" w:rsidRDefault="00602CCE">
      <w:pPr>
        <w:rPr>
          <w:sz w:val="24"/>
          <w:szCs w:val="24"/>
        </w:rPr>
      </w:pPr>
      <w:r>
        <w:rPr>
          <w:sz w:val="24"/>
          <w:szCs w:val="24"/>
        </w:rPr>
        <w:t xml:space="preserve">Where the BSS </w:t>
      </w:r>
      <w:proofErr w:type="spellStart"/>
      <w:r>
        <w:rPr>
          <w:sz w:val="24"/>
          <w:szCs w:val="24"/>
        </w:rPr>
        <w:t>MembershipSelector</w:t>
      </w:r>
      <w:proofErr w:type="spellEnd"/>
      <w:r>
        <w:rPr>
          <w:sz w:val="24"/>
          <w:szCs w:val="24"/>
        </w:rPr>
        <w:t xml:space="preserve"> Set is required has been identified in the comments.</w:t>
      </w:r>
    </w:p>
    <w:p w14:paraId="50F35106" w14:textId="77777777" w:rsidR="00602CCE" w:rsidRPr="00602CCE" w:rsidRDefault="00602CCE">
      <w:pPr>
        <w:rPr>
          <w:sz w:val="24"/>
          <w:szCs w:val="24"/>
        </w:rPr>
      </w:pPr>
    </w:p>
    <w:p w14:paraId="1DDF0266" w14:textId="363A238E" w:rsidR="00602CCE" w:rsidRPr="00602CCE" w:rsidRDefault="00602CCE">
      <w:pPr>
        <w:rPr>
          <w:sz w:val="24"/>
          <w:szCs w:val="24"/>
        </w:rPr>
      </w:pPr>
      <w:r w:rsidRPr="00602CCE">
        <w:rPr>
          <w:sz w:val="24"/>
          <w:szCs w:val="24"/>
        </w:rPr>
        <w:t>Hence,</w:t>
      </w:r>
    </w:p>
    <w:p w14:paraId="0F6BD0E9" w14:textId="77777777" w:rsidR="00602CCE" w:rsidRPr="00602CCE" w:rsidRDefault="00602CCE">
      <w:pPr>
        <w:rPr>
          <w:sz w:val="24"/>
          <w:szCs w:val="24"/>
        </w:rPr>
      </w:pPr>
    </w:p>
    <w:p w14:paraId="6F72DF2A" w14:textId="450F1A8E" w:rsidR="00602CCE" w:rsidRPr="00823789" w:rsidRDefault="00602CCE">
      <w:pPr>
        <w:rPr>
          <w:b/>
          <w:sz w:val="24"/>
          <w:szCs w:val="24"/>
          <w:u w:val="single"/>
        </w:rPr>
      </w:pPr>
      <w:r w:rsidRPr="00823789">
        <w:rPr>
          <w:b/>
          <w:sz w:val="24"/>
          <w:szCs w:val="24"/>
          <w:u w:val="single"/>
        </w:rPr>
        <w:t xml:space="preserve">Proposed Resolutions to CIDs </w:t>
      </w:r>
      <w:r w:rsidR="00823789" w:rsidRPr="00823789">
        <w:rPr>
          <w:b/>
          <w:sz w:val="24"/>
          <w:szCs w:val="24"/>
          <w:u w:val="single"/>
        </w:rPr>
        <w:t>728</w:t>
      </w:r>
      <w:r w:rsidR="00FE5A9E">
        <w:rPr>
          <w:b/>
          <w:sz w:val="24"/>
          <w:szCs w:val="24"/>
          <w:u w:val="single"/>
        </w:rPr>
        <w:t>1</w:t>
      </w:r>
      <w:r w:rsidR="00823789" w:rsidRPr="00823789">
        <w:rPr>
          <w:b/>
          <w:sz w:val="24"/>
          <w:szCs w:val="24"/>
          <w:u w:val="single"/>
        </w:rPr>
        <w:t xml:space="preserve"> to 7290</w:t>
      </w:r>
    </w:p>
    <w:p w14:paraId="24E853A2" w14:textId="632BCFFA" w:rsidR="00602CCE" w:rsidRDefault="00602CCE">
      <w:pPr>
        <w:rPr>
          <w:sz w:val="24"/>
          <w:szCs w:val="24"/>
        </w:rPr>
      </w:pPr>
      <w:r w:rsidRPr="00823789">
        <w:rPr>
          <w:sz w:val="24"/>
          <w:szCs w:val="24"/>
        </w:rPr>
        <w:t>ACCEPT</w:t>
      </w:r>
    </w:p>
    <w:p w14:paraId="156CFC26" w14:textId="77777777" w:rsidR="006454A3" w:rsidRDefault="006454A3">
      <w:pPr>
        <w:rPr>
          <w:sz w:val="24"/>
          <w:szCs w:val="24"/>
        </w:rPr>
      </w:pPr>
    </w:p>
    <w:p w14:paraId="26DA4401" w14:textId="77777777" w:rsidR="006454A3" w:rsidRDefault="006454A3">
      <w:pPr>
        <w:rPr>
          <w:sz w:val="24"/>
          <w:szCs w:val="24"/>
        </w:rPr>
      </w:pPr>
    </w:p>
    <w:p w14:paraId="1E6F9BEE" w14:textId="77777777" w:rsidR="006454A3" w:rsidRDefault="006454A3">
      <w:pPr>
        <w:rPr>
          <w:sz w:val="24"/>
          <w:szCs w:val="24"/>
        </w:rPr>
      </w:pPr>
    </w:p>
    <w:p w14:paraId="3ABDAA77" w14:textId="79060174" w:rsidR="006454A3" w:rsidRDefault="006454A3">
      <w:pPr>
        <w:rPr>
          <w:sz w:val="24"/>
          <w:szCs w:val="24"/>
        </w:rPr>
      </w:pPr>
    </w:p>
    <w:p w14:paraId="7672BA2B" w14:textId="7AEB4AF8" w:rsidR="006454A3" w:rsidRPr="00206CCC" w:rsidRDefault="006454A3">
      <w:pPr>
        <w:rPr>
          <w:sz w:val="24"/>
          <w:szCs w:val="24"/>
          <w:u w:val="single"/>
        </w:rPr>
      </w:pPr>
      <w:r w:rsidRPr="00206CCC">
        <w:rPr>
          <w:sz w:val="24"/>
          <w:szCs w:val="24"/>
          <w:u w:val="single"/>
        </w:rPr>
        <w:t xml:space="preserve">MARK RISON’s PROPOSAL </w:t>
      </w:r>
    </w:p>
    <w:p w14:paraId="195B92C4" w14:textId="77777777" w:rsidR="006454A3" w:rsidRDefault="006454A3">
      <w:pPr>
        <w:rPr>
          <w:sz w:val="24"/>
          <w:szCs w:val="24"/>
        </w:rPr>
      </w:pPr>
    </w:p>
    <w:p w14:paraId="691A364D" w14:textId="77777777" w:rsidR="006454A3" w:rsidRDefault="006454A3">
      <w:pPr>
        <w:rPr>
          <w:sz w:val="24"/>
          <w:szCs w:val="24"/>
        </w:rPr>
      </w:pPr>
    </w:p>
    <w:tbl>
      <w:tblPr>
        <w:tblW w:w="9576" w:type="dxa"/>
        <w:tblCellSpacing w:w="15" w:type="dxa"/>
        <w:tblCellMar>
          <w:top w:w="15" w:type="dxa"/>
          <w:left w:w="15" w:type="dxa"/>
          <w:bottom w:w="15" w:type="dxa"/>
          <w:right w:w="15" w:type="dxa"/>
        </w:tblCellMar>
        <w:tblLook w:val="04A0" w:firstRow="1" w:lastRow="0" w:firstColumn="1" w:lastColumn="0" w:noHBand="0" w:noVBand="1"/>
      </w:tblPr>
      <w:tblGrid>
        <w:gridCol w:w="944"/>
        <w:gridCol w:w="4745"/>
        <w:gridCol w:w="3887"/>
      </w:tblGrid>
      <w:tr w:rsidR="006454A3" w:rsidRPr="006454A3" w14:paraId="7D561BFC" w14:textId="77777777" w:rsidTr="006454A3">
        <w:trPr>
          <w:tblCellSpacing w:w="15" w:type="dxa"/>
        </w:trPr>
        <w:tc>
          <w:tcPr>
            <w:tcW w:w="0" w:type="auto"/>
            <w:vAlign w:val="center"/>
            <w:hideMark/>
          </w:tcPr>
          <w:p w14:paraId="5E2991B1" w14:textId="77777777" w:rsidR="006454A3" w:rsidRPr="006454A3" w:rsidRDefault="006454A3" w:rsidP="006454A3">
            <w:pPr>
              <w:rPr>
                <w:sz w:val="24"/>
                <w:szCs w:val="24"/>
                <w:lang w:val="en-US" w:bidi="he-IL"/>
              </w:rPr>
            </w:pPr>
            <w:r w:rsidRPr="006454A3">
              <w:rPr>
                <w:sz w:val="20"/>
                <w:lang w:val="en-US" w:bidi="he-IL"/>
              </w:rPr>
              <w:lastRenderedPageBreak/>
              <w:t>Identifiers</w:t>
            </w:r>
          </w:p>
        </w:tc>
        <w:tc>
          <w:tcPr>
            <w:tcW w:w="0" w:type="auto"/>
            <w:vAlign w:val="center"/>
            <w:hideMark/>
          </w:tcPr>
          <w:p w14:paraId="7BC71993" w14:textId="77777777" w:rsidR="006454A3" w:rsidRPr="006454A3" w:rsidRDefault="006454A3" w:rsidP="006454A3">
            <w:pPr>
              <w:rPr>
                <w:sz w:val="24"/>
                <w:szCs w:val="24"/>
                <w:lang w:val="en-US" w:bidi="he-IL"/>
              </w:rPr>
            </w:pPr>
            <w:r w:rsidRPr="006454A3">
              <w:rPr>
                <w:sz w:val="20"/>
                <w:lang w:val="en-US" w:bidi="he-IL"/>
              </w:rPr>
              <w:t>Comment</w:t>
            </w:r>
          </w:p>
        </w:tc>
        <w:tc>
          <w:tcPr>
            <w:tcW w:w="0" w:type="auto"/>
            <w:vAlign w:val="center"/>
            <w:hideMark/>
          </w:tcPr>
          <w:p w14:paraId="202D1A49" w14:textId="77777777" w:rsidR="006454A3" w:rsidRPr="006454A3" w:rsidRDefault="006454A3" w:rsidP="006454A3">
            <w:pPr>
              <w:rPr>
                <w:sz w:val="24"/>
                <w:szCs w:val="24"/>
                <w:lang w:val="en-US" w:bidi="he-IL"/>
              </w:rPr>
            </w:pPr>
            <w:r w:rsidRPr="006454A3">
              <w:rPr>
                <w:sz w:val="20"/>
                <w:lang w:val="en-US" w:bidi="he-IL"/>
              </w:rPr>
              <w:t>Proposed change</w:t>
            </w:r>
          </w:p>
        </w:tc>
      </w:tr>
      <w:tr w:rsidR="006454A3" w:rsidRPr="006454A3" w14:paraId="04D08D8C" w14:textId="77777777" w:rsidTr="006454A3">
        <w:trPr>
          <w:tblCellSpacing w:w="15" w:type="dxa"/>
        </w:trPr>
        <w:tc>
          <w:tcPr>
            <w:tcW w:w="0" w:type="auto"/>
            <w:vAlign w:val="center"/>
            <w:hideMark/>
          </w:tcPr>
          <w:p w14:paraId="6B7C9EF6" w14:textId="77777777" w:rsidR="006454A3" w:rsidRPr="006454A3" w:rsidRDefault="006454A3" w:rsidP="006454A3">
            <w:pPr>
              <w:rPr>
                <w:sz w:val="20"/>
                <w:lang w:val="en-US" w:bidi="he-IL"/>
              </w:rPr>
            </w:pPr>
            <w:r w:rsidRPr="006454A3">
              <w:rPr>
                <w:sz w:val="20"/>
                <w:lang w:val="en-US" w:bidi="he-IL"/>
              </w:rPr>
              <w:t xml:space="preserve">CID 7278 </w:t>
            </w:r>
          </w:p>
          <w:p w14:paraId="26EB2C58" w14:textId="77777777" w:rsidR="006454A3" w:rsidRPr="006454A3" w:rsidRDefault="006454A3" w:rsidP="006454A3">
            <w:pPr>
              <w:rPr>
                <w:sz w:val="20"/>
                <w:lang w:val="en-US" w:bidi="he-IL"/>
              </w:rPr>
            </w:pPr>
            <w:r w:rsidRPr="006454A3">
              <w:rPr>
                <w:sz w:val="20"/>
                <w:lang w:val="en-US" w:bidi="he-IL"/>
              </w:rPr>
              <w:t>Mark RISON</w:t>
            </w:r>
          </w:p>
          <w:p w14:paraId="2710F1E1" w14:textId="77777777" w:rsidR="006454A3" w:rsidRPr="006454A3" w:rsidRDefault="006454A3" w:rsidP="006454A3">
            <w:pPr>
              <w:rPr>
                <w:sz w:val="20"/>
                <w:lang w:val="en-US" w:bidi="he-IL"/>
              </w:rPr>
            </w:pPr>
            <w:r w:rsidRPr="006454A3">
              <w:rPr>
                <w:sz w:val="20"/>
                <w:lang w:val="en-US" w:bidi="he-IL"/>
              </w:rPr>
              <w:t>6</w:t>
            </w:r>
          </w:p>
          <w:p w14:paraId="501C0A45" w14:textId="77777777" w:rsidR="006454A3" w:rsidRPr="006454A3" w:rsidRDefault="006454A3" w:rsidP="006454A3">
            <w:pPr>
              <w:rPr>
                <w:sz w:val="20"/>
                <w:lang w:val="en-US" w:bidi="he-IL"/>
              </w:rPr>
            </w:pPr>
            <w:r w:rsidRPr="006454A3">
              <w:rPr>
                <w:sz w:val="20"/>
                <w:lang w:val="en-US" w:bidi="he-IL"/>
              </w:rPr>
              <w:t>144.01</w:t>
            </w:r>
          </w:p>
        </w:tc>
        <w:tc>
          <w:tcPr>
            <w:tcW w:w="0" w:type="auto"/>
            <w:vAlign w:val="center"/>
            <w:hideMark/>
          </w:tcPr>
          <w:p w14:paraId="5EC2E87C" w14:textId="77777777" w:rsidR="006454A3" w:rsidRPr="006454A3" w:rsidRDefault="006454A3" w:rsidP="006454A3">
            <w:pPr>
              <w:rPr>
                <w:sz w:val="24"/>
                <w:szCs w:val="24"/>
                <w:lang w:val="en-US" w:bidi="he-IL"/>
              </w:rPr>
            </w:pPr>
            <w:r w:rsidRPr="006454A3">
              <w:rPr>
                <w:sz w:val="20"/>
                <w:lang w:val="en-US" w:bidi="he-IL"/>
              </w:rPr>
              <w:t xml:space="preserve">In Clause 6, when an </w:t>
            </w:r>
            <w:proofErr w:type="spellStart"/>
            <w:r w:rsidRPr="006454A3">
              <w:rPr>
                <w:sz w:val="20"/>
                <w:lang w:val="en-US" w:bidi="he-IL"/>
              </w:rPr>
              <w:t>OperationalRateSet</w:t>
            </w:r>
            <w:proofErr w:type="spellEnd"/>
            <w:r w:rsidRPr="006454A3">
              <w:rPr>
                <w:sz w:val="20"/>
                <w:lang w:val="en-US" w:bidi="he-IL"/>
              </w:rPr>
              <w:t xml:space="preserve"> is passed down in MLME-JOIN/</w:t>
            </w:r>
            <w:proofErr w:type="spellStart"/>
            <w:r w:rsidRPr="006454A3">
              <w:rPr>
                <w:sz w:val="20"/>
                <w:lang w:val="en-US" w:bidi="he-IL"/>
              </w:rPr>
              <w:t>START.request</w:t>
            </w:r>
            <w:proofErr w:type="spellEnd"/>
            <w:r w:rsidRPr="006454A3">
              <w:rPr>
                <w:sz w:val="20"/>
                <w:lang w:val="en-US" w:bidi="he-IL"/>
              </w:rPr>
              <w:t>, it can't include rates not in  dot11SupportedDataRatesRxTable</w:t>
            </w:r>
          </w:p>
        </w:tc>
        <w:tc>
          <w:tcPr>
            <w:tcW w:w="0" w:type="auto"/>
            <w:vAlign w:val="center"/>
            <w:hideMark/>
          </w:tcPr>
          <w:p w14:paraId="765DBAB4" w14:textId="77777777" w:rsidR="006454A3" w:rsidRPr="006454A3" w:rsidRDefault="006454A3" w:rsidP="006454A3">
            <w:pPr>
              <w:rPr>
                <w:sz w:val="24"/>
                <w:szCs w:val="24"/>
                <w:lang w:val="en-US" w:bidi="he-IL"/>
              </w:rPr>
            </w:pPr>
            <w:r w:rsidRPr="006454A3">
              <w:rPr>
                <w:sz w:val="20"/>
                <w:lang w:val="en-US" w:bidi="he-IL"/>
              </w:rPr>
              <w:t>Add this caveat to the "Valid range" cell (where it currently says 1-127).  Make a similar statement about HT-MCS and VHT-</w:t>
            </w:r>
            <w:proofErr w:type="spellStart"/>
            <w:r w:rsidRPr="006454A3">
              <w:rPr>
                <w:sz w:val="20"/>
                <w:lang w:val="en-US" w:bidi="he-IL"/>
              </w:rPr>
              <w:t>MCSes</w:t>
            </w:r>
            <w:proofErr w:type="spellEnd"/>
          </w:p>
        </w:tc>
      </w:tr>
      <w:tr w:rsidR="006454A3" w:rsidRPr="006454A3" w14:paraId="58CBD907" w14:textId="77777777" w:rsidTr="006454A3">
        <w:trPr>
          <w:tblCellSpacing w:w="15" w:type="dxa"/>
        </w:trPr>
        <w:tc>
          <w:tcPr>
            <w:tcW w:w="0" w:type="auto"/>
            <w:vAlign w:val="center"/>
            <w:hideMark/>
          </w:tcPr>
          <w:p w14:paraId="4FD2D49A" w14:textId="77777777" w:rsidR="006454A3" w:rsidRPr="006454A3" w:rsidRDefault="006454A3" w:rsidP="006454A3">
            <w:pPr>
              <w:rPr>
                <w:sz w:val="20"/>
                <w:lang w:val="en-US" w:bidi="he-IL"/>
              </w:rPr>
            </w:pPr>
            <w:r w:rsidRPr="006454A3">
              <w:rPr>
                <w:sz w:val="20"/>
                <w:lang w:val="en-US" w:bidi="he-IL"/>
              </w:rPr>
              <w:t xml:space="preserve">CID 7280 </w:t>
            </w:r>
          </w:p>
          <w:p w14:paraId="6633003E" w14:textId="77777777" w:rsidR="006454A3" w:rsidRPr="006454A3" w:rsidRDefault="006454A3" w:rsidP="006454A3">
            <w:pPr>
              <w:rPr>
                <w:sz w:val="20"/>
                <w:lang w:val="en-US" w:bidi="he-IL"/>
              </w:rPr>
            </w:pPr>
            <w:r w:rsidRPr="006454A3">
              <w:rPr>
                <w:sz w:val="20"/>
                <w:lang w:val="en-US" w:bidi="he-IL"/>
              </w:rPr>
              <w:t>Mark RISON</w:t>
            </w:r>
          </w:p>
          <w:p w14:paraId="4D9D44BB" w14:textId="77777777" w:rsidR="006454A3" w:rsidRPr="006454A3" w:rsidRDefault="006454A3" w:rsidP="006454A3">
            <w:pPr>
              <w:rPr>
                <w:sz w:val="20"/>
                <w:lang w:val="en-US" w:bidi="he-IL"/>
              </w:rPr>
            </w:pPr>
            <w:r w:rsidRPr="006454A3">
              <w:rPr>
                <w:sz w:val="20"/>
                <w:lang w:val="en-US" w:bidi="he-IL"/>
              </w:rPr>
              <w:t>6.3.11.2.2</w:t>
            </w:r>
          </w:p>
          <w:p w14:paraId="25629D97" w14:textId="77777777" w:rsidR="006454A3" w:rsidRPr="006454A3" w:rsidRDefault="006454A3" w:rsidP="006454A3">
            <w:pPr>
              <w:rPr>
                <w:sz w:val="20"/>
                <w:lang w:val="en-US" w:bidi="he-IL"/>
              </w:rPr>
            </w:pPr>
            <w:r w:rsidRPr="006454A3">
              <w:rPr>
                <w:sz w:val="20"/>
                <w:lang w:val="en-US" w:bidi="he-IL"/>
              </w:rPr>
              <w:t>201.52</w:t>
            </w:r>
          </w:p>
        </w:tc>
        <w:tc>
          <w:tcPr>
            <w:tcW w:w="0" w:type="auto"/>
            <w:vAlign w:val="center"/>
            <w:hideMark/>
          </w:tcPr>
          <w:p w14:paraId="534473A9" w14:textId="77777777" w:rsidR="006454A3" w:rsidRPr="006454A3" w:rsidRDefault="006454A3" w:rsidP="006454A3">
            <w:pPr>
              <w:rPr>
                <w:sz w:val="24"/>
                <w:szCs w:val="24"/>
                <w:lang w:val="en-US" w:bidi="he-IL"/>
              </w:rPr>
            </w:pPr>
            <w:r w:rsidRPr="006454A3">
              <w:rPr>
                <w:sz w:val="20"/>
                <w:lang w:val="en-US" w:bidi="he-IL"/>
              </w:rPr>
              <w:t xml:space="preserve">The </w:t>
            </w:r>
            <w:proofErr w:type="spellStart"/>
            <w:r w:rsidRPr="006454A3">
              <w:rPr>
                <w:sz w:val="20"/>
                <w:lang w:val="en-US" w:bidi="he-IL"/>
              </w:rPr>
              <w:t>BSSBasicRateSet</w:t>
            </w:r>
            <w:proofErr w:type="spellEnd"/>
            <w:r w:rsidRPr="006454A3">
              <w:rPr>
                <w:sz w:val="20"/>
                <w:lang w:val="en-US" w:bidi="he-IL"/>
              </w:rPr>
              <w:t xml:space="preserve"> can't include rates not in  both dot11SupportedDataRatesRxTable and dot11SupportedDataRatesTxTable</w:t>
            </w:r>
          </w:p>
        </w:tc>
        <w:tc>
          <w:tcPr>
            <w:tcW w:w="0" w:type="auto"/>
            <w:vAlign w:val="center"/>
            <w:hideMark/>
          </w:tcPr>
          <w:p w14:paraId="0415F104" w14:textId="77777777" w:rsidR="006454A3" w:rsidRPr="006454A3" w:rsidRDefault="006454A3" w:rsidP="006454A3">
            <w:pPr>
              <w:rPr>
                <w:sz w:val="24"/>
                <w:szCs w:val="24"/>
                <w:lang w:val="en-US" w:bidi="he-IL"/>
              </w:rPr>
            </w:pPr>
            <w:r w:rsidRPr="006454A3">
              <w:rPr>
                <w:sz w:val="20"/>
                <w:lang w:val="en-US" w:bidi="he-IL"/>
              </w:rPr>
              <w:t>Add this caveat to the "Valid range" cell (where it currently says 1-127).  Make a similar statement about HT-MCS and VHT-</w:t>
            </w:r>
            <w:proofErr w:type="spellStart"/>
            <w:r w:rsidRPr="006454A3">
              <w:rPr>
                <w:sz w:val="20"/>
                <w:lang w:val="en-US" w:bidi="he-IL"/>
              </w:rPr>
              <w:t>MCSes</w:t>
            </w:r>
            <w:proofErr w:type="spellEnd"/>
          </w:p>
        </w:tc>
      </w:tr>
      <w:tr w:rsidR="006454A3" w:rsidRPr="006454A3" w14:paraId="0973CEBF" w14:textId="77777777" w:rsidTr="006454A3">
        <w:trPr>
          <w:tblCellSpacing w:w="15" w:type="dxa"/>
        </w:trPr>
        <w:tc>
          <w:tcPr>
            <w:tcW w:w="0" w:type="auto"/>
            <w:vAlign w:val="center"/>
            <w:hideMark/>
          </w:tcPr>
          <w:p w14:paraId="1F51D2B0" w14:textId="77777777" w:rsidR="006454A3" w:rsidRPr="006454A3" w:rsidRDefault="006454A3" w:rsidP="006454A3">
            <w:pPr>
              <w:rPr>
                <w:sz w:val="20"/>
                <w:lang w:val="en-US" w:bidi="he-IL"/>
              </w:rPr>
            </w:pPr>
            <w:r w:rsidRPr="006454A3">
              <w:rPr>
                <w:sz w:val="20"/>
                <w:lang w:val="en-US" w:bidi="he-IL"/>
              </w:rPr>
              <w:t xml:space="preserve">CID 7281 </w:t>
            </w:r>
          </w:p>
          <w:p w14:paraId="210C680E" w14:textId="77777777" w:rsidR="006454A3" w:rsidRPr="006454A3" w:rsidRDefault="006454A3" w:rsidP="006454A3">
            <w:pPr>
              <w:rPr>
                <w:sz w:val="20"/>
                <w:lang w:val="en-US" w:bidi="he-IL"/>
              </w:rPr>
            </w:pPr>
            <w:r w:rsidRPr="006454A3">
              <w:rPr>
                <w:sz w:val="20"/>
                <w:lang w:val="en-US" w:bidi="he-IL"/>
              </w:rPr>
              <w:t>Mark RISON</w:t>
            </w:r>
          </w:p>
          <w:p w14:paraId="7400AAD0" w14:textId="77777777" w:rsidR="006454A3" w:rsidRPr="006454A3" w:rsidRDefault="006454A3" w:rsidP="006454A3">
            <w:pPr>
              <w:rPr>
                <w:sz w:val="20"/>
                <w:lang w:val="en-US" w:bidi="he-IL"/>
              </w:rPr>
            </w:pPr>
            <w:r w:rsidRPr="006454A3">
              <w:rPr>
                <w:sz w:val="20"/>
                <w:lang w:val="en-US" w:bidi="he-IL"/>
              </w:rPr>
              <w:t>6.3.3.3.2</w:t>
            </w:r>
          </w:p>
          <w:p w14:paraId="58A5E393" w14:textId="77777777" w:rsidR="006454A3" w:rsidRPr="006454A3" w:rsidRDefault="006454A3" w:rsidP="006454A3">
            <w:pPr>
              <w:rPr>
                <w:sz w:val="20"/>
                <w:lang w:val="en-US" w:bidi="he-IL"/>
              </w:rPr>
            </w:pPr>
            <w:r w:rsidRPr="006454A3">
              <w:rPr>
                <w:sz w:val="20"/>
                <w:lang w:val="en-US" w:bidi="he-IL"/>
              </w:rPr>
              <w:t>150.51</w:t>
            </w:r>
          </w:p>
        </w:tc>
        <w:tc>
          <w:tcPr>
            <w:tcW w:w="0" w:type="auto"/>
            <w:vAlign w:val="center"/>
            <w:hideMark/>
          </w:tcPr>
          <w:p w14:paraId="6F185B89" w14:textId="77777777" w:rsidR="006454A3" w:rsidRPr="006454A3" w:rsidRDefault="006454A3" w:rsidP="006454A3">
            <w:pPr>
              <w:rPr>
                <w:sz w:val="24"/>
                <w:szCs w:val="24"/>
                <w:lang w:val="en-US" w:bidi="he-IL"/>
              </w:rPr>
            </w:pPr>
            <w:r w:rsidRPr="006454A3">
              <w:rPr>
                <w:sz w:val="20"/>
                <w:lang w:val="en-US" w:bidi="he-IL"/>
              </w:rPr>
              <w:t>126 and 127 are not valid "</w:t>
            </w:r>
            <w:proofErr w:type="spellStart"/>
            <w:r w:rsidRPr="006454A3">
              <w:rPr>
                <w:sz w:val="20"/>
                <w:lang w:val="en-US" w:bidi="he-IL"/>
              </w:rPr>
              <w:t>rate"s</w:t>
            </w:r>
            <w:proofErr w:type="spellEnd"/>
            <w:r w:rsidRPr="006454A3">
              <w:rPr>
                <w:sz w:val="20"/>
                <w:lang w:val="en-US" w:bidi="he-IL"/>
              </w:rPr>
              <w:t xml:space="preserve"> (they're BSS membership selectors)</w:t>
            </w:r>
          </w:p>
        </w:tc>
        <w:tc>
          <w:tcPr>
            <w:tcW w:w="0" w:type="auto"/>
            <w:vAlign w:val="center"/>
            <w:hideMark/>
          </w:tcPr>
          <w:p w14:paraId="147C8E82" w14:textId="77777777" w:rsidR="006454A3" w:rsidRPr="006454A3" w:rsidRDefault="006454A3" w:rsidP="006454A3">
            <w:pPr>
              <w:rPr>
                <w:sz w:val="24"/>
                <w:szCs w:val="24"/>
                <w:lang w:val="en-US" w:bidi="he-IL"/>
              </w:rPr>
            </w:pPr>
            <w:r w:rsidRPr="006454A3">
              <w:rPr>
                <w:sz w:val="20"/>
                <w:lang w:val="en-US" w:bidi="he-IL"/>
              </w:rPr>
              <w:t>Change "1-127" to "1-125" here and at the top of the next page</w:t>
            </w:r>
          </w:p>
        </w:tc>
      </w:tr>
      <w:tr w:rsidR="006454A3" w:rsidRPr="006454A3" w14:paraId="52575FF1" w14:textId="77777777" w:rsidTr="006454A3">
        <w:trPr>
          <w:tblCellSpacing w:w="15" w:type="dxa"/>
        </w:trPr>
        <w:tc>
          <w:tcPr>
            <w:tcW w:w="0" w:type="auto"/>
            <w:vAlign w:val="center"/>
            <w:hideMark/>
          </w:tcPr>
          <w:p w14:paraId="3ACF2DBC" w14:textId="77777777" w:rsidR="006454A3" w:rsidRPr="006454A3" w:rsidRDefault="006454A3" w:rsidP="006454A3">
            <w:pPr>
              <w:rPr>
                <w:sz w:val="20"/>
                <w:lang w:val="en-US" w:bidi="he-IL"/>
              </w:rPr>
            </w:pPr>
            <w:r w:rsidRPr="006454A3">
              <w:rPr>
                <w:sz w:val="20"/>
                <w:lang w:val="en-US" w:bidi="he-IL"/>
              </w:rPr>
              <w:t xml:space="preserve">CID 7282 </w:t>
            </w:r>
          </w:p>
          <w:p w14:paraId="391A4F8D" w14:textId="77777777" w:rsidR="006454A3" w:rsidRPr="006454A3" w:rsidRDefault="006454A3" w:rsidP="006454A3">
            <w:pPr>
              <w:rPr>
                <w:sz w:val="20"/>
                <w:lang w:val="en-US" w:bidi="he-IL"/>
              </w:rPr>
            </w:pPr>
            <w:r w:rsidRPr="006454A3">
              <w:rPr>
                <w:sz w:val="20"/>
                <w:lang w:val="en-US" w:bidi="he-IL"/>
              </w:rPr>
              <w:t>Mark RISON</w:t>
            </w:r>
          </w:p>
          <w:p w14:paraId="416AAE49" w14:textId="77777777" w:rsidR="006454A3" w:rsidRPr="006454A3" w:rsidRDefault="006454A3" w:rsidP="006454A3">
            <w:pPr>
              <w:rPr>
                <w:sz w:val="20"/>
                <w:lang w:val="en-US" w:bidi="he-IL"/>
              </w:rPr>
            </w:pPr>
            <w:r w:rsidRPr="006454A3">
              <w:rPr>
                <w:sz w:val="20"/>
                <w:lang w:val="en-US" w:bidi="he-IL"/>
              </w:rPr>
              <w:t>6.3.4.2.2</w:t>
            </w:r>
          </w:p>
          <w:p w14:paraId="34AD0D19" w14:textId="77777777" w:rsidR="006454A3" w:rsidRPr="006454A3" w:rsidRDefault="006454A3" w:rsidP="006454A3">
            <w:pPr>
              <w:rPr>
                <w:sz w:val="20"/>
                <w:lang w:val="en-US" w:bidi="he-IL"/>
              </w:rPr>
            </w:pPr>
            <w:r w:rsidRPr="006454A3">
              <w:rPr>
                <w:sz w:val="20"/>
                <w:lang w:val="en-US" w:bidi="he-IL"/>
              </w:rPr>
              <w:t>159.30</w:t>
            </w:r>
          </w:p>
        </w:tc>
        <w:tc>
          <w:tcPr>
            <w:tcW w:w="0" w:type="auto"/>
            <w:vAlign w:val="center"/>
            <w:hideMark/>
          </w:tcPr>
          <w:p w14:paraId="6DDC451B" w14:textId="77777777" w:rsidR="006454A3" w:rsidRPr="006454A3" w:rsidRDefault="006454A3" w:rsidP="006454A3">
            <w:pPr>
              <w:rPr>
                <w:sz w:val="24"/>
                <w:szCs w:val="24"/>
                <w:lang w:val="en-US" w:bidi="he-IL"/>
              </w:rPr>
            </w:pPr>
            <w:r w:rsidRPr="006454A3">
              <w:rPr>
                <w:sz w:val="20"/>
                <w:lang w:val="en-US" w:bidi="he-IL"/>
              </w:rPr>
              <w:t>126 and 127 are not valid "</w:t>
            </w:r>
            <w:proofErr w:type="spellStart"/>
            <w:r w:rsidRPr="006454A3">
              <w:rPr>
                <w:sz w:val="20"/>
                <w:lang w:val="en-US" w:bidi="he-IL"/>
              </w:rPr>
              <w:t>rate"s</w:t>
            </w:r>
            <w:proofErr w:type="spellEnd"/>
            <w:r w:rsidRPr="006454A3">
              <w:rPr>
                <w:sz w:val="20"/>
                <w:lang w:val="en-US" w:bidi="he-IL"/>
              </w:rPr>
              <w:t xml:space="preserve"> (they're BSS membership selectors)</w:t>
            </w:r>
          </w:p>
        </w:tc>
        <w:tc>
          <w:tcPr>
            <w:tcW w:w="0" w:type="auto"/>
            <w:vAlign w:val="center"/>
            <w:hideMark/>
          </w:tcPr>
          <w:p w14:paraId="36541286" w14:textId="77777777" w:rsidR="006454A3" w:rsidRPr="006454A3" w:rsidRDefault="006454A3" w:rsidP="006454A3">
            <w:pPr>
              <w:rPr>
                <w:sz w:val="24"/>
                <w:szCs w:val="24"/>
                <w:lang w:val="en-US" w:bidi="he-IL"/>
              </w:rPr>
            </w:pPr>
            <w:r w:rsidRPr="006454A3">
              <w:rPr>
                <w:sz w:val="20"/>
                <w:lang w:val="en-US" w:bidi="he-IL"/>
              </w:rPr>
              <w:t>Change "1-127" to "1-125"</w:t>
            </w:r>
          </w:p>
        </w:tc>
      </w:tr>
      <w:tr w:rsidR="006454A3" w:rsidRPr="006454A3" w14:paraId="035963E9" w14:textId="77777777" w:rsidTr="006454A3">
        <w:trPr>
          <w:tblCellSpacing w:w="15" w:type="dxa"/>
        </w:trPr>
        <w:tc>
          <w:tcPr>
            <w:tcW w:w="0" w:type="auto"/>
            <w:vAlign w:val="center"/>
            <w:hideMark/>
          </w:tcPr>
          <w:p w14:paraId="7D088267" w14:textId="77777777" w:rsidR="006454A3" w:rsidRPr="006454A3" w:rsidRDefault="006454A3" w:rsidP="006454A3">
            <w:pPr>
              <w:rPr>
                <w:sz w:val="20"/>
                <w:lang w:val="en-US" w:bidi="he-IL"/>
              </w:rPr>
            </w:pPr>
            <w:r w:rsidRPr="006454A3">
              <w:rPr>
                <w:sz w:val="20"/>
                <w:lang w:val="en-US" w:bidi="he-IL"/>
              </w:rPr>
              <w:t xml:space="preserve">CID 7283 </w:t>
            </w:r>
          </w:p>
          <w:p w14:paraId="4A7FB229" w14:textId="77777777" w:rsidR="006454A3" w:rsidRPr="006454A3" w:rsidRDefault="006454A3" w:rsidP="006454A3">
            <w:pPr>
              <w:rPr>
                <w:sz w:val="20"/>
                <w:lang w:val="en-US" w:bidi="he-IL"/>
              </w:rPr>
            </w:pPr>
            <w:r w:rsidRPr="006454A3">
              <w:rPr>
                <w:sz w:val="20"/>
                <w:lang w:val="en-US" w:bidi="he-IL"/>
              </w:rPr>
              <w:t>Mark RISON</w:t>
            </w:r>
          </w:p>
          <w:p w14:paraId="1FE2BBC5" w14:textId="77777777" w:rsidR="006454A3" w:rsidRPr="006454A3" w:rsidRDefault="006454A3" w:rsidP="006454A3">
            <w:pPr>
              <w:rPr>
                <w:sz w:val="20"/>
                <w:lang w:val="en-US" w:bidi="he-IL"/>
              </w:rPr>
            </w:pPr>
            <w:r w:rsidRPr="006454A3">
              <w:rPr>
                <w:sz w:val="20"/>
                <w:lang w:val="en-US" w:bidi="he-IL"/>
              </w:rPr>
              <w:t>6.3.7.3.2</w:t>
            </w:r>
          </w:p>
          <w:p w14:paraId="584A251E" w14:textId="77777777" w:rsidR="006454A3" w:rsidRPr="006454A3" w:rsidRDefault="006454A3" w:rsidP="006454A3">
            <w:pPr>
              <w:rPr>
                <w:sz w:val="20"/>
                <w:lang w:val="en-US" w:bidi="he-IL"/>
              </w:rPr>
            </w:pPr>
            <w:r w:rsidRPr="006454A3">
              <w:rPr>
                <w:sz w:val="20"/>
                <w:lang w:val="en-US" w:bidi="he-IL"/>
              </w:rPr>
              <w:t>173.47</w:t>
            </w:r>
          </w:p>
        </w:tc>
        <w:tc>
          <w:tcPr>
            <w:tcW w:w="0" w:type="auto"/>
            <w:vAlign w:val="center"/>
            <w:hideMark/>
          </w:tcPr>
          <w:p w14:paraId="2F7EE4B7" w14:textId="77777777" w:rsidR="006454A3" w:rsidRPr="006454A3" w:rsidRDefault="006454A3" w:rsidP="006454A3">
            <w:pPr>
              <w:rPr>
                <w:sz w:val="24"/>
                <w:szCs w:val="24"/>
                <w:lang w:val="en-US" w:bidi="he-IL"/>
              </w:rPr>
            </w:pPr>
            <w:r w:rsidRPr="006454A3">
              <w:rPr>
                <w:sz w:val="20"/>
                <w:lang w:val="en-US" w:bidi="he-IL"/>
              </w:rPr>
              <w:t>126 and 127 are not valid "</w:t>
            </w:r>
            <w:proofErr w:type="spellStart"/>
            <w:r w:rsidRPr="006454A3">
              <w:rPr>
                <w:sz w:val="20"/>
                <w:lang w:val="en-US" w:bidi="he-IL"/>
              </w:rPr>
              <w:t>rate"s</w:t>
            </w:r>
            <w:proofErr w:type="spellEnd"/>
            <w:r w:rsidRPr="006454A3">
              <w:rPr>
                <w:sz w:val="20"/>
                <w:lang w:val="en-US" w:bidi="he-IL"/>
              </w:rPr>
              <w:t xml:space="preserve"> (they're BSS membership selectors)</w:t>
            </w:r>
          </w:p>
        </w:tc>
        <w:tc>
          <w:tcPr>
            <w:tcW w:w="0" w:type="auto"/>
            <w:vAlign w:val="center"/>
            <w:hideMark/>
          </w:tcPr>
          <w:p w14:paraId="3218FAC7" w14:textId="77777777" w:rsidR="006454A3" w:rsidRPr="006454A3" w:rsidRDefault="006454A3" w:rsidP="006454A3">
            <w:pPr>
              <w:rPr>
                <w:sz w:val="24"/>
                <w:szCs w:val="24"/>
                <w:lang w:val="en-US" w:bidi="he-IL"/>
              </w:rPr>
            </w:pPr>
            <w:r w:rsidRPr="006454A3">
              <w:rPr>
                <w:sz w:val="20"/>
                <w:lang w:val="en-US" w:bidi="he-IL"/>
              </w:rPr>
              <w:t xml:space="preserve">Change "1-127" to "1-125" and add a row for </w:t>
            </w:r>
            <w:proofErr w:type="spellStart"/>
            <w:r w:rsidRPr="006454A3">
              <w:rPr>
                <w:sz w:val="20"/>
                <w:lang w:val="en-US" w:bidi="he-IL"/>
              </w:rPr>
              <w:t>BSSMembershipSelectorSet</w:t>
            </w:r>
            <w:proofErr w:type="spellEnd"/>
          </w:p>
        </w:tc>
      </w:tr>
      <w:tr w:rsidR="006454A3" w:rsidRPr="006454A3" w14:paraId="21C5991C" w14:textId="77777777" w:rsidTr="006454A3">
        <w:trPr>
          <w:tblCellSpacing w:w="15" w:type="dxa"/>
        </w:trPr>
        <w:tc>
          <w:tcPr>
            <w:tcW w:w="0" w:type="auto"/>
            <w:vAlign w:val="center"/>
            <w:hideMark/>
          </w:tcPr>
          <w:p w14:paraId="175A9D4A" w14:textId="77777777" w:rsidR="006454A3" w:rsidRPr="006454A3" w:rsidRDefault="006454A3" w:rsidP="006454A3">
            <w:pPr>
              <w:rPr>
                <w:sz w:val="20"/>
                <w:lang w:val="en-US" w:bidi="he-IL"/>
              </w:rPr>
            </w:pPr>
            <w:r w:rsidRPr="006454A3">
              <w:rPr>
                <w:sz w:val="20"/>
                <w:lang w:val="en-US" w:bidi="he-IL"/>
              </w:rPr>
              <w:t xml:space="preserve">CID 7284 </w:t>
            </w:r>
          </w:p>
          <w:p w14:paraId="0A50E9D7" w14:textId="77777777" w:rsidR="006454A3" w:rsidRPr="006454A3" w:rsidRDefault="006454A3" w:rsidP="006454A3">
            <w:pPr>
              <w:rPr>
                <w:sz w:val="20"/>
                <w:lang w:val="en-US" w:bidi="he-IL"/>
              </w:rPr>
            </w:pPr>
            <w:r w:rsidRPr="006454A3">
              <w:rPr>
                <w:sz w:val="20"/>
                <w:lang w:val="en-US" w:bidi="he-IL"/>
              </w:rPr>
              <w:t>Mark RISON</w:t>
            </w:r>
          </w:p>
          <w:p w14:paraId="5D279B4B" w14:textId="77777777" w:rsidR="006454A3" w:rsidRPr="006454A3" w:rsidRDefault="006454A3" w:rsidP="006454A3">
            <w:pPr>
              <w:rPr>
                <w:sz w:val="20"/>
                <w:lang w:val="en-US" w:bidi="he-IL"/>
              </w:rPr>
            </w:pPr>
            <w:r w:rsidRPr="006454A3">
              <w:rPr>
                <w:sz w:val="20"/>
                <w:lang w:val="en-US" w:bidi="he-IL"/>
              </w:rPr>
              <w:t>6.3.7.4.2</w:t>
            </w:r>
          </w:p>
          <w:p w14:paraId="537D834E" w14:textId="77777777" w:rsidR="006454A3" w:rsidRPr="006454A3" w:rsidRDefault="006454A3" w:rsidP="006454A3">
            <w:pPr>
              <w:rPr>
                <w:sz w:val="20"/>
                <w:lang w:val="en-US" w:bidi="he-IL"/>
              </w:rPr>
            </w:pPr>
            <w:r w:rsidRPr="006454A3">
              <w:rPr>
                <w:sz w:val="20"/>
                <w:lang w:val="en-US" w:bidi="he-IL"/>
              </w:rPr>
              <w:t>177.36</w:t>
            </w:r>
          </w:p>
        </w:tc>
        <w:tc>
          <w:tcPr>
            <w:tcW w:w="0" w:type="auto"/>
            <w:vAlign w:val="center"/>
            <w:hideMark/>
          </w:tcPr>
          <w:p w14:paraId="1123393B" w14:textId="77777777" w:rsidR="006454A3" w:rsidRPr="006454A3" w:rsidRDefault="006454A3" w:rsidP="006454A3">
            <w:pPr>
              <w:rPr>
                <w:sz w:val="24"/>
                <w:szCs w:val="24"/>
                <w:lang w:val="en-US" w:bidi="he-IL"/>
              </w:rPr>
            </w:pPr>
            <w:r w:rsidRPr="006454A3">
              <w:rPr>
                <w:sz w:val="20"/>
                <w:lang w:val="en-US" w:bidi="he-IL"/>
              </w:rPr>
              <w:t>126 and 127 are not valid "</w:t>
            </w:r>
            <w:proofErr w:type="spellStart"/>
            <w:r w:rsidRPr="006454A3">
              <w:rPr>
                <w:sz w:val="20"/>
                <w:lang w:val="en-US" w:bidi="he-IL"/>
              </w:rPr>
              <w:t>rate"s</w:t>
            </w:r>
            <w:proofErr w:type="spellEnd"/>
            <w:r w:rsidRPr="006454A3">
              <w:rPr>
                <w:sz w:val="20"/>
                <w:lang w:val="en-US" w:bidi="he-IL"/>
              </w:rPr>
              <w:t xml:space="preserve"> (they're BSS membership selectors)</w:t>
            </w:r>
          </w:p>
        </w:tc>
        <w:tc>
          <w:tcPr>
            <w:tcW w:w="0" w:type="auto"/>
            <w:vAlign w:val="center"/>
            <w:hideMark/>
          </w:tcPr>
          <w:p w14:paraId="0F574382" w14:textId="77777777" w:rsidR="006454A3" w:rsidRPr="006454A3" w:rsidRDefault="006454A3" w:rsidP="006454A3">
            <w:pPr>
              <w:rPr>
                <w:sz w:val="24"/>
                <w:szCs w:val="24"/>
                <w:lang w:val="en-US" w:bidi="he-IL"/>
              </w:rPr>
            </w:pPr>
            <w:r w:rsidRPr="006454A3">
              <w:rPr>
                <w:sz w:val="20"/>
                <w:lang w:val="en-US" w:bidi="he-IL"/>
              </w:rPr>
              <w:t>Change "1-127" to "1-125"</w:t>
            </w:r>
          </w:p>
        </w:tc>
      </w:tr>
      <w:tr w:rsidR="006454A3" w:rsidRPr="006454A3" w14:paraId="3242A442" w14:textId="77777777" w:rsidTr="006454A3">
        <w:trPr>
          <w:tblCellSpacing w:w="15" w:type="dxa"/>
        </w:trPr>
        <w:tc>
          <w:tcPr>
            <w:tcW w:w="0" w:type="auto"/>
            <w:vAlign w:val="center"/>
            <w:hideMark/>
          </w:tcPr>
          <w:p w14:paraId="348F9A91" w14:textId="77777777" w:rsidR="006454A3" w:rsidRPr="006454A3" w:rsidRDefault="006454A3" w:rsidP="006454A3">
            <w:pPr>
              <w:rPr>
                <w:sz w:val="20"/>
                <w:lang w:val="en-US" w:bidi="he-IL"/>
              </w:rPr>
            </w:pPr>
            <w:r w:rsidRPr="006454A3">
              <w:rPr>
                <w:sz w:val="20"/>
                <w:lang w:val="en-US" w:bidi="he-IL"/>
              </w:rPr>
              <w:t xml:space="preserve">CID 7285 </w:t>
            </w:r>
          </w:p>
          <w:p w14:paraId="04298CE3" w14:textId="77777777" w:rsidR="006454A3" w:rsidRPr="006454A3" w:rsidRDefault="006454A3" w:rsidP="006454A3">
            <w:pPr>
              <w:rPr>
                <w:sz w:val="20"/>
                <w:lang w:val="en-US" w:bidi="he-IL"/>
              </w:rPr>
            </w:pPr>
            <w:r w:rsidRPr="006454A3">
              <w:rPr>
                <w:sz w:val="20"/>
                <w:lang w:val="en-US" w:bidi="he-IL"/>
              </w:rPr>
              <w:t>Mark RISON</w:t>
            </w:r>
          </w:p>
          <w:p w14:paraId="490E9CA2" w14:textId="77777777" w:rsidR="006454A3" w:rsidRPr="006454A3" w:rsidRDefault="006454A3" w:rsidP="006454A3">
            <w:pPr>
              <w:rPr>
                <w:sz w:val="20"/>
                <w:lang w:val="en-US" w:bidi="he-IL"/>
              </w:rPr>
            </w:pPr>
            <w:r w:rsidRPr="006454A3">
              <w:rPr>
                <w:sz w:val="20"/>
                <w:lang w:val="en-US" w:bidi="he-IL"/>
              </w:rPr>
              <w:t>6.3.8.3.2</w:t>
            </w:r>
          </w:p>
          <w:p w14:paraId="509BC738" w14:textId="77777777" w:rsidR="006454A3" w:rsidRPr="006454A3" w:rsidRDefault="006454A3" w:rsidP="006454A3">
            <w:pPr>
              <w:rPr>
                <w:sz w:val="20"/>
                <w:lang w:val="en-US" w:bidi="he-IL"/>
              </w:rPr>
            </w:pPr>
            <w:r w:rsidRPr="006454A3">
              <w:rPr>
                <w:sz w:val="20"/>
                <w:lang w:val="en-US" w:bidi="he-IL"/>
              </w:rPr>
              <w:t>187.29</w:t>
            </w:r>
          </w:p>
        </w:tc>
        <w:tc>
          <w:tcPr>
            <w:tcW w:w="0" w:type="auto"/>
            <w:vAlign w:val="center"/>
            <w:hideMark/>
          </w:tcPr>
          <w:p w14:paraId="03369D6B" w14:textId="77777777" w:rsidR="006454A3" w:rsidRPr="006454A3" w:rsidRDefault="006454A3" w:rsidP="006454A3">
            <w:pPr>
              <w:rPr>
                <w:sz w:val="24"/>
                <w:szCs w:val="24"/>
                <w:lang w:val="en-US" w:bidi="he-IL"/>
              </w:rPr>
            </w:pPr>
            <w:r w:rsidRPr="006454A3">
              <w:rPr>
                <w:sz w:val="20"/>
                <w:lang w:val="en-US" w:bidi="he-IL"/>
              </w:rPr>
              <w:t>126 and 127 are not valid "</w:t>
            </w:r>
            <w:proofErr w:type="spellStart"/>
            <w:r w:rsidRPr="006454A3">
              <w:rPr>
                <w:sz w:val="20"/>
                <w:lang w:val="en-US" w:bidi="he-IL"/>
              </w:rPr>
              <w:t>rate"s</w:t>
            </w:r>
            <w:proofErr w:type="spellEnd"/>
            <w:r w:rsidRPr="006454A3">
              <w:rPr>
                <w:sz w:val="20"/>
                <w:lang w:val="en-US" w:bidi="he-IL"/>
              </w:rPr>
              <w:t xml:space="preserve"> (they're BSS membership selectors)</w:t>
            </w:r>
          </w:p>
        </w:tc>
        <w:tc>
          <w:tcPr>
            <w:tcW w:w="0" w:type="auto"/>
            <w:vAlign w:val="center"/>
            <w:hideMark/>
          </w:tcPr>
          <w:p w14:paraId="6141BED4" w14:textId="77777777" w:rsidR="006454A3" w:rsidRPr="006454A3" w:rsidRDefault="006454A3" w:rsidP="006454A3">
            <w:pPr>
              <w:rPr>
                <w:sz w:val="24"/>
                <w:szCs w:val="24"/>
                <w:lang w:val="en-US" w:bidi="he-IL"/>
              </w:rPr>
            </w:pPr>
            <w:r w:rsidRPr="006454A3">
              <w:rPr>
                <w:sz w:val="20"/>
                <w:lang w:val="en-US" w:bidi="he-IL"/>
              </w:rPr>
              <w:t xml:space="preserve">Change "1-127" to "1-125" and add a row for </w:t>
            </w:r>
            <w:proofErr w:type="spellStart"/>
            <w:r w:rsidRPr="006454A3">
              <w:rPr>
                <w:sz w:val="20"/>
                <w:lang w:val="en-US" w:bidi="he-IL"/>
              </w:rPr>
              <w:t>BSSMembershipSelectorSet</w:t>
            </w:r>
            <w:proofErr w:type="spellEnd"/>
          </w:p>
        </w:tc>
      </w:tr>
      <w:tr w:rsidR="006454A3" w:rsidRPr="006454A3" w14:paraId="4C2C5067" w14:textId="77777777" w:rsidTr="006454A3">
        <w:trPr>
          <w:tblCellSpacing w:w="15" w:type="dxa"/>
        </w:trPr>
        <w:tc>
          <w:tcPr>
            <w:tcW w:w="0" w:type="auto"/>
            <w:vAlign w:val="center"/>
            <w:hideMark/>
          </w:tcPr>
          <w:p w14:paraId="41A44F45" w14:textId="77777777" w:rsidR="006454A3" w:rsidRPr="006454A3" w:rsidRDefault="006454A3" w:rsidP="006454A3">
            <w:pPr>
              <w:rPr>
                <w:sz w:val="20"/>
                <w:lang w:val="en-US" w:bidi="he-IL"/>
              </w:rPr>
            </w:pPr>
            <w:r w:rsidRPr="006454A3">
              <w:rPr>
                <w:sz w:val="20"/>
                <w:lang w:val="en-US" w:bidi="he-IL"/>
              </w:rPr>
              <w:t xml:space="preserve">CID 7286 </w:t>
            </w:r>
          </w:p>
          <w:p w14:paraId="5781D4FE" w14:textId="77777777" w:rsidR="006454A3" w:rsidRPr="006454A3" w:rsidRDefault="006454A3" w:rsidP="006454A3">
            <w:pPr>
              <w:rPr>
                <w:sz w:val="20"/>
                <w:lang w:val="en-US" w:bidi="he-IL"/>
              </w:rPr>
            </w:pPr>
            <w:r w:rsidRPr="006454A3">
              <w:rPr>
                <w:sz w:val="20"/>
                <w:lang w:val="en-US" w:bidi="he-IL"/>
              </w:rPr>
              <w:t>Mark RISON</w:t>
            </w:r>
          </w:p>
          <w:p w14:paraId="2AD506B1" w14:textId="77777777" w:rsidR="006454A3" w:rsidRPr="006454A3" w:rsidRDefault="006454A3" w:rsidP="006454A3">
            <w:pPr>
              <w:rPr>
                <w:sz w:val="20"/>
                <w:lang w:val="en-US" w:bidi="he-IL"/>
              </w:rPr>
            </w:pPr>
            <w:r w:rsidRPr="006454A3">
              <w:rPr>
                <w:sz w:val="20"/>
                <w:lang w:val="en-US" w:bidi="he-IL"/>
              </w:rPr>
              <w:t>6.3.8.4.2</w:t>
            </w:r>
          </w:p>
          <w:p w14:paraId="496E75CA" w14:textId="77777777" w:rsidR="006454A3" w:rsidRPr="006454A3" w:rsidRDefault="006454A3" w:rsidP="006454A3">
            <w:pPr>
              <w:rPr>
                <w:sz w:val="20"/>
                <w:lang w:val="en-US" w:bidi="he-IL"/>
              </w:rPr>
            </w:pPr>
            <w:r w:rsidRPr="006454A3">
              <w:rPr>
                <w:sz w:val="20"/>
                <w:lang w:val="en-US" w:bidi="he-IL"/>
              </w:rPr>
              <w:t>190.50</w:t>
            </w:r>
          </w:p>
        </w:tc>
        <w:tc>
          <w:tcPr>
            <w:tcW w:w="0" w:type="auto"/>
            <w:vAlign w:val="center"/>
            <w:hideMark/>
          </w:tcPr>
          <w:p w14:paraId="2DA996C8" w14:textId="77777777" w:rsidR="006454A3" w:rsidRPr="006454A3" w:rsidRDefault="006454A3" w:rsidP="006454A3">
            <w:pPr>
              <w:rPr>
                <w:sz w:val="24"/>
                <w:szCs w:val="24"/>
                <w:lang w:val="en-US" w:bidi="he-IL"/>
              </w:rPr>
            </w:pPr>
            <w:r w:rsidRPr="006454A3">
              <w:rPr>
                <w:sz w:val="20"/>
                <w:lang w:val="en-US" w:bidi="he-IL"/>
              </w:rPr>
              <w:t>126 and 127 are not valid "</w:t>
            </w:r>
            <w:proofErr w:type="spellStart"/>
            <w:r w:rsidRPr="006454A3">
              <w:rPr>
                <w:sz w:val="20"/>
                <w:lang w:val="en-US" w:bidi="he-IL"/>
              </w:rPr>
              <w:t>rate"s</w:t>
            </w:r>
            <w:proofErr w:type="spellEnd"/>
            <w:r w:rsidRPr="006454A3">
              <w:rPr>
                <w:sz w:val="20"/>
                <w:lang w:val="en-US" w:bidi="he-IL"/>
              </w:rPr>
              <w:t xml:space="preserve"> (they're BSS membership selectors)</w:t>
            </w:r>
          </w:p>
        </w:tc>
        <w:tc>
          <w:tcPr>
            <w:tcW w:w="0" w:type="auto"/>
            <w:vAlign w:val="center"/>
            <w:hideMark/>
          </w:tcPr>
          <w:p w14:paraId="5E0A4CAC" w14:textId="77777777" w:rsidR="006454A3" w:rsidRPr="006454A3" w:rsidRDefault="006454A3" w:rsidP="006454A3">
            <w:pPr>
              <w:rPr>
                <w:sz w:val="24"/>
                <w:szCs w:val="24"/>
                <w:lang w:val="en-US" w:bidi="he-IL"/>
              </w:rPr>
            </w:pPr>
            <w:r w:rsidRPr="006454A3">
              <w:rPr>
                <w:sz w:val="20"/>
                <w:lang w:val="en-US" w:bidi="he-IL"/>
              </w:rPr>
              <w:t>Change "1-127" to "1-125"</w:t>
            </w:r>
          </w:p>
        </w:tc>
      </w:tr>
      <w:tr w:rsidR="006454A3" w:rsidRPr="006454A3" w14:paraId="375E2E7F" w14:textId="77777777" w:rsidTr="006454A3">
        <w:trPr>
          <w:tblCellSpacing w:w="15" w:type="dxa"/>
        </w:trPr>
        <w:tc>
          <w:tcPr>
            <w:tcW w:w="0" w:type="auto"/>
            <w:vAlign w:val="center"/>
            <w:hideMark/>
          </w:tcPr>
          <w:p w14:paraId="5B156B2A" w14:textId="77777777" w:rsidR="006454A3" w:rsidRPr="006454A3" w:rsidRDefault="006454A3" w:rsidP="006454A3">
            <w:pPr>
              <w:rPr>
                <w:sz w:val="20"/>
                <w:lang w:val="en-US" w:bidi="he-IL"/>
              </w:rPr>
            </w:pPr>
            <w:r w:rsidRPr="006454A3">
              <w:rPr>
                <w:sz w:val="20"/>
                <w:lang w:val="en-US" w:bidi="he-IL"/>
              </w:rPr>
              <w:t xml:space="preserve">CID 7287 </w:t>
            </w:r>
          </w:p>
          <w:p w14:paraId="5FBD0BBD" w14:textId="77777777" w:rsidR="006454A3" w:rsidRPr="006454A3" w:rsidRDefault="006454A3" w:rsidP="006454A3">
            <w:pPr>
              <w:rPr>
                <w:sz w:val="20"/>
                <w:lang w:val="en-US" w:bidi="he-IL"/>
              </w:rPr>
            </w:pPr>
            <w:r w:rsidRPr="006454A3">
              <w:rPr>
                <w:sz w:val="20"/>
                <w:lang w:val="en-US" w:bidi="he-IL"/>
              </w:rPr>
              <w:t>Mark RISON</w:t>
            </w:r>
          </w:p>
          <w:p w14:paraId="7278378F" w14:textId="77777777" w:rsidR="006454A3" w:rsidRPr="006454A3" w:rsidRDefault="006454A3" w:rsidP="006454A3">
            <w:pPr>
              <w:rPr>
                <w:sz w:val="20"/>
                <w:lang w:val="en-US" w:bidi="he-IL"/>
              </w:rPr>
            </w:pPr>
            <w:r w:rsidRPr="006454A3">
              <w:rPr>
                <w:sz w:val="20"/>
                <w:lang w:val="en-US" w:bidi="he-IL"/>
              </w:rPr>
              <w:t>6.3.11.2.2</w:t>
            </w:r>
          </w:p>
          <w:p w14:paraId="08F86A5B" w14:textId="77777777" w:rsidR="006454A3" w:rsidRPr="006454A3" w:rsidRDefault="006454A3" w:rsidP="006454A3">
            <w:pPr>
              <w:rPr>
                <w:sz w:val="20"/>
                <w:lang w:val="en-US" w:bidi="he-IL"/>
              </w:rPr>
            </w:pPr>
            <w:r w:rsidRPr="006454A3">
              <w:rPr>
                <w:sz w:val="20"/>
                <w:lang w:val="en-US" w:bidi="he-IL"/>
              </w:rPr>
              <w:t>201.52</w:t>
            </w:r>
          </w:p>
        </w:tc>
        <w:tc>
          <w:tcPr>
            <w:tcW w:w="0" w:type="auto"/>
            <w:vAlign w:val="center"/>
            <w:hideMark/>
          </w:tcPr>
          <w:p w14:paraId="3D14CCD9" w14:textId="77777777" w:rsidR="006454A3" w:rsidRPr="006454A3" w:rsidRDefault="006454A3" w:rsidP="006454A3">
            <w:pPr>
              <w:rPr>
                <w:sz w:val="24"/>
                <w:szCs w:val="24"/>
                <w:lang w:val="en-US" w:bidi="he-IL"/>
              </w:rPr>
            </w:pPr>
            <w:r w:rsidRPr="006454A3">
              <w:rPr>
                <w:sz w:val="20"/>
                <w:lang w:val="en-US" w:bidi="he-IL"/>
              </w:rPr>
              <w:t>126 and 127 are not valid "</w:t>
            </w:r>
            <w:proofErr w:type="spellStart"/>
            <w:r w:rsidRPr="006454A3">
              <w:rPr>
                <w:sz w:val="20"/>
                <w:lang w:val="en-US" w:bidi="he-IL"/>
              </w:rPr>
              <w:t>rate"s</w:t>
            </w:r>
            <w:proofErr w:type="spellEnd"/>
            <w:r w:rsidRPr="006454A3">
              <w:rPr>
                <w:sz w:val="20"/>
                <w:lang w:val="en-US" w:bidi="he-IL"/>
              </w:rPr>
              <w:t xml:space="preserve"> (they're BSS membership selectors)</w:t>
            </w:r>
          </w:p>
        </w:tc>
        <w:tc>
          <w:tcPr>
            <w:tcW w:w="0" w:type="auto"/>
            <w:vAlign w:val="center"/>
            <w:hideMark/>
          </w:tcPr>
          <w:p w14:paraId="6203659D" w14:textId="77777777" w:rsidR="006454A3" w:rsidRPr="006454A3" w:rsidRDefault="006454A3" w:rsidP="006454A3">
            <w:pPr>
              <w:rPr>
                <w:sz w:val="24"/>
                <w:szCs w:val="24"/>
                <w:lang w:val="en-US" w:bidi="he-IL"/>
              </w:rPr>
            </w:pPr>
            <w:r w:rsidRPr="006454A3">
              <w:rPr>
                <w:sz w:val="20"/>
                <w:lang w:val="en-US" w:bidi="he-IL"/>
              </w:rPr>
              <w:t>Change "1-127" to "1-125"</w:t>
            </w:r>
          </w:p>
        </w:tc>
      </w:tr>
      <w:tr w:rsidR="006454A3" w:rsidRPr="006454A3" w14:paraId="3D8FCD68" w14:textId="77777777" w:rsidTr="006454A3">
        <w:trPr>
          <w:tblCellSpacing w:w="15" w:type="dxa"/>
        </w:trPr>
        <w:tc>
          <w:tcPr>
            <w:tcW w:w="0" w:type="auto"/>
            <w:vAlign w:val="center"/>
            <w:hideMark/>
          </w:tcPr>
          <w:p w14:paraId="332A9EA5" w14:textId="77777777" w:rsidR="006454A3" w:rsidRPr="006454A3" w:rsidRDefault="006454A3" w:rsidP="006454A3">
            <w:pPr>
              <w:rPr>
                <w:sz w:val="20"/>
                <w:lang w:val="en-US" w:bidi="he-IL"/>
              </w:rPr>
            </w:pPr>
            <w:r w:rsidRPr="006454A3">
              <w:rPr>
                <w:sz w:val="20"/>
                <w:lang w:val="en-US" w:bidi="he-IL"/>
              </w:rPr>
              <w:t xml:space="preserve">CID 7288 </w:t>
            </w:r>
          </w:p>
          <w:p w14:paraId="0514F7FC" w14:textId="77777777" w:rsidR="006454A3" w:rsidRPr="006454A3" w:rsidRDefault="006454A3" w:rsidP="006454A3">
            <w:pPr>
              <w:rPr>
                <w:sz w:val="20"/>
                <w:lang w:val="en-US" w:bidi="he-IL"/>
              </w:rPr>
            </w:pPr>
            <w:r w:rsidRPr="006454A3">
              <w:rPr>
                <w:sz w:val="20"/>
                <w:lang w:val="en-US" w:bidi="he-IL"/>
              </w:rPr>
              <w:t>Mark RISON</w:t>
            </w:r>
          </w:p>
          <w:p w14:paraId="107A426F" w14:textId="77777777" w:rsidR="006454A3" w:rsidRPr="006454A3" w:rsidRDefault="006454A3" w:rsidP="006454A3">
            <w:pPr>
              <w:rPr>
                <w:sz w:val="20"/>
                <w:lang w:val="en-US" w:bidi="he-IL"/>
              </w:rPr>
            </w:pPr>
            <w:r w:rsidRPr="006454A3">
              <w:rPr>
                <w:sz w:val="20"/>
                <w:lang w:val="en-US" w:bidi="he-IL"/>
              </w:rPr>
              <w:t>6.3.27.3.2</w:t>
            </w:r>
          </w:p>
          <w:p w14:paraId="3D536588" w14:textId="77777777" w:rsidR="006454A3" w:rsidRPr="006454A3" w:rsidRDefault="006454A3" w:rsidP="006454A3">
            <w:pPr>
              <w:rPr>
                <w:sz w:val="20"/>
                <w:lang w:val="en-US" w:bidi="he-IL"/>
              </w:rPr>
            </w:pPr>
            <w:r w:rsidRPr="006454A3">
              <w:rPr>
                <w:sz w:val="20"/>
                <w:lang w:val="en-US" w:bidi="he-IL"/>
              </w:rPr>
              <w:t>246.60</w:t>
            </w:r>
          </w:p>
        </w:tc>
        <w:tc>
          <w:tcPr>
            <w:tcW w:w="0" w:type="auto"/>
            <w:vAlign w:val="center"/>
            <w:hideMark/>
          </w:tcPr>
          <w:p w14:paraId="436AD7A4" w14:textId="77777777" w:rsidR="006454A3" w:rsidRPr="006454A3" w:rsidRDefault="006454A3" w:rsidP="006454A3">
            <w:pPr>
              <w:rPr>
                <w:sz w:val="24"/>
                <w:szCs w:val="24"/>
                <w:lang w:val="en-US" w:bidi="he-IL"/>
              </w:rPr>
            </w:pPr>
            <w:r w:rsidRPr="006454A3">
              <w:rPr>
                <w:sz w:val="20"/>
                <w:lang w:val="en-US" w:bidi="he-IL"/>
              </w:rPr>
              <w:t>126 and 127 are not valid "</w:t>
            </w:r>
            <w:proofErr w:type="spellStart"/>
            <w:r w:rsidRPr="006454A3">
              <w:rPr>
                <w:sz w:val="20"/>
                <w:lang w:val="en-US" w:bidi="he-IL"/>
              </w:rPr>
              <w:t>rate"s</w:t>
            </w:r>
            <w:proofErr w:type="spellEnd"/>
            <w:r w:rsidRPr="006454A3">
              <w:rPr>
                <w:sz w:val="20"/>
                <w:lang w:val="en-US" w:bidi="he-IL"/>
              </w:rPr>
              <w:t xml:space="preserve"> (they're BSS membership selectors)</w:t>
            </w:r>
          </w:p>
        </w:tc>
        <w:tc>
          <w:tcPr>
            <w:tcW w:w="0" w:type="auto"/>
            <w:vAlign w:val="center"/>
            <w:hideMark/>
          </w:tcPr>
          <w:p w14:paraId="74DF821F" w14:textId="77777777" w:rsidR="006454A3" w:rsidRPr="006454A3" w:rsidRDefault="006454A3" w:rsidP="006454A3">
            <w:pPr>
              <w:rPr>
                <w:sz w:val="24"/>
                <w:szCs w:val="24"/>
                <w:lang w:val="en-US" w:bidi="he-IL"/>
              </w:rPr>
            </w:pPr>
            <w:r w:rsidRPr="006454A3">
              <w:rPr>
                <w:sz w:val="20"/>
                <w:lang w:val="en-US" w:bidi="he-IL"/>
              </w:rPr>
              <w:t>Change "1-127" to "1-125"</w:t>
            </w:r>
          </w:p>
        </w:tc>
      </w:tr>
      <w:tr w:rsidR="006454A3" w:rsidRPr="006454A3" w14:paraId="6D7170B2" w14:textId="77777777" w:rsidTr="006454A3">
        <w:trPr>
          <w:tblCellSpacing w:w="15" w:type="dxa"/>
        </w:trPr>
        <w:tc>
          <w:tcPr>
            <w:tcW w:w="0" w:type="auto"/>
            <w:vAlign w:val="center"/>
            <w:hideMark/>
          </w:tcPr>
          <w:p w14:paraId="50C7E912" w14:textId="77777777" w:rsidR="006454A3" w:rsidRPr="006454A3" w:rsidRDefault="006454A3" w:rsidP="006454A3">
            <w:pPr>
              <w:rPr>
                <w:sz w:val="20"/>
                <w:lang w:val="en-US" w:bidi="he-IL"/>
              </w:rPr>
            </w:pPr>
            <w:r w:rsidRPr="006454A3">
              <w:rPr>
                <w:sz w:val="20"/>
                <w:lang w:val="en-US" w:bidi="he-IL"/>
              </w:rPr>
              <w:t xml:space="preserve">CID 7289 </w:t>
            </w:r>
          </w:p>
          <w:p w14:paraId="20452CA9" w14:textId="77777777" w:rsidR="006454A3" w:rsidRPr="006454A3" w:rsidRDefault="006454A3" w:rsidP="006454A3">
            <w:pPr>
              <w:rPr>
                <w:sz w:val="20"/>
                <w:lang w:val="en-US" w:bidi="he-IL"/>
              </w:rPr>
            </w:pPr>
            <w:r w:rsidRPr="006454A3">
              <w:rPr>
                <w:sz w:val="20"/>
                <w:lang w:val="en-US" w:bidi="he-IL"/>
              </w:rPr>
              <w:t>Mark RISON</w:t>
            </w:r>
          </w:p>
          <w:p w14:paraId="18CF100F" w14:textId="77777777" w:rsidR="006454A3" w:rsidRPr="006454A3" w:rsidRDefault="006454A3" w:rsidP="006454A3">
            <w:pPr>
              <w:rPr>
                <w:sz w:val="20"/>
                <w:lang w:val="en-US" w:bidi="he-IL"/>
              </w:rPr>
            </w:pPr>
            <w:r w:rsidRPr="006454A3">
              <w:rPr>
                <w:sz w:val="20"/>
                <w:lang w:val="en-US" w:bidi="he-IL"/>
              </w:rPr>
              <w:t>6.3.27.4.2</w:t>
            </w:r>
          </w:p>
          <w:p w14:paraId="5AA7DFEC" w14:textId="77777777" w:rsidR="006454A3" w:rsidRPr="006454A3" w:rsidRDefault="006454A3" w:rsidP="006454A3">
            <w:pPr>
              <w:rPr>
                <w:sz w:val="20"/>
                <w:lang w:val="en-US" w:bidi="he-IL"/>
              </w:rPr>
            </w:pPr>
            <w:r w:rsidRPr="006454A3">
              <w:rPr>
                <w:sz w:val="20"/>
                <w:lang w:val="en-US" w:bidi="he-IL"/>
              </w:rPr>
              <w:t>247.58</w:t>
            </w:r>
          </w:p>
        </w:tc>
        <w:tc>
          <w:tcPr>
            <w:tcW w:w="0" w:type="auto"/>
            <w:vAlign w:val="center"/>
            <w:hideMark/>
          </w:tcPr>
          <w:p w14:paraId="75463DB8" w14:textId="77777777" w:rsidR="006454A3" w:rsidRPr="006454A3" w:rsidRDefault="006454A3" w:rsidP="006454A3">
            <w:pPr>
              <w:rPr>
                <w:sz w:val="24"/>
                <w:szCs w:val="24"/>
                <w:lang w:val="en-US" w:bidi="he-IL"/>
              </w:rPr>
            </w:pPr>
            <w:r w:rsidRPr="006454A3">
              <w:rPr>
                <w:sz w:val="20"/>
                <w:lang w:val="en-US" w:bidi="he-IL"/>
              </w:rPr>
              <w:t>126 and 127 are not valid "</w:t>
            </w:r>
            <w:proofErr w:type="spellStart"/>
            <w:r w:rsidRPr="006454A3">
              <w:rPr>
                <w:sz w:val="20"/>
                <w:lang w:val="en-US" w:bidi="he-IL"/>
              </w:rPr>
              <w:t>rate"s</w:t>
            </w:r>
            <w:proofErr w:type="spellEnd"/>
            <w:r w:rsidRPr="006454A3">
              <w:rPr>
                <w:sz w:val="20"/>
                <w:lang w:val="en-US" w:bidi="he-IL"/>
              </w:rPr>
              <w:t xml:space="preserve"> (they're BSS membership selectors)</w:t>
            </w:r>
          </w:p>
        </w:tc>
        <w:tc>
          <w:tcPr>
            <w:tcW w:w="0" w:type="auto"/>
            <w:vAlign w:val="center"/>
            <w:hideMark/>
          </w:tcPr>
          <w:p w14:paraId="22BAA5A5" w14:textId="77777777" w:rsidR="006454A3" w:rsidRPr="006454A3" w:rsidRDefault="006454A3" w:rsidP="006454A3">
            <w:pPr>
              <w:rPr>
                <w:sz w:val="24"/>
                <w:szCs w:val="24"/>
                <w:lang w:val="en-US" w:bidi="he-IL"/>
              </w:rPr>
            </w:pPr>
            <w:r w:rsidRPr="006454A3">
              <w:rPr>
                <w:sz w:val="20"/>
                <w:lang w:val="en-US" w:bidi="he-IL"/>
              </w:rPr>
              <w:t>Change "1-127" to "1-125"</w:t>
            </w:r>
          </w:p>
        </w:tc>
      </w:tr>
      <w:tr w:rsidR="006454A3" w:rsidRPr="006454A3" w14:paraId="33D0C26C" w14:textId="77777777" w:rsidTr="006454A3">
        <w:trPr>
          <w:tblCellSpacing w:w="15" w:type="dxa"/>
        </w:trPr>
        <w:tc>
          <w:tcPr>
            <w:tcW w:w="0" w:type="auto"/>
            <w:vAlign w:val="center"/>
            <w:hideMark/>
          </w:tcPr>
          <w:p w14:paraId="33FD60FD" w14:textId="77777777" w:rsidR="006454A3" w:rsidRPr="006454A3" w:rsidRDefault="006454A3" w:rsidP="006454A3">
            <w:pPr>
              <w:rPr>
                <w:sz w:val="20"/>
                <w:lang w:val="en-US" w:bidi="he-IL"/>
              </w:rPr>
            </w:pPr>
            <w:r w:rsidRPr="006454A3">
              <w:rPr>
                <w:sz w:val="20"/>
                <w:lang w:val="en-US" w:bidi="he-IL"/>
              </w:rPr>
              <w:lastRenderedPageBreak/>
              <w:t xml:space="preserve">CID 7290 </w:t>
            </w:r>
          </w:p>
          <w:p w14:paraId="1A7E9B36" w14:textId="77777777" w:rsidR="006454A3" w:rsidRPr="006454A3" w:rsidRDefault="006454A3" w:rsidP="006454A3">
            <w:pPr>
              <w:rPr>
                <w:sz w:val="20"/>
                <w:lang w:val="en-US" w:bidi="he-IL"/>
              </w:rPr>
            </w:pPr>
            <w:r w:rsidRPr="006454A3">
              <w:rPr>
                <w:sz w:val="20"/>
                <w:lang w:val="en-US" w:bidi="he-IL"/>
              </w:rPr>
              <w:t>Mark RISON</w:t>
            </w:r>
          </w:p>
          <w:p w14:paraId="06151D2B" w14:textId="77777777" w:rsidR="006454A3" w:rsidRPr="006454A3" w:rsidRDefault="006454A3" w:rsidP="006454A3">
            <w:pPr>
              <w:rPr>
                <w:sz w:val="20"/>
                <w:lang w:val="en-US" w:bidi="he-IL"/>
              </w:rPr>
            </w:pPr>
            <w:r w:rsidRPr="006454A3">
              <w:rPr>
                <w:sz w:val="20"/>
                <w:lang w:val="en-US" w:bidi="he-IL"/>
              </w:rPr>
              <w:t>6.3.27.5.2</w:t>
            </w:r>
          </w:p>
          <w:p w14:paraId="730CB716" w14:textId="77777777" w:rsidR="006454A3" w:rsidRPr="006454A3" w:rsidRDefault="006454A3" w:rsidP="006454A3">
            <w:pPr>
              <w:rPr>
                <w:sz w:val="20"/>
                <w:lang w:val="en-US" w:bidi="he-IL"/>
              </w:rPr>
            </w:pPr>
            <w:r w:rsidRPr="006454A3">
              <w:rPr>
                <w:sz w:val="20"/>
                <w:lang w:val="en-US" w:bidi="he-IL"/>
              </w:rPr>
              <w:t>249.03</w:t>
            </w:r>
          </w:p>
        </w:tc>
        <w:tc>
          <w:tcPr>
            <w:tcW w:w="0" w:type="auto"/>
            <w:vAlign w:val="center"/>
            <w:hideMark/>
          </w:tcPr>
          <w:p w14:paraId="49D8B73C" w14:textId="77777777" w:rsidR="006454A3" w:rsidRPr="006454A3" w:rsidRDefault="006454A3" w:rsidP="006454A3">
            <w:pPr>
              <w:rPr>
                <w:sz w:val="24"/>
                <w:szCs w:val="24"/>
                <w:lang w:val="en-US" w:bidi="he-IL"/>
              </w:rPr>
            </w:pPr>
            <w:r w:rsidRPr="006454A3">
              <w:rPr>
                <w:sz w:val="20"/>
                <w:lang w:val="en-US" w:bidi="he-IL"/>
              </w:rPr>
              <w:t>126 and 127 are not valid "</w:t>
            </w:r>
            <w:proofErr w:type="spellStart"/>
            <w:r w:rsidRPr="006454A3">
              <w:rPr>
                <w:sz w:val="20"/>
                <w:lang w:val="en-US" w:bidi="he-IL"/>
              </w:rPr>
              <w:t>rate"s</w:t>
            </w:r>
            <w:proofErr w:type="spellEnd"/>
            <w:r w:rsidRPr="006454A3">
              <w:rPr>
                <w:sz w:val="20"/>
                <w:lang w:val="en-US" w:bidi="he-IL"/>
              </w:rPr>
              <w:t xml:space="preserve"> (they're BSS membership selectors)</w:t>
            </w:r>
          </w:p>
        </w:tc>
        <w:tc>
          <w:tcPr>
            <w:tcW w:w="0" w:type="auto"/>
            <w:vAlign w:val="center"/>
            <w:hideMark/>
          </w:tcPr>
          <w:p w14:paraId="19FA5663" w14:textId="77777777" w:rsidR="006454A3" w:rsidRPr="006454A3" w:rsidRDefault="006454A3" w:rsidP="006454A3">
            <w:pPr>
              <w:rPr>
                <w:sz w:val="24"/>
                <w:szCs w:val="24"/>
                <w:lang w:val="en-US" w:bidi="he-IL"/>
              </w:rPr>
            </w:pPr>
            <w:r w:rsidRPr="006454A3">
              <w:rPr>
                <w:sz w:val="20"/>
                <w:lang w:val="en-US" w:bidi="he-IL"/>
              </w:rPr>
              <w:t>Change "1-127" to "1-125"</w:t>
            </w:r>
          </w:p>
        </w:tc>
      </w:tr>
      <w:tr w:rsidR="006454A3" w:rsidRPr="006454A3" w14:paraId="340506C6" w14:textId="77777777" w:rsidTr="006454A3">
        <w:trPr>
          <w:tblCellSpacing w:w="15" w:type="dxa"/>
        </w:trPr>
        <w:tc>
          <w:tcPr>
            <w:tcW w:w="0" w:type="auto"/>
            <w:vAlign w:val="center"/>
            <w:hideMark/>
          </w:tcPr>
          <w:p w14:paraId="6ABF7463" w14:textId="77777777" w:rsidR="006454A3" w:rsidRPr="006454A3" w:rsidRDefault="006454A3" w:rsidP="006454A3">
            <w:pPr>
              <w:rPr>
                <w:sz w:val="20"/>
                <w:lang w:val="en-US" w:bidi="he-IL"/>
              </w:rPr>
            </w:pPr>
            <w:r w:rsidRPr="006454A3">
              <w:rPr>
                <w:sz w:val="20"/>
                <w:lang w:val="en-US" w:bidi="he-IL"/>
              </w:rPr>
              <w:t xml:space="preserve">CID 7292 </w:t>
            </w:r>
          </w:p>
          <w:p w14:paraId="4DE0DAEC" w14:textId="77777777" w:rsidR="006454A3" w:rsidRPr="006454A3" w:rsidRDefault="006454A3" w:rsidP="006454A3">
            <w:pPr>
              <w:rPr>
                <w:sz w:val="20"/>
                <w:lang w:val="en-US" w:bidi="he-IL"/>
              </w:rPr>
            </w:pPr>
            <w:r w:rsidRPr="006454A3">
              <w:rPr>
                <w:sz w:val="20"/>
                <w:lang w:val="en-US" w:bidi="he-IL"/>
              </w:rPr>
              <w:t>Mark RISON</w:t>
            </w:r>
          </w:p>
          <w:p w14:paraId="463B6B39" w14:textId="77777777" w:rsidR="006454A3" w:rsidRPr="006454A3" w:rsidRDefault="006454A3" w:rsidP="006454A3">
            <w:pPr>
              <w:rPr>
                <w:sz w:val="20"/>
                <w:lang w:val="en-US" w:bidi="he-IL"/>
              </w:rPr>
            </w:pPr>
            <w:r w:rsidRPr="006454A3">
              <w:rPr>
                <w:sz w:val="20"/>
                <w:lang w:val="en-US" w:bidi="he-IL"/>
              </w:rPr>
              <w:t>6</w:t>
            </w:r>
          </w:p>
          <w:p w14:paraId="708D3B3A" w14:textId="77777777" w:rsidR="006454A3" w:rsidRPr="006454A3" w:rsidRDefault="006454A3" w:rsidP="006454A3">
            <w:pPr>
              <w:rPr>
                <w:sz w:val="20"/>
                <w:lang w:val="en-US" w:bidi="he-IL"/>
              </w:rPr>
            </w:pPr>
            <w:r w:rsidRPr="006454A3">
              <w:rPr>
                <w:sz w:val="20"/>
                <w:lang w:val="en-US" w:bidi="he-IL"/>
              </w:rPr>
              <w:t>144.01</w:t>
            </w:r>
          </w:p>
        </w:tc>
        <w:tc>
          <w:tcPr>
            <w:tcW w:w="0" w:type="auto"/>
            <w:vAlign w:val="center"/>
            <w:hideMark/>
          </w:tcPr>
          <w:p w14:paraId="752611E2" w14:textId="77777777" w:rsidR="006454A3" w:rsidRPr="006454A3" w:rsidRDefault="006454A3" w:rsidP="006454A3">
            <w:pPr>
              <w:rPr>
                <w:sz w:val="24"/>
                <w:szCs w:val="24"/>
                <w:lang w:val="en-US" w:bidi="he-IL"/>
              </w:rPr>
            </w:pPr>
            <w:r w:rsidRPr="006454A3">
              <w:rPr>
                <w:sz w:val="20"/>
                <w:lang w:val="en-US" w:bidi="he-IL"/>
              </w:rPr>
              <w:t>There are some parameters called "</w:t>
            </w:r>
            <w:proofErr w:type="spellStart"/>
            <w:r w:rsidRPr="006454A3">
              <w:rPr>
                <w:sz w:val="20"/>
                <w:lang w:val="en-US" w:bidi="he-IL"/>
              </w:rPr>
              <w:t>SupportedRate</w:t>
            </w:r>
            <w:proofErr w:type="spellEnd"/>
            <w:r w:rsidRPr="006454A3">
              <w:rPr>
                <w:sz w:val="20"/>
                <w:lang w:val="en-US" w:bidi="he-IL"/>
              </w:rPr>
              <w:t>", but this concept is not defined</w:t>
            </w:r>
          </w:p>
        </w:tc>
        <w:tc>
          <w:tcPr>
            <w:tcW w:w="0" w:type="auto"/>
            <w:vAlign w:val="center"/>
            <w:hideMark/>
          </w:tcPr>
          <w:p w14:paraId="50890802" w14:textId="77777777" w:rsidR="006454A3" w:rsidRPr="006454A3" w:rsidRDefault="006454A3" w:rsidP="006454A3">
            <w:pPr>
              <w:rPr>
                <w:sz w:val="24"/>
                <w:szCs w:val="24"/>
                <w:lang w:val="en-US" w:bidi="he-IL"/>
              </w:rPr>
            </w:pPr>
            <w:r w:rsidRPr="006454A3">
              <w:rPr>
                <w:sz w:val="20"/>
                <w:lang w:val="en-US" w:bidi="he-IL"/>
              </w:rPr>
              <w:t>Change to "</w:t>
            </w:r>
            <w:proofErr w:type="spellStart"/>
            <w:r w:rsidRPr="006454A3">
              <w:rPr>
                <w:sz w:val="20"/>
                <w:lang w:val="en-US" w:bidi="he-IL"/>
              </w:rPr>
              <w:t>OperationalRateSet</w:t>
            </w:r>
            <w:proofErr w:type="spellEnd"/>
            <w:r w:rsidRPr="006454A3">
              <w:rPr>
                <w:sz w:val="20"/>
                <w:lang w:val="en-US" w:bidi="he-IL"/>
              </w:rPr>
              <w:t>" for MLME-(RE</w:t>
            </w:r>
            <w:proofErr w:type="gramStart"/>
            <w:r w:rsidRPr="006454A3">
              <w:rPr>
                <w:sz w:val="20"/>
                <w:lang w:val="en-US" w:bidi="he-IL"/>
              </w:rPr>
              <w:t>)</w:t>
            </w:r>
            <w:proofErr w:type="spellStart"/>
            <w:r w:rsidRPr="006454A3">
              <w:rPr>
                <w:sz w:val="20"/>
                <w:lang w:val="en-US" w:bidi="he-IL"/>
              </w:rPr>
              <w:t>ASSOCIATE.indication</w:t>
            </w:r>
            <w:proofErr w:type="spellEnd"/>
            <w:proofErr w:type="gramEnd"/>
            <w:r w:rsidRPr="006454A3">
              <w:rPr>
                <w:sz w:val="20"/>
                <w:lang w:val="en-US" w:bidi="he-IL"/>
              </w:rPr>
              <w:t xml:space="preserve"> and MLME-DLS.*</w:t>
            </w:r>
          </w:p>
        </w:tc>
      </w:tr>
    </w:tbl>
    <w:p w14:paraId="3FE1AFCC"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p w14:paraId="50220518"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u w:val="single"/>
          <w:lang w:val="en-US" w:bidi="he-IL"/>
        </w:rPr>
        <w:t>Discussion:</w:t>
      </w:r>
    </w:p>
    <w:p w14:paraId="442A3758"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p w14:paraId="229A0BB4"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Whereas:</w:t>
      </w:r>
    </w:p>
    <w:p w14:paraId="0ABFBEFA"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790E3457" w14:textId="77777777" w:rsidR="006454A3" w:rsidRPr="006454A3" w:rsidRDefault="006454A3" w:rsidP="006454A3">
      <w:pPr>
        <w:numPr>
          <w:ilvl w:val="0"/>
          <w:numId w:val="7"/>
        </w:numPr>
        <w:spacing w:before="100" w:beforeAutospacing="1" w:after="100" w:afterAutospacing="1"/>
        <w:ind w:left="0"/>
        <w:rPr>
          <w:szCs w:val="22"/>
          <w:lang w:val="en-US" w:bidi="he-IL"/>
        </w:rPr>
      </w:pPr>
      <w:proofErr w:type="gramStart"/>
      <w:r w:rsidRPr="006454A3">
        <w:rPr>
          <w:szCs w:val="22"/>
          <w:lang w:val="en-US" w:bidi="he-IL"/>
        </w:rPr>
        <w:t>dot11SupportedDataRatesRxTable</w:t>
      </w:r>
      <w:proofErr w:type="gramEnd"/>
      <w:r w:rsidRPr="006454A3">
        <w:rPr>
          <w:szCs w:val="22"/>
          <w:lang w:val="en-US" w:bidi="he-IL"/>
        </w:rPr>
        <w:t xml:space="preserve"> and dot11SupportedDataRatesTxTable are the mechanism by which pre-HT rate capabilities are indicated by the device to the SME.  It makes no sense for pre-HT rates not indicated as supported by the device to be specified for MLME-JOIN/</w:t>
      </w:r>
      <w:proofErr w:type="spellStart"/>
      <w:r w:rsidRPr="006454A3">
        <w:rPr>
          <w:szCs w:val="22"/>
          <w:lang w:val="en-US" w:bidi="he-IL"/>
        </w:rPr>
        <w:t>START.request</w:t>
      </w:r>
      <w:proofErr w:type="spellEnd"/>
      <w:r w:rsidRPr="006454A3">
        <w:rPr>
          <w:szCs w:val="22"/>
          <w:lang w:val="en-US" w:bidi="he-IL"/>
        </w:rPr>
        <w:t xml:space="preserve"> etc. </w:t>
      </w:r>
    </w:p>
    <w:p w14:paraId="30FADE4D" w14:textId="77777777" w:rsidR="006454A3" w:rsidRPr="006454A3" w:rsidRDefault="006454A3" w:rsidP="006454A3">
      <w:pPr>
        <w:numPr>
          <w:ilvl w:val="0"/>
          <w:numId w:val="7"/>
        </w:numPr>
        <w:spacing w:before="100" w:beforeAutospacing="1" w:after="100" w:afterAutospacing="1"/>
        <w:ind w:left="0"/>
        <w:rPr>
          <w:szCs w:val="22"/>
          <w:lang w:val="en-US" w:bidi="he-IL"/>
        </w:rPr>
      </w:pPr>
      <w:r w:rsidRPr="006454A3">
        <w:rPr>
          <w:szCs w:val="22"/>
          <w:lang w:val="en-US" w:bidi="he-IL"/>
        </w:rPr>
        <w:t xml:space="preserve">There are similar tables for HT and VHT support </w:t>
      </w:r>
    </w:p>
    <w:p w14:paraId="232EEAA5" w14:textId="77777777" w:rsidR="006454A3" w:rsidRPr="006454A3" w:rsidRDefault="006454A3" w:rsidP="006454A3">
      <w:pPr>
        <w:numPr>
          <w:ilvl w:val="0"/>
          <w:numId w:val="7"/>
        </w:numPr>
        <w:spacing w:before="100" w:beforeAutospacing="1" w:after="100" w:afterAutospacing="1"/>
        <w:ind w:left="0"/>
        <w:rPr>
          <w:szCs w:val="22"/>
          <w:lang w:val="en-US" w:bidi="he-IL"/>
        </w:rPr>
      </w:pPr>
      <w:r w:rsidRPr="006454A3">
        <w:rPr>
          <w:szCs w:val="22"/>
          <w:lang w:val="en-US" w:bidi="he-IL"/>
        </w:rPr>
        <w:t xml:space="preserve">The over-the-air </w:t>
      </w:r>
      <w:proofErr w:type="spellStart"/>
      <w:r w:rsidRPr="006454A3">
        <w:rPr>
          <w:szCs w:val="22"/>
          <w:lang w:val="en-US" w:bidi="he-IL"/>
        </w:rPr>
        <w:t>signalling</w:t>
      </w:r>
      <w:proofErr w:type="spellEnd"/>
      <w:r w:rsidRPr="006454A3">
        <w:rPr>
          <w:szCs w:val="22"/>
          <w:lang w:val="en-US" w:bidi="he-IL"/>
        </w:rPr>
        <w:t xml:space="preserve"> of support for pre-HT rates is overloaded with </w:t>
      </w:r>
      <w:proofErr w:type="spellStart"/>
      <w:r w:rsidRPr="006454A3">
        <w:rPr>
          <w:szCs w:val="22"/>
          <w:lang w:val="en-US" w:bidi="he-IL"/>
        </w:rPr>
        <w:t>signalling</w:t>
      </w:r>
      <w:proofErr w:type="spellEnd"/>
      <w:r w:rsidRPr="006454A3">
        <w:rPr>
          <w:szCs w:val="22"/>
          <w:lang w:val="en-US" w:bidi="he-IL"/>
        </w:rPr>
        <w:t xml:space="preserve"> of “membership selectors”.  By definition these use values that do not correspond to possible pre-HT rates.  This is achieved because the highest possible pre-HT rate, which is now fixed for eternity, is 54 Mbps, which is </w:t>
      </w:r>
      <w:proofErr w:type="spellStart"/>
      <w:r w:rsidRPr="006454A3">
        <w:rPr>
          <w:szCs w:val="22"/>
          <w:lang w:val="en-US" w:bidi="he-IL"/>
        </w:rPr>
        <w:t>signalled</w:t>
      </w:r>
      <w:proofErr w:type="spellEnd"/>
      <w:r w:rsidRPr="006454A3">
        <w:rPr>
          <w:szCs w:val="22"/>
          <w:lang w:val="en-US" w:bidi="he-IL"/>
        </w:rPr>
        <w:t xml:space="preserve"> as 108, allowing values between 109 and 127 to be used as membership selectors </w:t>
      </w:r>
    </w:p>
    <w:p w14:paraId="59EC7808" w14:textId="77777777" w:rsidR="006454A3" w:rsidRPr="006454A3" w:rsidRDefault="006454A3" w:rsidP="006454A3">
      <w:pPr>
        <w:numPr>
          <w:ilvl w:val="0"/>
          <w:numId w:val="7"/>
        </w:numPr>
        <w:spacing w:before="100" w:beforeAutospacing="1" w:after="100" w:afterAutospacing="1"/>
        <w:ind w:left="0"/>
        <w:rPr>
          <w:szCs w:val="22"/>
          <w:lang w:val="en-US" w:bidi="he-IL"/>
        </w:rPr>
      </w:pPr>
      <w:r w:rsidRPr="006454A3">
        <w:rPr>
          <w:szCs w:val="22"/>
          <w:lang w:val="en-US" w:bidi="he-IL"/>
        </w:rPr>
        <w:t xml:space="preserve">There are two rate sets: the operational rate set, which indicates the rates a STA can receive, and the basic rate set, which indicates the rates all STAs in the BSS can transmit and receive </w:t>
      </w:r>
    </w:p>
    <w:p w14:paraId="5FC5BEAB" w14:textId="77777777" w:rsidR="006454A3" w:rsidRPr="006454A3" w:rsidRDefault="006454A3" w:rsidP="006454A3">
      <w:pPr>
        <w:numPr>
          <w:ilvl w:val="0"/>
          <w:numId w:val="7"/>
        </w:numPr>
        <w:spacing w:before="100" w:beforeAutospacing="1" w:after="100" w:afterAutospacing="1"/>
        <w:ind w:left="0"/>
        <w:rPr>
          <w:szCs w:val="22"/>
          <w:lang w:val="en-US" w:bidi="he-IL"/>
        </w:rPr>
      </w:pPr>
      <w:r w:rsidRPr="006454A3">
        <w:rPr>
          <w:szCs w:val="22"/>
          <w:lang w:val="en-US" w:bidi="he-IL"/>
        </w:rPr>
        <w:t xml:space="preserve">The membership selectors currently defined (note </w:t>
      </w:r>
      <w:proofErr w:type="spellStart"/>
      <w:r w:rsidRPr="006454A3">
        <w:rPr>
          <w:szCs w:val="22"/>
          <w:lang w:val="en-US" w:bidi="he-IL"/>
        </w:rPr>
        <w:t>TGak</w:t>
      </w:r>
      <w:proofErr w:type="spellEnd"/>
      <w:r w:rsidRPr="006454A3">
        <w:rPr>
          <w:szCs w:val="22"/>
          <w:lang w:val="en-US" w:bidi="he-IL"/>
        </w:rPr>
        <w:t xml:space="preserve"> is defining new ones), namely HT and VHT, only make sense as “basic”, i.e. all STAs in the BSS must support the feature (so any pre-HT STA cannot join the BSS), because “operational” support is indicated by other elements, namely HT and VHT Capability elements.  This pattern should probably be </w:t>
      </w:r>
      <w:proofErr w:type="spellStart"/>
      <w:r w:rsidRPr="006454A3">
        <w:rPr>
          <w:szCs w:val="22"/>
          <w:lang w:val="en-US" w:bidi="he-IL"/>
        </w:rPr>
        <w:t>formalised</w:t>
      </w:r>
      <w:proofErr w:type="spellEnd"/>
      <w:r w:rsidRPr="006454A3">
        <w:rPr>
          <w:szCs w:val="22"/>
          <w:lang w:val="en-US" w:bidi="he-IL"/>
        </w:rPr>
        <w:t xml:space="preserve">, since it makes little sense to hide an “operational” feature in the Supported Rates and Membership Selector element rather than having a dedicated element or capabilities bit for this </w:t>
      </w:r>
    </w:p>
    <w:p w14:paraId="40309850" w14:textId="77777777" w:rsidR="006454A3" w:rsidRPr="006454A3" w:rsidRDefault="006454A3" w:rsidP="006454A3">
      <w:pPr>
        <w:numPr>
          <w:ilvl w:val="0"/>
          <w:numId w:val="7"/>
        </w:numPr>
        <w:spacing w:before="100" w:beforeAutospacing="1" w:after="100" w:afterAutospacing="1"/>
        <w:ind w:left="0"/>
        <w:rPr>
          <w:szCs w:val="22"/>
          <w:lang w:val="en-US" w:bidi="he-IL"/>
        </w:rPr>
      </w:pPr>
      <w:r w:rsidRPr="006454A3">
        <w:rPr>
          <w:szCs w:val="22"/>
          <w:lang w:val="en-US" w:bidi="he-IL"/>
        </w:rPr>
        <w:t xml:space="preserve">DMG is weird so should be kept isolated behind a cordon sanitaire (it already is in some places) </w:t>
      </w:r>
    </w:p>
    <w:p w14:paraId="23500803" w14:textId="77777777" w:rsidR="006454A3" w:rsidRPr="006454A3" w:rsidRDefault="006454A3" w:rsidP="006454A3">
      <w:pPr>
        <w:numPr>
          <w:ilvl w:val="0"/>
          <w:numId w:val="7"/>
        </w:numPr>
        <w:spacing w:before="100" w:beforeAutospacing="1" w:after="100" w:afterAutospacing="1"/>
        <w:ind w:left="0"/>
        <w:rPr>
          <w:rFonts w:ascii="Courier New" w:hAnsi="Courier New" w:cs="Courier New"/>
          <w:szCs w:val="22"/>
          <w:lang w:val="en-US" w:bidi="he-IL"/>
        </w:rPr>
      </w:pPr>
      <w:r w:rsidRPr="006454A3">
        <w:rPr>
          <w:szCs w:val="22"/>
          <w:lang w:val="en-US" w:bidi="he-IL"/>
        </w:rPr>
        <w:t>At the SAP level we should not be confusing matters with the slightly obscure way in which the supported/operational rates/membership selectors are encoded over the air</w:t>
      </w:r>
      <w:r w:rsidRPr="006454A3">
        <w:rPr>
          <w:rFonts w:ascii="Courier New" w:hAnsi="Courier New" w:cs="Courier New"/>
          <w:szCs w:val="22"/>
          <w:lang w:val="en-US" w:bidi="he-IL"/>
        </w:rPr>
        <w:t xml:space="preserve"> </w:t>
      </w:r>
    </w:p>
    <w:p w14:paraId="5050117D"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p w14:paraId="2ABBBD4E"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u w:val="single"/>
          <w:lang w:val="en-US" w:bidi="he-IL"/>
        </w:rPr>
        <w:t>Proposed changes:</w:t>
      </w:r>
    </w:p>
    <w:p w14:paraId="7F5A2B74"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41420457"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Change the rows at 150.50, 151.3 and 153.23 (</w:t>
      </w:r>
      <w:proofErr w:type="spellStart"/>
      <w:r w:rsidRPr="006454A3">
        <w:rPr>
          <w:rFonts w:ascii="Calibri" w:hAnsi="Calibri" w:cs="Courier New"/>
          <w:szCs w:val="22"/>
          <w:lang w:val="en-US" w:bidi="he-IL"/>
        </w:rPr>
        <w:t>SCAN.cfm</w:t>
      </w:r>
      <w:proofErr w:type="spellEnd"/>
      <w:r w:rsidRPr="006454A3">
        <w:rPr>
          <w:rFonts w:ascii="Calibri" w:hAnsi="Calibri" w:cs="Courier New"/>
          <w:szCs w:val="22"/>
          <w:lang w:val="en-US" w:bidi="he-IL"/>
        </w:rPr>
        <w:t xml:space="preserve"> </w:t>
      </w:r>
      <w:proofErr w:type="spellStart"/>
      <w:r w:rsidRPr="006454A3">
        <w:rPr>
          <w:rFonts w:ascii="Calibri" w:hAnsi="Calibri" w:cs="Courier New"/>
          <w:szCs w:val="22"/>
          <w:lang w:val="en-US" w:bidi="he-IL"/>
        </w:rPr>
        <w:t>BSSDescription</w:t>
      </w:r>
      <w:proofErr w:type="spellEnd"/>
      <w:r w:rsidRPr="006454A3">
        <w:rPr>
          <w:rFonts w:ascii="Calibri" w:hAnsi="Calibri" w:cs="Courier New"/>
          <w:szCs w:val="22"/>
          <w:lang w:val="en-US" w:bidi="he-IL"/>
        </w:rPr>
        <w:t>) as follows, respectively:</w:t>
      </w:r>
    </w:p>
    <w:p w14:paraId="1CAD598C"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tbl>
      <w:tblPr>
        <w:tblW w:w="9691" w:type="dxa"/>
        <w:tblCellSpacing w:w="15" w:type="dxa"/>
        <w:tblCellMar>
          <w:top w:w="15" w:type="dxa"/>
          <w:left w:w="15" w:type="dxa"/>
          <w:bottom w:w="15" w:type="dxa"/>
          <w:right w:w="15" w:type="dxa"/>
        </w:tblCellMar>
        <w:tblLook w:val="04A0" w:firstRow="1" w:lastRow="0" w:firstColumn="1" w:lastColumn="0" w:noHBand="0" w:noVBand="1"/>
      </w:tblPr>
      <w:tblGrid>
        <w:gridCol w:w="2353"/>
        <w:gridCol w:w="755"/>
        <w:gridCol w:w="1839"/>
        <w:gridCol w:w="4105"/>
        <w:gridCol w:w="639"/>
      </w:tblGrid>
      <w:tr w:rsidR="006454A3" w:rsidRPr="006454A3" w14:paraId="439030F0" w14:textId="77777777" w:rsidTr="006454A3">
        <w:trPr>
          <w:tblCellSpacing w:w="15" w:type="dxa"/>
        </w:trPr>
        <w:tc>
          <w:tcPr>
            <w:tcW w:w="0" w:type="auto"/>
            <w:vAlign w:val="center"/>
            <w:hideMark/>
          </w:tcPr>
          <w:p w14:paraId="4150FE77" w14:textId="77777777" w:rsidR="006454A3" w:rsidRPr="006454A3" w:rsidRDefault="006454A3" w:rsidP="006454A3">
            <w:pPr>
              <w:rPr>
                <w:sz w:val="24"/>
                <w:szCs w:val="24"/>
                <w:lang w:val="en-US" w:bidi="he-IL"/>
              </w:rPr>
            </w:pPr>
            <w:proofErr w:type="spellStart"/>
            <w:r w:rsidRPr="006454A3">
              <w:rPr>
                <w:sz w:val="20"/>
                <w:lang w:val="en-US" w:bidi="he-IL"/>
              </w:rPr>
              <w:t>BSSBasicRateSet</w:t>
            </w:r>
            <w:proofErr w:type="spellEnd"/>
          </w:p>
        </w:tc>
        <w:tc>
          <w:tcPr>
            <w:tcW w:w="0" w:type="auto"/>
            <w:vAlign w:val="center"/>
            <w:hideMark/>
          </w:tcPr>
          <w:p w14:paraId="5B3EF452" w14:textId="77777777" w:rsidR="006454A3" w:rsidRPr="006454A3" w:rsidRDefault="006454A3" w:rsidP="006454A3">
            <w:pPr>
              <w:rPr>
                <w:sz w:val="24"/>
                <w:szCs w:val="24"/>
                <w:lang w:val="en-US" w:bidi="he-IL"/>
              </w:rPr>
            </w:pPr>
            <w:r w:rsidRPr="006454A3">
              <w:rPr>
                <w:sz w:val="20"/>
                <w:lang w:val="en-US" w:bidi="he-IL"/>
              </w:rPr>
              <w:t>Set of integers</w:t>
            </w:r>
          </w:p>
        </w:tc>
        <w:tc>
          <w:tcPr>
            <w:tcW w:w="0" w:type="auto"/>
            <w:vAlign w:val="center"/>
            <w:hideMark/>
          </w:tcPr>
          <w:p w14:paraId="192FC682" w14:textId="77777777" w:rsidR="006454A3" w:rsidRPr="006454A3" w:rsidRDefault="006454A3" w:rsidP="006454A3">
            <w:pPr>
              <w:rPr>
                <w:sz w:val="20"/>
                <w:lang w:val="en-US" w:bidi="he-IL"/>
              </w:rPr>
            </w:pPr>
            <w:r w:rsidRPr="006454A3">
              <w:rPr>
                <w:sz w:val="20"/>
                <w:u w:val="single"/>
                <w:lang w:val="en-US" w:bidi="he-IL"/>
              </w:rPr>
              <w:t xml:space="preserve">Non-DMG BSS: </w:t>
            </w:r>
            <w:r w:rsidRPr="006454A3">
              <w:rPr>
                <w:sz w:val="20"/>
                <w:lang w:val="en-US" w:bidi="he-IL"/>
              </w:rPr>
              <w:t>1–</w:t>
            </w:r>
            <w:r w:rsidRPr="006454A3">
              <w:rPr>
                <w:strike/>
                <w:sz w:val="20"/>
                <w:lang w:val="en-US" w:bidi="he-IL"/>
              </w:rPr>
              <w:t>127</w:t>
            </w:r>
            <w:r w:rsidRPr="006454A3">
              <w:rPr>
                <w:sz w:val="20"/>
                <w:u w:val="single"/>
                <w:lang w:val="en-US" w:bidi="he-IL"/>
              </w:rPr>
              <w:t>108</w:t>
            </w:r>
            <w:r w:rsidRPr="006454A3">
              <w:rPr>
                <w:sz w:val="20"/>
                <w:lang w:val="en-US" w:bidi="he-IL"/>
              </w:rPr>
              <w:t xml:space="preserve"> </w:t>
            </w:r>
            <w:r w:rsidRPr="006454A3">
              <w:rPr>
                <w:strike/>
                <w:sz w:val="20"/>
                <w:lang w:val="en-US" w:bidi="he-IL"/>
              </w:rPr>
              <w:t>inclusive (</w:t>
            </w:r>
            <w:r w:rsidRPr="006454A3">
              <w:rPr>
                <w:sz w:val="20"/>
                <w:u w:val="single"/>
                <w:lang w:val="en-US" w:bidi="he-IL"/>
              </w:rPr>
              <w:t xml:space="preserve">, </w:t>
            </w:r>
            <w:r w:rsidRPr="006454A3">
              <w:rPr>
                <w:sz w:val="20"/>
                <w:lang w:val="en-US" w:bidi="he-IL"/>
              </w:rPr>
              <w:t xml:space="preserve">for each </w:t>
            </w:r>
            <w:r w:rsidRPr="006454A3">
              <w:rPr>
                <w:strike/>
                <w:sz w:val="20"/>
                <w:lang w:val="en-US" w:bidi="he-IL"/>
              </w:rPr>
              <w:t xml:space="preserve">integer </w:t>
            </w:r>
            <w:proofErr w:type="spellStart"/>
            <w:r w:rsidRPr="006454A3">
              <w:rPr>
                <w:strike/>
                <w:sz w:val="20"/>
                <w:lang w:val="en-US" w:bidi="he-IL"/>
              </w:rPr>
              <w:t>in</w:t>
            </w:r>
            <w:r w:rsidRPr="006454A3">
              <w:rPr>
                <w:sz w:val="20"/>
                <w:u w:val="single"/>
                <w:lang w:val="en-US" w:bidi="he-IL"/>
              </w:rPr>
              <w:t>member</w:t>
            </w:r>
            <w:proofErr w:type="spellEnd"/>
            <w:r w:rsidRPr="006454A3">
              <w:rPr>
                <w:sz w:val="20"/>
                <w:u w:val="single"/>
                <w:lang w:val="en-US" w:bidi="he-IL"/>
              </w:rPr>
              <w:t xml:space="preserve"> of</w:t>
            </w:r>
            <w:r w:rsidRPr="006454A3">
              <w:rPr>
                <w:sz w:val="20"/>
                <w:lang w:val="en-US" w:bidi="he-IL"/>
              </w:rPr>
              <w:t xml:space="preserve"> the </w:t>
            </w:r>
          </w:p>
          <w:p w14:paraId="58DF1F19" w14:textId="77777777" w:rsidR="006454A3" w:rsidRPr="006454A3" w:rsidRDefault="006454A3" w:rsidP="006454A3">
            <w:pPr>
              <w:rPr>
                <w:sz w:val="20"/>
                <w:lang w:val="en-US" w:bidi="he-IL"/>
              </w:rPr>
            </w:pPr>
            <w:r w:rsidRPr="006454A3">
              <w:rPr>
                <w:sz w:val="20"/>
                <w:lang w:val="en-US" w:bidi="he-IL"/>
              </w:rPr>
              <w:t>set</w:t>
            </w:r>
            <w:r w:rsidRPr="006454A3">
              <w:rPr>
                <w:strike/>
                <w:sz w:val="20"/>
                <w:lang w:val="en-US" w:bidi="he-IL"/>
              </w:rPr>
              <w:t>)</w:t>
            </w:r>
          </w:p>
        </w:tc>
        <w:tc>
          <w:tcPr>
            <w:tcW w:w="0" w:type="auto"/>
            <w:vAlign w:val="center"/>
            <w:hideMark/>
          </w:tcPr>
          <w:p w14:paraId="02B8F2EE" w14:textId="77777777" w:rsidR="006454A3" w:rsidRPr="006454A3" w:rsidRDefault="006454A3" w:rsidP="006454A3">
            <w:pPr>
              <w:rPr>
                <w:sz w:val="20"/>
                <w:lang w:val="en-US" w:bidi="he-IL"/>
              </w:rPr>
            </w:pPr>
            <w:r w:rsidRPr="006454A3">
              <w:rPr>
                <w:sz w:val="20"/>
                <w:lang w:val="en-US" w:bidi="he-IL"/>
              </w:rPr>
              <w:t xml:space="preserve">Non-DMG BSS: The set of data rates </w:t>
            </w:r>
            <w:r w:rsidRPr="006454A3">
              <w:rPr>
                <w:sz w:val="20"/>
                <w:u w:val="single"/>
                <w:lang w:val="en-US" w:bidi="he-IL"/>
              </w:rPr>
              <w:t xml:space="preserve">(in units of 500 kb/s) </w:t>
            </w:r>
            <w:r w:rsidRPr="006454A3">
              <w:rPr>
                <w:sz w:val="20"/>
                <w:lang w:val="en-US" w:bidi="he-IL"/>
              </w:rPr>
              <w:t xml:space="preserve">that all STAs in the BSS are able to use for communication. All STAs in the BSS are able to receive and transmit at each of the data rates listed in the set. </w:t>
            </w:r>
          </w:p>
          <w:p w14:paraId="0C4C36B5" w14:textId="77777777" w:rsidR="006454A3" w:rsidRPr="006454A3" w:rsidRDefault="006454A3" w:rsidP="006454A3">
            <w:pPr>
              <w:rPr>
                <w:sz w:val="20"/>
                <w:lang w:val="en-US" w:bidi="he-IL"/>
              </w:rPr>
            </w:pPr>
            <w:r w:rsidRPr="006454A3">
              <w:rPr>
                <w:sz w:val="20"/>
                <w:lang w:val="en-US" w:bidi="he-IL"/>
              </w:rPr>
              <w:t> </w:t>
            </w:r>
          </w:p>
          <w:p w14:paraId="62DB719B" w14:textId="77777777" w:rsidR="006454A3" w:rsidRPr="006454A3" w:rsidRDefault="006454A3" w:rsidP="006454A3">
            <w:pPr>
              <w:rPr>
                <w:sz w:val="20"/>
                <w:lang w:val="en-US" w:bidi="he-IL"/>
              </w:rPr>
            </w:pPr>
            <w:r w:rsidRPr="006454A3">
              <w:rPr>
                <w:sz w:val="20"/>
                <w:lang w:val="en-US" w:bidi="he-IL"/>
              </w:rPr>
              <w:t>DMG BSS: Empty.</w:t>
            </w:r>
          </w:p>
        </w:tc>
        <w:tc>
          <w:tcPr>
            <w:tcW w:w="0" w:type="auto"/>
            <w:vAlign w:val="center"/>
            <w:hideMark/>
          </w:tcPr>
          <w:p w14:paraId="17A22C75" w14:textId="77777777" w:rsidR="006454A3" w:rsidRPr="006454A3" w:rsidRDefault="006454A3" w:rsidP="006454A3">
            <w:pPr>
              <w:rPr>
                <w:sz w:val="24"/>
                <w:szCs w:val="24"/>
                <w:lang w:val="en-US" w:bidi="he-IL"/>
              </w:rPr>
            </w:pPr>
            <w:r w:rsidRPr="006454A3">
              <w:rPr>
                <w:sz w:val="20"/>
                <w:lang w:val="en-US" w:bidi="he-IL"/>
              </w:rPr>
              <w:t>Adopt</w:t>
            </w:r>
          </w:p>
        </w:tc>
      </w:tr>
      <w:tr w:rsidR="006454A3" w:rsidRPr="006454A3" w14:paraId="3D1AD335" w14:textId="77777777" w:rsidTr="006454A3">
        <w:trPr>
          <w:tblCellSpacing w:w="15" w:type="dxa"/>
        </w:trPr>
        <w:tc>
          <w:tcPr>
            <w:tcW w:w="0" w:type="auto"/>
            <w:vAlign w:val="center"/>
            <w:hideMark/>
          </w:tcPr>
          <w:p w14:paraId="0DB23604" w14:textId="77777777" w:rsidR="006454A3" w:rsidRPr="006454A3" w:rsidRDefault="006454A3" w:rsidP="006454A3">
            <w:pPr>
              <w:rPr>
                <w:sz w:val="24"/>
                <w:szCs w:val="24"/>
                <w:lang w:val="en-US" w:bidi="he-IL"/>
              </w:rPr>
            </w:pPr>
            <w:proofErr w:type="spellStart"/>
            <w:r w:rsidRPr="006454A3">
              <w:rPr>
                <w:sz w:val="20"/>
                <w:lang w:val="en-US" w:bidi="he-IL"/>
              </w:rPr>
              <w:t>OperationalRateSet</w:t>
            </w:r>
            <w:proofErr w:type="spellEnd"/>
          </w:p>
        </w:tc>
        <w:tc>
          <w:tcPr>
            <w:tcW w:w="0" w:type="auto"/>
            <w:vAlign w:val="center"/>
            <w:hideMark/>
          </w:tcPr>
          <w:p w14:paraId="08CEEE3B" w14:textId="77777777" w:rsidR="006454A3" w:rsidRPr="006454A3" w:rsidRDefault="006454A3" w:rsidP="006454A3">
            <w:pPr>
              <w:rPr>
                <w:sz w:val="24"/>
                <w:szCs w:val="24"/>
                <w:lang w:val="en-US" w:bidi="he-IL"/>
              </w:rPr>
            </w:pPr>
            <w:r w:rsidRPr="006454A3">
              <w:rPr>
                <w:sz w:val="20"/>
                <w:lang w:val="en-US" w:bidi="he-IL"/>
              </w:rPr>
              <w:t>Set of integers</w:t>
            </w:r>
          </w:p>
        </w:tc>
        <w:tc>
          <w:tcPr>
            <w:tcW w:w="0" w:type="auto"/>
            <w:vAlign w:val="center"/>
            <w:hideMark/>
          </w:tcPr>
          <w:p w14:paraId="0595F872" w14:textId="77777777" w:rsidR="006454A3" w:rsidRPr="006454A3" w:rsidRDefault="006454A3" w:rsidP="006454A3">
            <w:pPr>
              <w:rPr>
                <w:sz w:val="20"/>
                <w:lang w:val="en-US" w:bidi="he-IL"/>
              </w:rPr>
            </w:pPr>
            <w:r w:rsidRPr="006454A3">
              <w:rPr>
                <w:sz w:val="20"/>
                <w:u w:val="single"/>
                <w:lang w:val="en-US" w:bidi="he-IL"/>
              </w:rPr>
              <w:t xml:space="preserve">Non-DMG BSS: </w:t>
            </w:r>
            <w:r w:rsidRPr="006454A3">
              <w:rPr>
                <w:sz w:val="20"/>
                <w:lang w:val="en-US" w:bidi="he-IL"/>
              </w:rPr>
              <w:t>1–</w:t>
            </w:r>
            <w:r w:rsidRPr="006454A3">
              <w:rPr>
                <w:strike/>
                <w:sz w:val="20"/>
                <w:lang w:val="en-US" w:bidi="he-IL"/>
              </w:rPr>
              <w:t>127</w:t>
            </w:r>
            <w:r w:rsidRPr="006454A3">
              <w:rPr>
                <w:sz w:val="20"/>
                <w:u w:val="single"/>
                <w:lang w:val="en-US" w:bidi="he-IL"/>
              </w:rPr>
              <w:t>108</w:t>
            </w:r>
            <w:r w:rsidRPr="006454A3">
              <w:rPr>
                <w:sz w:val="20"/>
                <w:lang w:val="en-US" w:bidi="he-IL"/>
              </w:rPr>
              <w:t xml:space="preserve"> </w:t>
            </w:r>
            <w:r w:rsidRPr="006454A3">
              <w:rPr>
                <w:strike/>
                <w:sz w:val="20"/>
                <w:lang w:val="en-US" w:bidi="he-IL"/>
              </w:rPr>
              <w:t>inclusive (</w:t>
            </w:r>
            <w:r w:rsidRPr="006454A3">
              <w:rPr>
                <w:sz w:val="20"/>
                <w:u w:val="single"/>
                <w:lang w:val="en-US" w:bidi="he-IL"/>
              </w:rPr>
              <w:t xml:space="preserve">, </w:t>
            </w:r>
            <w:r w:rsidRPr="006454A3">
              <w:rPr>
                <w:sz w:val="20"/>
                <w:lang w:val="en-US" w:bidi="he-IL"/>
              </w:rPr>
              <w:t xml:space="preserve">for each </w:t>
            </w:r>
            <w:r w:rsidRPr="006454A3">
              <w:rPr>
                <w:strike/>
                <w:sz w:val="20"/>
                <w:lang w:val="en-US" w:bidi="he-IL"/>
              </w:rPr>
              <w:t xml:space="preserve">integer </w:t>
            </w:r>
            <w:proofErr w:type="spellStart"/>
            <w:r w:rsidRPr="006454A3">
              <w:rPr>
                <w:strike/>
                <w:sz w:val="20"/>
                <w:lang w:val="en-US" w:bidi="he-IL"/>
              </w:rPr>
              <w:t>in</w:t>
            </w:r>
            <w:r w:rsidRPr="006454A3">
              <w:rPr>
                <w:sz w:val="20"/>
                <w:u w:val="single"/>
                <w:lang w:val="en-US" w:bidi="he-IL"/>
              </w:rPr>
              <w:t>member</w:t>
            </w:r>
            <w:proofErr w:type="spellEnd"/>
            <w:r w:rsidRPr="006454A3">
              <w:rPr>
                <w:sz w:val="20"/>
                <w:u w:val="single"/>
                <w:lang w:val="en-US" w:bidi="he-IL"/>
              </w:rPr>
              <w:t xml:space="preserve"> of</w:t>
            </w:r>
            <w:r w:rsidRPr="006454A3">
              <w:rPr>
                <w:sz w:val="20"/>
                <w:lang w:val="en-US" w:bidi="he-IL"/>
              </w:rPr>
              <w:t xml:space="preserve"> the set</w:t>
            </w:r>
            <w:r w:rsidRPr="006454A3">
              <w:rPr>
                <w:strike/>
                <w:sz w:val="20"/>
                <w:lang w:val="en-US" w:bidi="he-IL"/>
              </w:rPr>
              <w:t>)</w:t>
            </w:r>
            <w:r w:rsidRPr="006454A3">
              <w:rPr>
                <w:sz w:val="20"/>
                <w:lang w:val="en-US" w:bidi="he-IL"/>
              </w:rPr>
              <w:t xml:space="preserve"> </w:t>
            </w:r>
          </w:p>
          <w:p w14:paraId="6568EAEE" w14:textId="77777777" w:rsidR="006454A3" w:rsidRPr="006454A3" w:rsidRDefault="006454A3" w:rsidP="006454A3">
            <w:pPr>
              <w:rPr>
                <w:sz w:val="20"/>
                <w:lang w:val="en-US" w:bidi="he-IL"/>
              </w:rPr>
            </w:pPr>
            <w:r w:rsidRPr="006454A3">
              <w:rPr>
                <w:sz w:val="20"/>
                <w:lang w:val="en-US" w:bidi="he-IL"/>
              </w:rPr>
              <w:t> </w:t>
            </w:r>
          </w:p>
          <w:p w14:paraId="05098B2D" w14:textId="77777777" w:rsidR="006454A3" w:rsidRPr="006454A3" w:rsidRDefault="006454A3" w:rsidP="006454A3">
            <w:pPr>
              <w:rPr>
                <w:sz w:val="20"/>
                <w:lang w:val="en-US" w:bidi="he-IL"/>
              </w:rPr>
            </w:pPr>
            <w:r w:rsidRPr="006454A3">
              <w:rPr>
                <w:sz w:val="20"/>
                <w:u w:val="single"/>
                <w:lang w:val="en-US" w:bidi="he-IL"/>
              </w:rPr>
              <w:t xml:space="preserve">DMG BSS: 0–24, for each member of the </w:t>
            </w:r>
            <w:r w:rsidRPr="006454A3">
              <w:rPr>
                <w:sz w:val="20"/>
                <w:u w:val="single"/>
                <w:lang w:val="en-US" w:bidi="he-IL"/>
              </w:rPr>
              <w:lastRenderedPageBreak/>
              <w:t>set</w:t>
            </w:r>
          </w:p>
        </w:tc>
        <w:tc>
          <w:tcPr>
            <w:tcW w:w="0" w:type="auto"/>
            <w:vAlign w:val="center"/>
            <w:hideMark/>
          </w:tcPr>
          <w:p w14:paraId="5A2CE13D" w14:textId="77777777" w:rsidR="006454A3" w:rsidRPr="006454A3" w:rsidRDefault="006454A3" w:rsidP="006454A3">
            <w:pPr>
              <w:rPr>
                <w:sz w:val="20"/>
                <w:lang w:val="en-US" w:bidi="he-IL"/>
              </w:rPr>
            </w:pPr>
            <w:r w:rsidRPr="006454A3">
              <w:rPr>
                <w:sz w:val="20"/>
                <w:lang w:val="en-US" w:bidi="he-IL"/>
              </w:rPr>
              <w:lastRenderedPageBreak/>
              <w:t xml:space="preserve">Non-DMG BSS: The set of data rates </w:t>
            </w:r>
            <w:r w:rsidRPr="006454A3">
              <w:rPr>
                <w:sz w:val="20"/>
                <w:u w:val="single"/>
                <w:lang w:val="en-US" w:bidi="he-IL"/>
              </w:rPr>
              <w:t xml:space="preserve">(in units of 500 kb/s) </w:t>
            </w:r>
            <w:r w:rsidRPr="006454A3">
              <w:rPr>
                <w:sz w:val="20"/>
                <w:lang w:val="en-US" w:bidi="he-IL"/>
              </w:rPr>
              <w:t xml:space="preserve">that the peer STA is able to use for communication within the BSS. The peer STA is able to receive at each of the data rates listed in the set. This set is a superset of the rates contained in the </w:t>
            </w:r>
            <w:proofErr w:type="spellStart"/>
            <w:r w:rsidRPr="006454A3">
              <w:rPr>
                <w:sz w:val="20"/>
                <w:lang w:val="en-US" w:bidi="he-IL"/>
              </w:rPr>
              <w:t>BSSBasicRateSet</w:t>
            </w:r>
            <w:proofErr w:type="spellEnd"/>
            <w:r w:rsidRPr="006454A3">
              <w:rPr>
                <w:sz w:val="20"/>
                <w:lang w:val="en-US" w:bidi="he-IL"/>
              </w:rPr>
              <w:t xml:space="preserve"> parameter. </w:t>
            </w:r>
          </w:p>
          <w:p w14:paraId="06C9BB3A" w14:textId="77777777" w:rsidR="006454A3" w:rsidRPr="006454A3" w:rsidRDefault="006454A3" w:rsidP="006454A3">
            <w:pPr>
              <w:rPr>
                <w:sz w:val="20"/>
                <w:lang w:val="en-US" w:bidi="he-IL"/>
              </w:rPr>
            </w:pPr>
            <w:r w:rsidRPr="006454A3">
              <w:rPr>
                <w:sz w:val="20"/>
                <w:lang w:val="en-US" w:bidi="he-IL"/>
              </w:rPr>
              <w:t> </w:t>
            </w:r>
          </w:p>
          <w:p w14:paraId="0420604A" w14:textId="77777777" w:rsidR="006454A3" w:rsidRPr="006454A3" w:rsidRDefault="006454A3" w:rsidP="006454A3">
            <w:pPr>
              <w:rPr>
                <w:sz w:val="20"/>
                <w:lang w:val="en-US" w:bidi="he-IL"/>
              </w:rPr>
            </w:pPr>
            <w:r w:rsidRPr="006454A3">
              <w:rPr>
                <w:sz w:val="20"/>
                <w:lang w:val="en-US" w:bidi="he-IL"/>
              </w:rPr>
              <w:lastRenderedPageBreak/>
              <w:t>DMG BSS: The set of MCS indexes that the peer STA uses for communication within the BSS.</w:t>
            </w:r>
          </w:p>
        </w:tc>
        <w:tc>
          <w:tcPr>
            <w:tcW w:w="0" w:type="auto"/>
            <w:vAlign w:val="center"/>
            <w:hideMark/>
          </w:tcPr>
          <w:p w14:paraId="691A9D8B" w14:textId="77777777" w:rsidR="006454A3" w:rsidRPr="006454A3" w:rsidRDefault="006454A3" w:rsidP="006454A3">
            <w:pPr>
              <w:rPr>
                <w:sz w:val="24"/>
                <w:szCs w:val="24"/>
                <w:lang w:val="en-US" w:bidi="he-IL"/>
              </w:rPr>
            </w:pPr>
            <w:r w:rsidRPr="006454A3">
              <w:rPr>
                <w:sz w:val="20"/>
                <w:lang w:val="en-US" w:bidi="he-IL"/>
              </w:rPr>
              <w:lastRenderedPageBreak/>
              <w:t>Do not adopt</w:t>
            </w:r>
          </w:p>
        </w:tc>
      </w:tr>
      <w:tr w:rsidR="006454A3" w:rsidRPr="006454A3" w14:paraId="7A3A0919" w14:textId="77777777" w:rsidTr="006454A3">
        <w:trPr>
          <w:tblCellSpacing w:w="15" w:type="dxa"/>
        </w:trPr>
        <w:tc>
          <w:tcPr>
            <w:tcW w:w="0" w:type="auto"/>
            <w:vAlign w:val="center"/>
            <w:hideMark/>
          </w:tcPr>
          <w:p w14:paraId="49257FCE" w14:textId="77777777" w:rsidR="006454A3" w:rsidRPr="006454A3" w:rsidRDefault="006454A3" w:rsidP="006454A3">
            <w:pPr>
              <w:rPr>
                <w:sz w:val="24"/>
                <w:szCs w:val="24"/>
                <w:lang w:val="en-US" w:bidi="he-IL"/>
              </w:rPr>
            </w:pPr>
            <w:proofErr w:type="spellStart"/>
            <w:r w:rsidRPr="006454A3">
              <w:rPr>
                <w:sz w:val="20"/>
                <w:lang w:val="en-US" w:bidi="he-IL"/>
              </w:rPr>
              <w:lastRenderedPageBreak/>
              <w:t>BSSMembershipSelectorSet</w:t>
            </w:r>
            <w:proofErr w:type="spellEnd"/>
          </w:p>
        </w:tc>
        <w:tc>
          <w:tcPr>
            <w:tcW w:w="0" w:type="auto"/>
            <w:vAlign w:val="center"/>
            <w:hideMark/>
          </w:tcPr>
          <w:p w14:paraId="3EA4DCB9" w14:textId="77777777" w:rsidR="006454A3" w:rsidRPr="006454A3" w:rsidRDefault="006454A3" w:rsidP="006454A3">
            <w:pPr>
              <w:rPr>
                <w:sz w:val="24"/>
                <w:szCs w:val="24"/>
                <w:lang w:val="en-US" w:bidi="he-IL"/>
              </w:rPr>
            </w:pPr>
            <w:r w:rsidRPr="006454A3">
              <w:rPr>
                <w:sz w:val="20"/>
                <w:lang w:val="en-US" w:bidi="he-IL"/>
              </w:rPr>
              <w:t>Set of integers</w:t>
            </w:r>
          </w:p>
        </w:tc>
        <w:tc>
          <w:tcPr>
            <w:tcW w:w="0" w:type="auto"/>
            <w:vAlign w:val="center"/>
            <w:hideMark/>
          </w:tcPr>
          <w:p w14:paraId="55B48BB5" w14:textId="77777777" w:rsidR="006454A3" w:rsidRPr="006454A3" w:rsidRDefault="006454A3" w:rsidP="006454A3">
            <w:pPr>
              <w:rPr>
                <w:sz w:val="24"/>
                <w:szCs w:val="24"/>
                <w:lang w:val="en-US" w:bidi="he-IL"/>
              </w:rPr>
            </w:pPr>
            <w:r w:rsidRPr="006454A3">
              <w:rPr>
                <w:sz w:val="20"/>
                <w:lang w:val="en-US" w:bidi="he-IL"/>
              </w:rPr>
              <w:t>A value from Table 9-77 (BSS membership selector value encoding)</w:t>
            </w:r>
            <w:r w:rsidRPr="006454A3">
              <w:rPr>
                <w:sz w:val="20"/>
                <w:u w:val="single"/>
                <w:shd w:val="clear" w:color="auto" w:fill="00FFFF"/>
                <w:lang w:val="en-US" w:bidi="he-IL"/>
              </w:rPr>
              <w:t>,</w:t>
            </w:r>
            <w:r w:rsidRPr="006454A3">
              <w:rPr>
                <w:sz w:val="20"/>
                <w:lang w:val="en-US" w:bidi="he-IL"/>
              </w:rPr>
              <w:t xml:space="preserve"> for each member of the set</w:t>
            </w:r>
          </w:p>
        </w:tc>
        <w:tc>
          <w:tcPr>
            <w:tcW w:w="0" w:type="auto"/>
            <w:vAlign w:val="center"/>
            <w:hideMark/>
          </w:tcPr>
          <w:p w14:paraId="0A608B2E" w14:textId="77777777" w:rsidR="006454A3" w:rsidRPr="006454A3" w:rsidRDefault="006454A3" w:rsidP="006454A3">
            <w:pPr>
              <w:rPr>
                <w:sz w:val="24"/>
                <w:szCs w:val="24"/>
                <w:lang w:val="en-US" w:bidi="he-IL"/>
              </w:rPr>
            </w:pPr>
            <w:r w:rsidRPr="006454A3">
              <w:rPr>
                <w:strike/>
                <w:sz w:val="20"/>
                <w:lang w:val="en-US" w:bidi="he-IL"/>
              </w:rPr>
              <w:t xml:space="preserve">The BSS membership selectors that represent </w:t>
            </w:r>
            <w:proofErr w:type="spellStart"/>
            <w:r w:rsidRPr="006454A3">
              <w:rPr>
                <w:strike/>
                <w:sz w:val="20"/>
                <w:lang w:val="en-US" w:bidi="he-IL"/>
              </w:rPr>
              <w:t>t</w:t>
            </w:r>
            <w:r w:rsidRPr="006454A3">
              <w:rPr>
                <w:sz w:val="20"/>
                <w:u w:val="single"/>
                <w:lang w:val="en-US" w:bidi="he-IL"/>
              </w:rPr>
              <w:t>T</w:t>
            </w:r>
            <w:r w:rsidRPr="006454A3">
              <w:rPr>
                <w:sz w:val="20"/>
                <w:lang w:val="en-US" w:bidi="he-IL"/>
              </w:rPr>
              <w:t>he</w:t>
            </w:r>
            <w:proofErr w:type="spellEnd"/>
            <w:r w:rsidRPr="006454A3">
              <w:rPr>
                <w:sz w:val="20"/>
                <w:lang w:val="en-US" w:bidi="he-IL"/>
              </w:rPr>
              <w:t xml:space="preserve"> set of features that </w:t>
            </w:r>
            <w:r w:rsidRPr="006454A3">
              <w:rPr>
                <w:sz w:val="20"/>
                <w:u w:val="single"/>
                <w:lang w:val="en-US" w:bidi="he-IL"/>
              </w:rPr>
              <w:t xml:space="preserve">all STAs in the BSS are able to use for </w:t>
            </w:r>
            <w:proofErr w:type="spellStart"/>
            <w:r w:rsidRPr="006454A3">
              <w:rPr>
                <w:sz w:val="20"/>
                <w:u w:val="single"/>
                <w:lang w:val="en-US" w:bidi="he-IL"/>
              </w:rPr>
              <w:t>communication</w:t>
            </w:r>
            <w:r w:rsidRPr="006454A3">
              <w:rPr>
                <w:strike/>
                <w:sz w:val="20"/>
                <w:lang w:val="en-US" w:bidi="he-IL"/>
              </w:rPr>
              <w:t>shall</w:t>
            </w:r>
            <w:proofErr w:type="spellEnd"/>
            <w:r w:rsidRPr="006454A3">
              <w:rPr>
                <w:strike/>
                <w:sz w:val="20"/>
                <w:lang w:val="en-US" w:bidi="he-IL"/>
              </w:rPr>
              <w:t xml:space="preserve"> be supported by all STAs to join this BSS</w:t>
            </w:r>
            <w:r w:rsidRPr="006454A3">
              <w:rPr>
                <w:sz w:val="20"/>
                <w:lang w:val="en-US" w:bidi="he-IL"/>
              </w:rPr>
              <w:t>.</w:t>
            </w:r>
          </w:p>
        </w:tc>
        <w:tc>
          <w:tcPr>
            <w:tcW w:w="0" w:type="auto"/>
            <w:vAlign w:val="center"/>
            <w:hideMark/>
          </w:tcPr>
          <w:p w14:paraId="34C810D2" w14:textId="77777777" w:rsidR="006454A3" w:rsidRPr="006454A3" w:rsidRDefault="006454A3" w:rsidP="006454A3">
            <w:pPr>
              <w:rPr>
                <w:sz w:val="24"/>
                <w:szCs w:val="24"/>
                <w:lang w:val="en-US" w:bidi="he-IL"/>
              </w:rPr>
            </w:pPr>
            <w:r w:rsidRPr="006454A3">
              <w:rPr>
                <w:sz w:val="20"/>
                <w:lang w:val="en-US" w:bidi="he-IL"/>
              </w:rPr>
              <w:t>Adopt</w:t>
            </w:r>
          </w:p>
        </w:tc>
      </w:tr>
    </w:tbl>
    <w:p w14:paraId="1F7C08DB"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p w14:paraId="746C8E4D"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Change the row at 159.30 (</w:t>
      </w:r>
      <w:proofErr w:type="spellStart"/>
      <w:r w:rsidRPr="006454A3">
        <w:rPr>
          <w:rFonts w:ascii="Calibri" w:hAnsi="Calibri" w:cs="Courier New"/>
          <w:szCs w:val="22"/>
          <w:lang w:val="en-US" w:bidi="he-IL"/>
        </w:rPr>
        <w:t>JOIN.req</w:t>
      </w:r>
      <w:proofErr w:type="spellEnd"/>
      <w:r w:rsidRPr="006454A3">
        <w:rPr>
          <w:rFonts w:ascii="Calibri" w:hAnsi="Calibri" w:cs="Courier New"/>
          <w:szCs w:val="22"/>
          <w:lang w:val="en-US" w:bidi="he-IL"/>
        </w:rPr>
        <w:t>) as follows:</w:t>
      </w:r>
    </w:p>
    <w:p w14:paraId="039C0A86"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tbl>
      <w:tblPr>
        <w:tblW w:w="9747" w:type="dxa"/>
        <w:tblCellSpacing w:w="15" w:type="dxa"/>
        <w:tblCellMar>
          <w:top w:w="15" w:type="dxa"/>
          <w:left w:w="15" w:type="dxa"/>
          <w:bottom w:w="15" w:type="dxa"/>
          <w:right w:w="15" w:type="dxa"/>
        </w:tblCellMar>
        <w:tblLook w:val="04A0" w:firstRow="1" w:lastRow="0" w:firstColumn="1" w:lastColumn="0" w:noHBand="0" w:noVBand="1"/>
      </w:tblPr>
      <w:tblGrid>
        <w:gridCol w:w="1642"/>
        <w:gridCol w:w="745"/>
        <w:gridCol w:w="3679"/>
        <w:gridCol w:w="3681"/>
      </w:tblGrid>
      <w:tr w:rsidR="006454A3" w:rsidRPr="006454A3" w14:paraId="3201F8B8" w14:textId="77777777" w:rsidTr="006454A3">
        <w:trPr>
          <w:tblCellSpacing w:w="15" w:type="dxa"/>
        </w:trPr>
        <w:tc>
          <w:tcPr>
            <w:tcW w:w="0" w:type="auto"/>
            <w:vAlign w:val="center"/>
            <w:hideMark/>
          </w:tcPr>
          <w:p w14:paraId="144C7566" w14:textId="77777777" w:rsidR="006454A3" w:rsidRPr="006454A3" w:rsidRDefault="006454A3" w:rsidP="006454A3">
            <w:pPr>
              <w:rPr>
                <w:sz w:val="24"/>
                <w:szCs w:val="24"/>
                <w:lang w:val="en-US" w:bidi="he-IL"/>
              </w:rPr>
            </w:pPr>
            <w:proofErr w:type="spellStart"/>
            <w:r w:rsidRPr="006454A3">
              <w:rPr>
                <w:sz w:val="20"/>
                <w:lang w:val="en-US" w:bidi="he-IL"/>
              </w:rPr>
              <w:t>OperationalRateSet</w:t>
            </w:r>
            <w:proofErr w:type="spellEnd"/>
          </w:p>
        </w:tc>
        <w:tc>
          <w:tcPr>
            <w:tcW w:w="0" w:type="auto"/>
            <w:vAlign w:val="center"/>
            <w:hideMark/>
          </w:tcPr>
          <w:p w14:paraId="54407ECE" w14:textId="77777777" w:rsidR="006454A3" w:rsidRPr="006454A3" w:rsidRDefault="006454A3" w:rsidP="006454A3">
            <w:pPr>
              <w:rPr>
                <w:sz w:val="24"/>
                <w:szCs w:val="24"/>
                <w:lang w:val="en-US" w:bidi="he-IL"/>
              </w:rPr>
            </w:pPr>
            <w:r w:rsidRPr="006454A3">
              <w:rPr>
                <w:sz w:val="20"/>
                <w:lang w:val="en-US" w:bidi="he-IL"/>
              </w:rPr>
              <w:t>Set of integers</w:t>
            </w:r>
          </w:p>
        </w:tc>
        <w:tc>
          <w:tcPr>
            <w:tcW w:w="0" w:type="auto"/>
            <w:vAlign w:val="center"/>
            <w:hideMark/>
          </w:tcPr>
          <w:p w14:paraId="494D79E1" w14:textId="77777777" w:rsidR="006454A3" w:rsidRPr="006454A3" w:rsidRDefault="006454A3" w:rsidP="006454A3">
            <w:pPr>
              <w:rPr>
                <w:sz w:val="20"/>
                <w:lang w:val="en-US" w:bidi="he-IL"/>
              </w:rPr>
            </w:pPr>
            <w:r w:rsidRPr="006454A3">
              <w:rPr>
                <w:sz w:val="20"/>
                <w:u w:val="single"/>
                <w:lang w:val="en-US" w:bidi="he-IL"/>
              </w:rPr>
              <w:t>Non-DMG BSS: a value in dot11SupportedDataRatesRxTable</w:t>
            </w:r>
            <w:r w:rsidRPr="006454A3">
              <w:rPr>
                <w:strike/>
                <w:sz w:val="20"/>
                <w:lang w:val="en-US" w:bidi="he-IL"/>
              </w:rPr>
              <w:t>1–127 inclusive (</w:t>
            </w:r>
            <w:r w:rsidRPr="006454A3">
              <w:rPr>
                <w:sz w:val="20"/>
                <w:u w:val="single"/>
                <w:lang w:val="en-US" w:bidi="he-IL"/>
              </w:rPr>
              <w:t xml:space="preserve">, </w:t>
            </w:r>
            <w:r w:rsidRPr="006454A3">
              <w:rPr>
                <w:sz w:val="20"/>
                <w:lang w:val="en-US" w:bidi="he-IL"/>
              </w:rPr>
              <w:t xml:space="preserve">for each </w:t>
            </w:r>
            <w:r w:rsidRPr="006454A3">
              <w:rPr>
                <w:strike/>
                <w:sz w:val="20"/>
                <w:lang w:val="en-US" w:bidi="he-IL"/>
              </w:rPr>
              <w:t xml:space="preserve">integer </w:t>
            </w:r>
            <w:proofErr w:type="spellStart"/>
            <w:r w:rsidRPr="006454A3">
              <w:rPr>
                <w:strike/>
                <w:sz w:val="20"/>
                <w:lang w:val="en-US" w:bidi="he-IL"/>
              </w:rPr>
              <w:t>in</w:t>
            </w:r>
            <w:r w:rsidRPr="006454A3">
              <w:rPr>
                <w:sz w:val="20"/>
                <w:u w:val="single"/>
                <w:lang w:val="en-US" w:bidi="he-IL"/>
              </w:rPr>
              <w:t>member</w:t>
            </w:r>
            <w:proofErr w:type="spellEnd"/>
            <w:r w:rsidRPr="006454A3">
              <w:rPr>
                <w:sz w:val="20"/>
                <w:u w:val="single"/>
                <w:lang w:val="en-US" w:bidi="he-IL"/>
              </w:rPr>
              <w:t xml:space="preserve"> of</w:t>
            </w:r>
            <w:r w:rsidRPr="006454A3">
              <w:rPr>
                <w:sz w:val="20"/>
                <w:lang w:val="en-US" w:bidi="he-IL"/>
              </w:rPr>
              <w:t xml:space="preserve"> the set</w:t>
            </w:r>
            <w:r w:rsidRPr="006454A3">
              <w:rPr>
                <w:strike/>
                <w:sz w:val="20"/>
                <w:lang w:val="en-US" w:bidi="he-IL"/>
              </w:rPr>
              <w:t>)</w:t>
            </w:r>
            <w:r w:rsidRPr="006454A3">
              <w:rPr>
                <w:sz w:val="20"/>
                <w:lang w:val="en-US" w:bidi="he-IL"/>
              </w:rPr>
              <w:t xml:space="preserve"> </w:t>
            </w:r>
          </w:p>
          <w:p w14:paraId="3C498CCC" w14:textId="77777777" w:rsidR="006454A3" w:rsidRPr="006454A3" w:rsidRDefault="006454A3" w:rsidP="006454A3">
            <w:pPr>
              <w:rPr>
                <w:sz w:val="20"/>
                <w:lang w:val="en-US" w:bidi="he-IL"/>
              </w:rPr>
            </w:pPr>
            <w:r w:rsidRPr="006454A3">
              <w:rPr>
                <w:sz w:val="20"/>
                <w:lang w:val="en-US" w:bidi="he-IL"/>
              </w:rPr>
              <w:t> </w:t>
            </w:r>
          </w:p>
          <w:p w14:paraId="6CAB42B3" w14:textId="77777777" w:rsidR="006454A3" w:rsidRPr="006454A3" w:rsidRDefault="006454A3" w:rsidP="006454A3">
            <w:pPr>
              <w:rPr>
                <w:sz w:val="20"/>
                <w:lang w:val="en-US" w:bidi="he-IL"/>
              </w:rPr>
            </w:pPr>
            <w:r w:rsidRPr="006454A3">
              <w:rPr>
                <w:sz w:val="20"/>
                <w:u w:val="single"/>
                <w:lang w:val="en-US" w:bidi="he-IL"/>
              </w:rPr>
              <w:t>DMG BSS: 0–24, for each member of the set</w:t>
            </w:r>
          </w:p>
        </w:tc>
        <w:tc>
          <w:tcPr>
            <w:tcW w:w="0" w:type="auto"/>
            <w:vAlign w:val="center"/>
            <w:hideMark/>
          </w:tcPr>
          <w:p w14:paraId="012AD002" w14:textId="77777777" w:rsidR="006454A3" w:rsidRPr="006454A3" w:rsidRDefault="006454A3" w:rsidP="006454A3">
            <w:pPr>
              <w:rPr>
                <w:sz w:val="20"/>
                <w:lang w:val="en-US" w:bidi="he-IL"/>
              </w:rPr>
            </w:pPr>
            <w:r w:rsidRPr="006454A3">
              <w:rPr>
                <w:sz w:val="20"/>
                <w:lang w:val="en-US" w:bidi="he-IL"/>
              </w:rPr>
              <w:t xml:space="preserve">Non-DMG BSS: The set of data rates </w:t>
            </w:r>
            <w:r w:rsidRPr="006454A3">
              <w:rPr>
                <w:sz w:val="20"/>
                <w:u w:val="single"/>
                <w:lang w:val="en-US" w:bidi="he-IL"/>
              </w:rPr>
              <w:t xml:space="preserve">(in units of 500 kb/s) </w:t>
            </w:r>
            <w:r w:rsidRPr="006454A3">
              <w:rPr>
                <w:sz w:val="20"/>
                <w:lang w:val="en-US" w:bidi="he-IL"/>
              </w:rPr>
              <w:t xml:space="preserve">that the STA is able to use for communication within the BSS. The STA is able to receive at each of the data rates listed in the set. This set is a superset of the rates contained in the </w:t>
            </w:r>
            <w:proofErr w:type="spellStart"/>
            <w:r w:rsidRPr="006454A3">
              <w:rPr>
                <w:sz w:val="20"/>
                <w:lang w:val="en-US" w:bidi="he-IL"/>
              </w:rPr>
              <w:t>BSSBasicRateSet</w:t>
            </w:r>
            <w:proofErr w:type="spellEnd"/>
            <w:r w:rsidRPr="006454A3">
              <w:rPr>
                <w:sz w:val="20"/>
                <w:lang w:val="en-US" w:bidi="he-IL"/>
              </w:rPr>
              <w:t xml:space="preserve"> </w:t>
            </w:r>
            <w:r w:rsidRPr="006454A3">
              <w:rPr>
                <w:sz w:val="20"/>
                <w:u w:val="single"/>
                <w:lang w:val="en-US" w:bidi="he-IL"/>
              </w:rPr>
              <w:t xml:space="preserve">element of the </w:t>
            </w:r>
            <w:proofErr w:type="spellStart"/>
            <w:r w:rsidRPr="006454A3">
              <w:rPr>
                <w:sz w:val="20"/>
                <w:u w:val="single"/>
                <w:lang w:val="en-US" w:bidi="he-IL"/>
              </w:rPr>
              <w:t>SelectedBSS</w:t>
            </w:r>
            <w:proofErr w:type="spellEnd"/>
            <w:r w:rsidRPr="006454A3">
              <w:rPr>
                <w:sz w:val="20"/>
                <w:u w:val="single"/>
                <w:lang w:val="en-US" w:bidi="he-IL"/>
              </w:rPr>
              <w:t xml:space="preserve"> </w:t>
            </w:r>
            <w:r w:rsidRPr="006454A3">
              <w:rPr>
                <w:sz w:val="20"/>
                <w:lang w:val="en-US" w:bidi="he-IL"/>
              </w:rPr>
              <w:t xml:space="preserve">parameter. </w:t>
            </w:r>
          </w:p>
          <w:p w14:paraId="627A7D52" w14:textId="77777777" w:rsidR="006454A3" w:rsidRPr="006454A3" w:rsidRDefault="006454A3" w:rsidP="006454A3">
            <w:pPr>
              <w:rPr>
                <w:sz w:val="20"/>
                <w:lang w:val="en-US" w:bidi="he-IL"/>
              </w:rPr>
            </w:pPr>
            <w:r w:rsidRPr="006454A3">
              <w:rPr>
                <w:sz w:val="20"/>
                <w:lang w:val="en-US" w:bidi="he-IL"/>
              </w:rPr>
              <w:t> </w:t>
            </w:r>
          </w:p>
          <w:p w14:paraId="10268D28" w14:textId="77777777" w:rsidR="006454A3" w:rsidRPr="006454A3" w:rsidRDefault="006454A3" w:rsidP="006454A3">
            <w:pPr>
              <w:rPr>
                <w:sz w:val="20"/>
                <w:lang w:val="en-US" w:bidi="he-IL"/>
              </w:rPr>
            </w:pPr>
            <w:r w:rsidRPr="006454A3">
              <w:rPr>
                <w:sz w:val="20"/>
                <w:lang w:val="en-US" w:bidi="he-IL"/>
              </w:rPr>
              <w:t>DMG BSS: The set of MCS indexes that the peer STA uses for communication within the BSS.</w:t>
            </w:r>
          </w:p>
        </w:tc>
      </w:tr>
    </w:tbl>
    <w:p w14:paraId="10AF85BC"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p w14:paraId="38AA3D70"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At 159.44 after “As defined in 9.4.2.56 (HT Capabilities element)” add “; HT-</w:t>
      </w:r>
      <w:proofErr w:type="spellStart"/>
      <w:r w:rsidRPr="006454A3">
        <w:rPr>
          <w:rFonts w:ascii="Calibri" w:hAnsi="Calibri" w:cs="Courier New"/>
          <w:szCs w:val="22"/>
          <w:lang w:val="en-US" w:bidi="he-IL"/>
        </w:rPr>
        <w:t>MCSes</w:t>
      </w:r>
      <w:proofErr w:type="spellEnd"/>
      <w:r w:rsidRPr="006454A3">
        <w:rPr>
          <w:rFonts w:ascii="Calibri" w:hAnsi="Calibri" w:cs="Courier New"/>
          <w:szCs w:val="22"/>
          <w:lang w:val="en-US" w:bidi="he-IL"/>
        </w:rPr>
        <w:t xml:space="preserve"> in the element are present in dot11SupportedMCSRxTable and the highest supported data rate in the element does not exceed dot11HighestSupportedDataRate” in the same cell.</w:t>
      </w:r>
    </w:p>
    <w:p w14:paraId="7603B7BE"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07ACEDDC"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Change the row at 173.47 (</w:t>
      </w:r>
      <w:proofErr w:type="spellStart"/>
      <w:r w:rsidRPr="006454A3">
        <w:rPr>
          <w:rFonts w:ascii="Calibri" w:hAnsi="Calibri" w:cs="Courier New"/>
          <w:szCs w:val="22"/>
          <w:lang w:val="en-US" w:bidi="he-IL"/>
        </w:rPr>
        <w:t>ASSOC.cfm</w:t>
      </w:r>
      <w:proofErr w:type="spellEnd"/>
      <w:r w:rsidRPr="006454A3">
        <w:rPr>
          <w:rFonts w:ascii="Calibri" w:hAnsi="Calibri" w:cs="Courier New"/>
          <w:szCs w:val="22"/>
          <w:lang w:val="en-US" w:bidi="he-IL"/>
        </w:rPr>
        <w:t>) as follows (the first and last row are new):</w:t>
      </w:r>
    </w:p>
    <w:p w14:paraId="102DD1BD"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tbl>
      <w:tblPr>
        <w:tblW w:w="9747" w:type="dxa"/>
        <w:tblCellSpacing w:w="15" w:type="dxa"/>
        <w:tblCellMar>
          <w:top w:w="15" w:type="dxa"/>
          <w:left w:w="15" w:type="dxa"/>
          <w:bottom w:w="15" w:type="dxa"/>
          <w:right w:w="15" w:type="dxa"/>
        </w:tblCellMar>
        <w:tblLook w:val="04A0" w:firstRow="1" w:lastRow="0" w:firstColumn="1" w:lastColumn="0" w:noHBand="0" w:noVBand="1"/>
      </w:tblPr>
      <w:tblGrid>
        <w:gridCol w:w="2908"/>
        <w:gridCol w:w="733"/>
        <w:gridCol w:w="2358"/>
        <w:gridCol w:w="3748"/>
      </w:tblGrid>
      <w:tr w:rsidR="006454A3" w:rsidRPr="006454A3" w14:paraId="4A972096" w14:textId="77777777" w:rsidTr="006454A3">
        <w:trPr>
          <w:tblCellSpacing w:w="15" w:type="dxa"/>
        </w:trPr>
        <w:tc>
          <w:tcPr>
            <w:tcW w:w="0" w:type="auto"/>
            <w:vAlign w:val="center"/>
            <w:hideMark/>
          </w:tcPr>
          <w:p w14:paraId="48D3F7B5" w14:textId="77777777" w:rsidR="006454A3" w:rsidRPr="006454A3" w:rsidRDefault="006454A3" w:rsidP="006454A3">
            <w:pPr>
              <w:rPr>
                <w:sz w:val="24"/>
                <w:szCs w:val="24"/>
                <w:lang w:val="en-US" w:bidi="he-IL"/>
              </w:rPr>
            </w:pPr>
            <w:proofErr w:type="spellStart"/>
            <w:r w:rsidRPr="006454A3">
              <w:rPr>
                <w:sz w:val="20"/>
                <w:u w:val="single"/>
                <w:lang w:val="en-US" w:bidi="he-IL"/>
              </w:rPr>
              <w:t>BSSBasicRateSet</w:t>
            </w:r>
            <w:proofErr w:type="spellEnd"/>
          </w:p>
        </w:tc>
        <w:tc>
          <w:tcPr>
            <w:tcW w:w="0" w:type="auto"/>
            <w:vAlign w:val="center"/>
            <w:hideMark/>
          </w:tcPr>
          <w:p w14:paraId="06D2AF80" w14:textId="77777777" w:rsidR="006454A3" w:rsidRPr="006454A3" w:rsidRDefault="006454A3" w:rsidP="006454A3">
            <w:pPr>
              <w:rPr>
                <w:sz w:val="24"/>
                <w:szCs w:val="24"/>
                <w:lang w:val="en-US" w:bidi="he-IL"/>
              </w:rPr>
            </w:pPr>
            <w:r w:rsidRPr="006454A3">
              <w:rPr>
                <w:sz w:val="20"/>
                <w:u w:val="single"/>
                <w:lang w:val="en-US" w:bidi="he-IL"/>
              </w:rPr>
              <w:t>Set of integers</w:t>
            </w:r>
          </w:p>
        </w:tc>
        <w:tc>
          <w:tcPr>
            <w:tcW w:w="0" w:type="auto"/>
            <w:vAlign w:val="center"/>
            <w:hideMark/>
          </w:tcPr>
          <w:p w14:paraId="5BA385AF" w14:textId="77777777" w:rsidR="006454A3" w:rsidRPr="006454A3" w:rsidRDefault="006454A3" w:rsidP="006454A3">
            <w:pPr>
              <w:rPr>
                <w:sz w:val="20"/>
                <w:lang w:val="en-US" w:bidi="he-IL"/>
              </w:rPr>
            </w:pPr>
            <w:r w:rsidRPr="006454A3">
              <w:rPr>
                <w:sz w:val="20"/>
                <w:u w:val="single"/>
                <w:lang w:val="en-US" w:bidi="he-IL"/>
              </w:rPr>
              <w:t>Non-DMG BSS: 1–108, for each member of the</w:t>
            </w:r>
            <w:r w:rsidRPr="006454A3">
              <w:rPr>
                <w:sz w:val="20"/>
                <w:lang w:val="en-US" w:bidi="he-IL"/>
              </w:rPr>
              <w:t xml:space="preserve"> </w:t>
            </w:r>
          </w:p>
          <w:p w14:paraId="2B4C6FA7" w14:textId="77777777" w:rsidR="006454A3" w:rsidRPr="006454A3" w:rsidRDefault="006454A3" w:rsidP="006454A3">
            <w:pPr>
              <w:rPr>
                <w:sz w:val="20"/>
                <w:lang w:val="en-US" w:bidi="he-IL"/>
              </w:rPr>
            </w:pPr>
            <w:r w:rsidRPr="006454A3">
              <w:rPr>
                <w:sz w:val="20"/>
                <w:u w:val="single"/>
                <w:lang w:val="en-US" w:bidi="he-IL"/>
              </w:rPr>
              <w:t>Set</w:t>
            </w:r>
          </w:p>
        </w:tc>
        <w:tc>
          <w:tcPr>
            <w:tcW w:w="0" w:type="auto"/>
            <w:vAlign w:val="center"/>
            <w:hideMark/>
          </w:tcPr>
          <w:p w14:paraId="2E6434C8" w14:textId="77777777" w:rsidR="006454A3" w:rsidRPr="006454A3" w:rsidRDefault="006454A3" w:rsidP="006454A3">
            <w:pPr>
              <w:rPr>
                <w:sz w:val="20"/>
                <w:lang w:val="en-US" w:bidi="he-IL"/>
              </w:rPr>
            </w:pPr>
            <w:r w:rsidRPr="006454A3">
              <w:rPr>
                <w:sz w:val="20"/>
                <w:u w:val="single"/>
                <w:lang w:val="en-US" w:bidi="he-IL"/>
              </w:rPr>
              <w:t>Non-DMG BSS: The set of data rates (in units of 500 kb/s) that all STAs in the BSS are able to use for communication. All STAs in the BSS are able to receive and transmit at each of the data rates listed in the set.</w:t>
            </w:r>
            <w:r w:rsidRPr="006454A3">
              <w:rPr>
                <w:sz w:val="20"/>
                <w:lang w:val="en-US" w:bidi="he-IL"/>
              </w:rPr>
              <w:t xml:space="preserve"> </w:t>
            </w:r>
          </w:p>
          <w:p w14:paraId="5549B1B3" w14:textId="77777777" w:rsidR="006454A3" w:rsidRPr="006454A3" w:rsidRDefault="006454A3" w:rsidP="006454A3">
            <w:pPr>
              <w:rPr>
                <w:sz w:val="20"/>
                <w:lang w:val="en-US" w:bidi="he-IL"/>
              </w:rPr>
            </w:pPr>
            <w:r w:rsidRPr="006454A3">
              <w:rPr>
                <w:sz w:val="20"/>
                <w:lang w:val="en-US" w:bidi="he-IL"/>
              </w:rPr>
              <w:t> </w:t>
            </w:r>
          </w:p>
          <w:p w14:paraId="07330017" w14:textId="77777777" w:rsidR="006454A3" w:rsidRPr="006454A3" w:rsidRDefault="006454A3" w:rsidP="006454A3">
            <w:pPr>
              <w:rPr>
                <w:sz w:val="20"/>
                <w:lang w:val="en-US" w:bidi="he-IL"/>
              </w:rPr>
            </w:pPr>
            <w:r w:rsidRPr="006454A3">
              <w:rPr>
                <w:sz w:val="20"/>
                <w:u w:val="single"/>
                <w:lang w:val="en-US" w:bidi="he-IL"/>
              </w:rPr>
              <w:t>DMG BSS: Empty.</w:t>
            </w:r>
          </w:p>
        </w:tc>
      </w:tr>
      <w:tr w:rsidR="006454A3" w:rsidRPr="006454A3" w14:paraId="6578A629" w14:textId="77777777" w:rsidTr="006454A3">
        <w:trPr>
          <w:tblCellSpacing w:w="15" w:type="dxa"/>
        </w:trPr>
        <w:tc>
          <w:tcPr>
            <w:tcW w:w="0" w:type="auto"/>
            <w:vAlign w:val="center"/>
            <w:hideMark/>
          </w:tcPr>
          <w:p w14:paraId="22C9F71B" w14:textId="77777777" w:rsidR="006454A3" w:rsidRPr="006454A3" w:rsidRDefault="006454A3" w:rsidP="006454A3">
            <w:pPr>
              <w:rPr>
                <w:sz w:val="24"/>
                <w:szCs w:val="24"/>
                <w:lang w:val="en-US" w:bidi="he-IL"/>
              </w:rPr>
            </w:pPr>
            <w:proofErr w:type="spellStart"/>
            <w:r w:rsidRPr="006454A3">
              <w:rPr>
                <w:strike/>
                <w:sz w:val="20"/>
                <w:lang w:val="en-US" w:bidi="he-IL"/>
              </w:rPr>
              <w:t>SupportedRates</w:t>
            </w:r>
            <w:r w:rsidRPr="006454A3">
              <w:rPr>
                <w:sz w:val="20"/>
                <w:u w:val="single"/>
                <w:lang w:val="en-US" w:bidi="he-IL"/>
              </w:rPr>
              <w:t>OperationalRateSet</w:t>
            </w:r>
            <w:proofErr w:type="spellEnd"/>
          </w:p>
        </w:tc>
        <w:tc>
          <w:tcPr>
            <w:tcW w:w="0" w:type="auto"/>
            <w:vAlign w:val="center"/>
            <w:hideMark/>
          </w:tcPr>
          <w:p w14:paraId="39198DC4" w14:textId="77777777" w:rsidR="006454A3" w:rsidRPr="006454A3" w:rsidRDefault="006454A3" w:rsidP="006454A3">
            <w:pPr>
              <w:rPr>
                <w:sz w:val="24"/>
                <w:szCs w:val="24"/>
                <w:lang w:val="en-US" w:bidi="he-IL"/>
              </w:rPr>
            </w:pPr>
            <w:r w:rsidRPr="006454A3">
              <w:rPr>
                <w:sz w:val="20"/>
                <w:lang w:val="en-US" w:bidi="he-IL"/>
              </w:rPr>
              <w:t>Set of integers</w:t>
            </w:r>
          </w:p>
        </w:tc>
        <w:tc>
          <w:tcPr>
            <w:tcW w:w="0" w:type="auto"/>
            <w:vAlign w:val="center"/>
            <w:hideMark/>
          </w:tcPr>
          <w:p w14:paraId="24607292" w14:textId="77777777" w:rsidR="006454A3" w:rsidRPr="006454A3" w:rsidRDefault="006454A3" w:rsidP="006454A3">
            <w:pPr>
              <w:rPr>
                <w:sz w:val="20"/>
                <w:lang w:val="en-US" w:bidi="he-IL"/>
              </w:rPr>
            </w:pPr>
            <w:r w:rsidRPr="006454A3">
              <w:rPr>
                <w:sz w:val="20"/>
                <w:u w:val="single"/>
                <w:lang w:val="en-US" w:bidi="he-IL"/>
              </w:rPr>
              <w:t xml:space="preserve">Non-DMG BSS: </w:t>
            </w:r>
            <w:r w:rsidRPr="006454A3">
              <w:rPr>
                <w:sz w:val="20"/>
                <w:lang w:val="en-US" w:bidi="he-IL"/>
              </w:rPr>
              <w:t>1–</w:t>
            </w:r>
            <w:r w:rsidRPr="006454A3">
              <w:rPr>
                <w:strike/>
                <w:sz w:val="20"/>
                <w:lang w:val="en-US" w:bidi="he-IL"/>
              </w:rPr>
              <w:t>127</w:t>
            </w:r>
            <w:r w:rsidRPr="006454A3">
              <w:rPr>
                <w:sz w:val="20"/>
                <w:u w:val="single"/>
                <w:lang w:val="en-US" w:bidi="he-IL"/>
              </w:rPr>
              <w:t>108</w:t>
            </w:r>
            <w:r w:rsidRPr="006454A3">
              <w:rPr>
                <w:sz w:val="20"/>
                <w:lang w:val="en-US" w:bidi="he-IL"/>
              </w:rPr>
              <w:t xml:space="preserve"> </w:t>
            </w:r>
            <w:r w:rsidRPr="006454A3">
              <w:rPr>
                <w:strike/>
                <w:sz w:val="20"/>
                <w:lang w:val="en-US" w:bidi="he-IL"/>
              </w:rPr>
              <w:t>inclusive (</w:t>
            </w:r>
            <w:r w:rsidRPr="006454A3">
              <w:rPr>
                <w:sz w:val="20"/>
                <w:u w:val="single"/>
                <w:lang w:val="en-US" w:bidi="he-IL"/>
              </w:rPr>
              <w:t xml:space="preserve">, </w:t>
            </w:r>
            <w:r w:rsidRPr="006454A3">
              <w:rPr>
                <w:sz w:val="20"/>
                <w:lang w:val="en-US" w:bidi="he-IL"/>
              </w:rPr>
              <w:t xml:space="preserve">for each </w:t>
            </w:r>
            <w:r w:rsidRPr="006454A3">
              <w:rPr>
                <w:strike/>
                <w:sz w:val="20"/>
                <w:lang w:val="en-US" w:bidi="he-IL"/>
              </w:rPr>
              <w:t xml:space="preserve">integer </w:t>
            </w:r>
            <w:proofErr w:type="spellStart"/>
            <w:r w:rsidRPr="006454A3">
              <w:rPr>
                <w:strike/>
                <w:sz w:val="20"/>
                <w:lang w:val="en-US" w:bidi="he-IL"/>
              </w:rPr>
              <w:t>in</w:t>
            </w:r>
            <w:r w:rsidRPr="006454A3">
              <w:rPr>
                <w:sz w:val="20"/>
                <w:u w:val="single"/>
                <w:lang w:val="en-US" w:bidi="he-IL"/>
              </w:rPr>
              <w:t>member</w:t>
            </w:r>
            <w:proofErr w:type="spellEnd"/>
            <w:r w:rsidRPr="006454A3">
              <w:rPr>
                <w:sz w:val="20"/>
                <w:u w:val="single"/>
                <w:lang w:val="en-US" w:bidi="he-IL"/>
              </w:rPr>
              <w:t xml:space="preserve"> of</w:t>
            </w:r>
            <w:r w:rsidRPr="006454A3">
              <w:rPr>
                <w:sz w:val="20"/>
                <w:lang w:val="en-US" w:bidi="he-IL"/>
              </w:rPr>
              <w:t xml:space="preserve"> the set</w:t>
            </w:r>
            <w:proofErr w:type="gramStart"/>
            <w:r w:rsidRPr="006454A3">
              <w:rPr>
                <w:strike/>
                <w:sz w:val="20"/>
                <w:lang w:val="en-US" w:bidi="he-IL"/>
              </w:rPr>
              <w:t>)</w:t>
            </w:r>
            <w:r w:rsidRPr="006454A3">
              <w:rPr>
                <w:sz w:val="20"/>
                <w:lang w:val="en-US" w:bidi="he-IL"/>
              </w:rPr>
              <w:t xml:space="preserve"> </w:t>
            </w:r>
            <w:r w:rsidRPr="006454A3">
              <w:rPr>
                <w:strike/>
                <w:sz w:val="20"/>
                <w:lang w:val="en-US" w:bidi="he-IL"/>
              </w:rPr>
              <w:t>,</w:t>
            </w:r>
            <w:proofErr w:type="gramEnd"/>
            <w:r w:rsidRPr="006454A3">
              <w:rPr>
                <w:strike/>
                <w:sz w:val="20"/>
                <w:lang w:val="en-US" w:bidi="he-IL"/>
              </w:rPr>
              <w:t xml:space="preserve"> bit 7 is set to 1 to indicate that a rate is a member of the </w:t>
            </w:r>
            <w:proofErr w:type="spellStart"/>
            <w:r w:rsidRPr="006454A3">
              <w:rPr>
                <w:strike/>
                <w:sz w:val="20"/>
                <w:lang w:val="en-US" w:bidi="he-IL"/>
              </w:rPr>
              <w:t>BBSBasicRateSet</w:t>
            </w:r>
            <w:proofErr w:type="spellEnd"/>
            <w:r w:rsidRPr="006454A3">
              <w:rPr>
                <w:strike/>
                <w:sz w:val="20"/>
                <w:lang w:val="en-US" w:bidi="he-IL"/>
              </w:rPr>
              <w:t>.</w:t>
            </w:r>
            <w:r w:rsidRPr="006454A3">
              <w:rPr>
                <w:sz w:val="20"/>
                <w:lang w:val="en-US" w:bidi="he-IL"/>
              </w:rPr>
              <w:t xml:space="preserve"> </w:t>
            </w:r>
          </w:p>
          <w:p w14:paraId="231800C4" w14:textId="77777777" w:rsidR="006454A3" w:rsidRPr="006454A3" w:rsidRDefault="006454A3" w:rsidP="006454A3">
            <w:pPr>
              <w:rPr>
                <w:sz w:val="20"/>
                <w:lang w:val="en-US" w:bidi="he-IL"/>
              </w:rPr>
            </w:pPr>
            <w:r w:rsidRPr="006454A3">
              <w:rPr>
                <w:sz w:val="20"/>
                <w:lang w:val="en-US" w:bidi="he-IL"/>
              </w:rPr>
              <w:t> </w:t>
            </w:r>
          </w:p>
          <w:p w14:paraId="6AE21BBE" w14:textId="77777777" w:rsidR="006454A3" w:rsidRPr="006454A3" w:rsidRDefault="006454A3" w:rsidP="006454A3">
            <w:pPr>
              <w:rPr>
                <w:sz w:val="20"/>
                <w:lang w:val="en-US" w:bidi="he-IL"/>
              </w:rPr>
            </w:pPr>
            <w:r w:rsidRPr="006454A3">
              <w:rPr>
                <w:sz w:val="20"/>
                <w:u w:val="single"/>
                <w:lang w:val="en-US" w:bidi="he-IL"/>
              </w:rPr>
              <w:t>DMG BSS: 0–24, for each member of the set</w:t>
            </w:r>
          </w:p>
        </w:tc>
        <w:tc>
          <w:tcPr>
            <w:tcW w:w="0" w:type="auto"/>
            <w:vAlign w:val="center"/>
            <w:hideMark/>
          </w:tcPr>
          <w:p w14:paraId="7F4F3F3B" w14:textId="77777777" w:rsidR="006454A3" w:rsidRPr="006454A3" w:rsidRDefault="006454A3" w:rsidP="006454A3">
            <w:pPr>
              <w:rPr>
                <w:sz w:val="20"/>
                <w:lang w:val="en-US" w:bidi="he-IL"/>
              </w:rPr>
            </w:pPr>
            <w:r w:rsidRPr="006454A3">
              <w:rPr>
                <w:sz w:val="20"/>
                <w:u w:val="single"/>
                <w:lang w:val="en-US" w:bidi="he-IL"/>
              </w:rPr>
              <w:t xml:space="preserve">Non-DMG BSS: </w:t>
            </w:r>
            <w:r w:rsidRPr="006454A3">
              <w:rPr>
                <w:sz w:val="20"/>
                <w:lang w:val="en-US" w:bidi="he-IL"/>
              </w:rPr>
              <w:t>The set of data rates (in units of 500 kb/s) that</w:t>
            </w:r>
            <w:r w:rsidRPr="006454A3">
              <w:rPr>
                <w:strike/>
                <w:sz w:val="20"/>
                <w:lang w:val="en-US" w:bidi="he-IL"/>
              </w:rPr>
              <w:t xml:space="preserve"> are supported by the AP or PCP, including indication of which rates are part of the </w:t>
            </w:r>
            <w:proofErr w:type="spellStart"/>
            <w:r w:rsidRPr="006454A3">
              <w:rPr>
                <w:strike/>
                <w:sz w:val="20"/>
                <w:lang w:val="en-US" w:bidi="he-IL"/>
              </w:rPr>
              <w:t>BSSBasicRateSet</w:t>
            </w:r>
            <w:proofErr w:type="spellEnd"/>
            <w:r w:rsidRPr="006454A3">
              <w:rPr>
                <w:strike/>
                <w:sz w:val="20"/>
                <w:lang w:val="en-US" w:bidi="he-IL"/>
              </w:rPr>
              <w:t xml:space="preserve"> (according to 9.4.2.3 (Supported Rates and BSS Membership Selectors element))</w:t>
            </w:r>
            <w:r w:rsidRPr="006454A3">
              <w:rPr>
                <w:sz w:val="20"/>
                <w:u w:val="single"/>
                <w:lang w:val="en-US" w:bidi="he-IL"/>
              </w:rPr>
              <w:t xml:space="preserve"> the AP or PCP is able to use for communication within the BSS. The AP or PCP is able to receive at each of the data rates listed in the set. This set is a superset of the rates contained in the </w:t>
            </w:r>
            <w:proofErr w:type="spellStart"/>
            <w:r w:rsidRPr="006454A3">
              <w:rPr>
                <w:sz w:val="20"/>
                <w:u w:val="single"/>
                <w:lang w:val="en-US" w:bidi="he-IL"/>
              </w:rPr>
              <w:t>BSSBasicRateSet</w:t>
            </w:r>
            <w:proofErr w:type="spellEnd"/>
            <w:r w:rsidRPr="006454A3">
              <w:rPr>
                <w:sz w:val="20"/>
                <w:u w:val="single"/>
                <w:lang w:val="en-US" w:bidi="he-IL"/>
              </w:rPr>
              <w:t xml:space="preserve"> parameter.</w:t>
            </w:r>
            <w:r w:rsidRPr="006454A3">
              <w:rPr>
                <w:sz w:val="20"/>
                <w:lang w:val="en-US" w:bidi="he-IL"/>
              </w:rPr>
              <w:t xml:space="preserve"> </w:t>
            </w:r>
          </w:p>
          <w:p w14:paraId="1E39BA57" w14:textId="77777777" w:rsidR="006454A3" w:rsidRPr="006454A3" w:rsidRDefault="006454A3" w:rsidP="006454A3">
            <w:pPr>
              <w:rPr>
                <w:sz w:val="20"/>
                <w:lang w:val="en-US" w:bidi="he-IL"/>
              </w:rPr>
            </w:pPr>
            <w:r w:rsidRPr="006454A3">
              <w:rPr>
                <w:sz w:val="20"/>
                <w:lang w:val="en-US" w:bidi="he-IL"/>
              </w:rPr>
              <w:t> </w:t>
            </w:r>
          </w:p>
          <w:p w14:paraId="27AE517B" w14:textId="77777777" w:rsidR="006454A3" w:rsidRPr="006454A3" w:rsidRDefault="006454A3" w:rsidP="006454A3">
            <w:pPr>
              <w:rPr>
                <w:sz w:val="20"/>
                <w:lang w:val="en-US" w:bidi="he-IL"/>
              </w:rPr>
            </w:pPr>
            <w:r w:rsidRPr="006454A3">
              <w:rPr>
                <w:sz w:val="20"/>
                <w:u w:val="single"/>
                <w:lang w:val="en-US" w:bidi="he-IL"/>
              </w:rPr>
              <w:t>DMG BSS: The set of MCS indexes that the AP or PCP uses for communication within the BSS.</w:t>
            </w:r>
          </w:p>
        </w:tc>
      </w:tr>
      <w:tr w:rsidR="006454A3" w:rsidRPr="006454A3" w14:paraId="609AD63D" w14:textId="77777777" w:rsidTr="006454A3">
        <w:trPr>
          <w:tblCellSpacing w:w="15" w:type="dxa"/>
        </w:trPr>
        <w:tc>
          <w:tcPr>
            <w:tcW w:w="0" w:type="auto"/>
            <w:vAlign w:val="center"/>
            <w:hideMark/>
          </w:tcPr>
          <w:p w14:paraId="608B61DD" w14:textId="77777777" w:rsidR="006454A3" w:rsidRPr="006454A3" w:rsidRDefault="006454A3" w:rsidP="006454A3">
            <w:pPr>
              <w:rPr>
                <w:sz w:val="24"/>
                <w:szCs w:val="24"/>
                <w:lang w:val="en-US" w:bidi="he-IL"/>
              </w:rPr>
            </w:pPr>
            <w:proofErr w:type="spellStart"/>
            <w:r w:rsidRPr="006454A3">
              <w:rPr>
                <w:sz w:val="20"/>
                <w:u w:val="single"/>
                <w:lang w:val="en-US" w:bidi="he-IL"/>
              </w:rPr>
              <w:t>BSSMembershipSelectorSet</w:t>
            </w:r>
            <w:proofErr w:type="spellEnd"/>
          </w:p>
        </w:tc>
        <w:tc>
          <w:tcPr>
            <w:tcW w:w="0" w:type="auto"/>
            <w:vAlign w:val="center"/>
            <w:hideMark/>
          </w:tcPr>
          <w:p w14:paraId="5E36357F" w14:textId="77777777" w:rsidR="006454A3" w:rsidRPr="006454A3" w:rsidRDefault="006454A3" w:rsidP="006454A3">
            <w:pPr>
              <w:rPr>
                <w:sz w:val="24"/>
                <w:szCs w:val="24"/>
                <w:lang w:val="en-US" w:bidi="he-IL"/>
              </w:rPr>
            </w:pPr>
            <w:r w:rsidRPr="006454A3">
              <w:rPr>
                <w:sz w:val="20"/>
                <w:u w:val="single"/>
                <w:lang w:val="en-US" w:bidi="he-IL"/>
              </w:rPr>
              <w:t>Set of integers</w:t>
            </w:r>
          </w:p>
        </w:tc>
        <w:tc>
          <w:tcPr>
            <w:tcW w:w="0" w:type="auto"/>
            <w:vAlign w:val="center"/>
            <w:hideMark/>
          </w:tcPr>
          <w:p w14:paraId="60AF3DA6" w14:textId="77777777" w:rsidR="006454A3" w:rsidRPr="006454A3" w:rsidRDefault="006454A3" w:rsidP="006454A3">
            <w:pPr>
              <w:rPr>
                <w:sz w:val="24"/>
                <w:szCs w:val="24"/>
                <w:lang w:val="en-US" w:bidi="he-IL"/>
              </w:rPr>
            </w:pPr>
            <w:r w:rsidRPr="006454A3">
              <w:rPr>
                <w:sz w:val="20"/>
                <w:u w:val="single"/>
                <w:lang w:val="en-US" w:bidi="he-IL"/>
              </w:rPr>
              <w:t>A value from Table 9-77 (BSS membership selector value encoding), for each member of the set</w:t>
            </w:r>
          </w:p>
        </w:tc>
        <w:tc>
          <w:tcPr>
            <w:tcW w:w="0" w:type="auto"/>
            <w:vAlign w:val="center"/>
            <w:hideMark/>
          </w:tcPr>
          <w:p w14:paraId="3DDCF474" w14:textId="77777777" w:rsidR="006454A3" w:rsidRPr="006454A3" w:rsidRDefault="006454A3" w:rsidP="006454A3">
            <w:pPr>
              <w:rPr>
                <w:sz w:val="24"/>
                <w:szCs w:val="24"/>
                <w:lang w:val="en-US" w:bidi="he-IL"/>
              </w:rPr>
            </w:pPr>
            <w:r w:rsidRPr="006454A3">
              <w:rPr>
                <w:sz w:val="20"/>
                <w:u w:val="single"/>
                <w:lang w:val="en-US" w:bidi="he-IL"/>
              </w:rPr>
              <w:t>The set of features that all STAs in the BSS are able to use for communication.</w:t>
            </w:r>
          </w:p>
        </w:tc>
      </w:tr>
    </w:tbl>
    <w:p w14:paraId="2F19C2AB"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p w14:paraId="0A4DF22A"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lastRenderedPageBreak/>
        <w:t>Change “</w:t>
      </w:r>
      <w:proofErr w:type="spellStart"/>
      <w:r w:rsidRPr="006454A3">
        <w:rPr>
          <w:rFonts w:ascii="Calibri" w:hAnsi="Calibri" w:cs="Courier New"/>
          <w:szCs w:val="22"/>
          <w:lang w:val="en-US" w:bidi="he-IL"/>
        </w:rPr>
        <w:t>SupportedRates</w:t>
      </w:r>
      <w:proofErr w:type="spellEnd"/>
      <w:r w:rsidRPr="006454A3">
        <w:rPr>
          <w:rFonts w:ascii="Calibri" w:hAnsi="Calibri" w:cs="Courier New"/>
          <w:szCs w:val="22"/>
          <w:lang w:val="en-US" w:bidi="he-IL"/>
        </w:rPr>
        <w:t>,” at 172.61 to “</w:t>
      </w:r>
      <w:proofErr w:type="spellStart"/>
      <w:r w:rsidRPr="006454A3">
        <w:rPr>
          <w:rFonts w:ascii="Calibri" w:hAnsi="Calibri" w:cs="Courier New"/>
          <w:szCs w:val="22"/>
          <w:lang w:val="en-US" w:bidi="he-IL"/>
        </w:rPr>
        <w:t>BSSBasicRateSet</w:t>
      </w:r>
      <w:proofErr w:type="spellEnd"/>
      <w:r w:rsidRPr="006454A3">
        <w:rPr>
          <w:rFonts w:ascii="Calibri" w:hAnsi="Calibri" w:cs="Courier New"/>
          <w:szCs w:val="22"/>
          <w:lang w:val="en-US" w:bidi="he-IL"/>
        </w:rPr>
        <w:t xml:space="preserve">, </w:t>
      </w:r>
      <w:proofErr w:type="spellStart"/>
      <w:r w:rsidRPr="006454A3">
        <w:rPr>
          <w:rFonts w:ascii="Calibri" w:hAnsi="Calibri" w:cs="Courier New"/>
          <w:szCs w:val="22"/>
          <w:lang w:val="en-US" w:bidi="he-IL"/>
        </w:rPr>
        <w:t>OperationalRateSet</w:t>
      </w:r>
      <w:proofErr w:type="spellEnd"/>
      <w:r w:rsidRPr="006454A3">
        <w:rPr>
          <w:rFonts w:ascii="Calibri" w:hAnsi="Calibri" w:cs="Courier New"/>
          <w:szCs w:val="22"/>
          <w:lang w:val="en-US" w:bidi="he-IL"/>
        </w:rPr>
        <w:t xml:space="preserve">, </w:t>
      </w:r>
      <w:proofErr w:type="spellStart"/>
      <w:r w:rsidRPr="006454A3">
        <w:rPr>
          <w:rFonts w:ascii="Calibri" w:hAnsi="Calibri" w:cs="Courier New"/>
          <w:szCs w:val="22"/>
          <w:lang w:val="en-US" w:bidi="he-IL"/>
        </w:rPr>
        <w:t>BSSMembershipSelectorSet</w:t>
      </w:r>
      <w:proofErr w:type="spellEnd"/>
      <w:r w:rsidRPr="006454A3">
        <w:rPr>
          <w:rFonts w:ascii="Calibri" w:hAnsi="Calibri" w:cs="Courier New"/>
          <w:szCs w:val="22"/>
          <w:lang w:val="en-US" w:bidi="he-IL"/>
        </w:rPr>
        <w:t>,” over three lines).</w:t>
      </w:r>
    </w:p>
    <w:p w14:paraId="6B4FF924"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7615C9A5"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Change the row at 177.46 (</w:t>
      </w:r>
      <w:proofErr w:type="spellStart"/>
      <w:r w:rsidRPr="006454A3">
        <w:rPr>
          <w:rFonts w:ascii="Calibri" w:hAnsi="Calibri" w:cs="Courier New"/>
          <w:szCs w:val="22"/>
          <w:lang w:val="en-US" w:bidi="he-IL"/>
        </w:rPr>
        <w:t>ASSOC.ind</w:t>
      </w:r>
      <w:proofErr w:type="spellEnd"/>
      <w:r w:rsidRPr="006454A3">
        <w:rPr>
          <w:rFonts w:ascii="Calibri" w:hAnsi="Calibri" w:cs="Courier New"/>
          <w:szCs w:val="22"/>
          <w:lang w:val="en-US" w:bidi="he-IL"/>
        </w:rPr>
        <w:t>) as follows (the first and last row are new):</w:t>
      </w:r>
    </w:p>
    <w:p w14:paraId="3CE5AA9D"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tbl>
      <w:tblPr>
        <w:tblW w:w="9747" w:type="dxa"/>
        <w:tblCellSpacing w:w="15" w:type="dxa"/>
        <w:tblCellMar>
          <w:top w:w="15" w:type="dxa"/>
          <w:left w:w="15" w:type="dxa"/>
          <w:bottom w:w="15" w:type="dxa"/>
          <w:right w:w="15" w:type="dxa"/>
        </w:tblCellMar>
        <w:tblLook w:val="04A0" w:firstRow="1" w:lastRow="0" w:firstColumn="1" w:lastColumn="0" w:noHBand="0" w:noVBand="1"/>
      </w:tblPr>
      <w:tblGrid>
        <w:gridCol w:w="2908"/>
        <w:gridCol w:w="749"/>
        <w:gridCol w:w="1759"/>
        <w:gridCol w:w="4331"/>
      </w:tblGrid>
      <w:tr w:rsidR="006454A3" w:rsidRPr="006454A3" w14:paraId="3A4DEB03" w14:textId="77777777" w:rsidTr="006454A3">
        <w:trPr>
          <w:tblCellSpacing w:w="15" w:type="dxa"/>
        </w:trPr>
        <w:tc>
          <w:tcPr>
            <w:tcW w:w="0" w:type="auto"/>
            <w:vAlign w:val="center"/>
            <w:hideMark/>
          </w:tcPr>
          <w:p w14:paraId="51CF239F" w14:textId="77777777" w:rsidR="006454A3" w:rsidRPr="006454A3" w:rsidRDefault="006454A3" w:rsidP="006454A3">
            <w:pPr>
              <w:rPr>
                <w:sz w:val="24"/>
                <w:szCs w:val="24"/>
                <w:lang w:val="en-US" w:bidi="he-IL"/>
              </w:rPr>
            </w:pPr>
            <w:proofErr w:type="spellStart"/>
            <w:r w:rsidRPr="006454A3">
              <w:rPr>
                <w:sz w:val="20"/>
                <w:u w:val="single"/>
                <w:lang w:val="en-US" w:bidi="he-IL"/>
              </w:rPr>
              <w:t>BSSBasicRateSet</w:t>
            </w:r>
            <w:proofErr w:type="spellEnd"/>
          </w:p>
        </w:tc>
        <w:tc>
          <w:tcPr>
            <w:tcW w:w="0" w:type="auto"/>
            <w:vAlign w:val="center"/>
            <w:hideMark/>
          </w:tcPr>
          <w:p w14:paraId="12967BC2" w14:textId="77777777" w:rsidR="006454A3" w:rsidRPr="006454A3" w:rsidRDefault="006454A3" w:rsidP="006454A3">
            <w:pPr>
              <w:rPr>
                <w:sz w:val="24"/>
                <w:szCs w:val="24"/>
                <w:lang w:val="en-US" w:bidi="he-IL"/>
              </w:rPr>
            </w:pPr>
            <w:r w:rsidRPr="006454A3">
              <w:rPr>
                <w:sz w:val="20"/>
                <w:u w:val="single"/>
                <w:lang w:val="en-US" w:bidi="he-IL"/>
              </w:rPr>
              <w:t>Set of integers</w:t>
            </w:r>
          </w:p>
        </w:tc>
        <w:tc>
          <w:tcPr>
            <w:tcW w:w="0" w:type="auto"/>
            <w:vAlign w:val="center"/>
            <w:hideMark/>
          </w:tcPr>
          <w:p w14:paraId="321671A8" w14:textId="77777777" w:rsidR="006454A3" w:rsidRPr="006454A3" w:rsidRDefault="006454A3" w:rsidP="006454A3">
            <w:pPr>
              <w:rPr>
                <w:sz w:val="20"/>
                <w:lang w:val="en-US" w:bidi="he-IL"/>
              </w:rPr>
            </w:pPr>
            <w:r w:rsidRPr="006454A3">
              <w:rPr>
                <w:sz w:val="20"/>
                <w:u w:val="single"/>
                <w:lang w:val="en-US" w:bidi="he-IL"/>
              </w:rPr>
              <w:t>Non-DMG BSS: 1–108, for each member of the</w:t>
            </w:r>
            <w:r w:rsidRPr="006454A3">
              <w:rPr>
                <w:sz w:val="20"/>
                <w:lang w:val="en-US" w:bidi="he-IL"/>
              </w:rPr>
              <w:t xml:space="preserve"> </w:t>
            </w:r>
          </w:p>
          <w:p w14:paraId="22130C01" w14:textId="77777777" w:rsidR="006454A3" w:rsidRPr="006454A3" w:rsidRDefault="006454A3" w:rsidP="006454A3">
            <w:pPr>
              <w:rPr>
                <w:sz w:val="20"/>
                <w:lang w:val="en-US" w:bidi="he-IL"/>
              </w:rPr>
            </w:pPr>
            <w:r w:rsidRPr="006454A3">
              <w:rPr>
                <w:sz w:val="20"/>
                <w:u w:val="single"/>
                <w:lang w:val="en-US" w:bidi="he-IL"/>
              </w:rPr>
              <w:t>Set</w:t>
            </w:r>
          </w:p>
        </w:tc>
        <w:tc>
          <w:tcPr>
            <w:tcW w:w="0" w:type="auto"/>
            <w:vAlign w:val="center"/>
            <w:hideMark/>
          </w:tcPr>
          <w:p w14:paraId="4FC05143" w14:textId="77777777" w:rsidR="006454A3" w:rsidRPr="006454A3" w:rsidRDefault="006454A3" w:rsidP="006454A3">
            <w:pPr>
              <w:rPr>
                <w:sz w:val="20"/>
                <w:lang w:val="en-US" w:bidi="he-IL"/>
              </w:rPr>
            </w:pPr>
            <w:r w:rsidRPr="006454A3">
              <w:rPr>
                <w:sz w:val="20"/>
                <w:u w:val="single"/>
                <w:lang w:val="en-US" w:bidi="he-IL"/>
              </w:rPr>
              <w:t>Non-DMG BSS: The set of data rates (in units of 500 kb/s) that the STA that is requesting association is able to use for communication within the BSS. The STA is able to receive and transmit at each of the data rates listed in the set.</w:t>
            </w:r>
            <w:r w:rsidRPr="006454A3">
              <w:rPr>
                <w:sz w:val="20"/>
                <w:lang w:val="en-US" w:bidi="he-IL"/>
              </w:rPr>
              <w:t xml:space="preserve"> </w:t>
            </w:r>
          </w:p>
          <w:p w14:paraId="1FFA5B72" w14:textId="77777777" w:rsidR="006454A3" w:rsidRPr="006454A3" w:rsidRDefault="006454A3" w:rsidP="006454A3">
            <w:pPr>
              <w:rPr>
                <w:sz w:val="20"/>
                <w:lang w:val="en-US" w:bidi="he-IL"/>
              </w:rPr>
            </w:pPr>
            <w:r w:rsidRPr="006454A3">
              <w:rPr>
                <w:sz w:val="20"/>
                <w:lang w:val="en-US" w:bidi="he-IL"/>
              </w:rPr>
              <w:t> </w:t>
            </w:r>
          </w:p>
          <w:p w14:paraId="6292F1AA" w14:textId="77777777" w:rsidR="006454A3" w:rsidRPr="006454A3" w:rsidRDefault="006454A3" w:rsidP="006454A3">
            <w:pPr>
              <w:rPr>
                <w:sz w:val="20"/>
                <w:lang w:val="en-US" w:bidi="he-IL"/>
              </w:rPr>
            </w:pPr>
            <w:r w:rsidRPr="006454A3">
              <w:rPr>
                <w:sz w:val="20"/>
                <w:u w:val="single"/>
                <w:lang w:val="en-US" w:bidi="he-IL"/>
              </w:rPr>
              <w:t>DMG BSS: Empty.</w:t>
            </w:r>
          </w:p>
        </w:tc>
      </w:tr>
      <w:tr w:rsidR="006454A3" w:rsidRPr="006454A3" w14:paraId="062ADD78" w14:textId="77777777" w:rsidTr="006454A3">
        <w:trPr>
          <w:tblCellSpacing w:w="15" w:type="dxa"/>
        </w:trPr>
        <w:tc>
          <w:tcPr>
            <w:tcW w:w="0" w:type="auto"/>
            <w:vAlign w:val="center"/>
            <w:hideMark/>
          </w:tcPr>
          <w:p w14:paraId="5A3DAD47" w14:textId="77777777" w:rsidR="006454A3" w:rsidRPr="006454A3" w:rsidRDefault="006454A3" w:rsidP="006454A3">
            <w:pPr>
              <w:rPr>
                <w:sz w:val="24"/>
                <w:szCs w:val="24"/>
                <w:lang w:val="en-US" w:bidi="he-IL"/>
              </w:rPr>
            </w:pPr>
            <w:proofErr w:type="spellStart"/>
            <w:r w:rsidRPr="006454A3">
              <w:rPr>
                <w:strike/>
                <w:sz w:val="20"/>
                <w:lang w:val="en-US" w:bidi="he-IL"/>
              </w:rPr>
              <w:t>SupportedRates</w:t>
            </w:r>
            <w:r w:rsidRPr="006454A3">
              <w:rPr>
                <w:sz w:val="20"/>
                <w:u w:val="single"/>
                <w:lang w:val="en-US" w:bidi="he-IL"/>
              </w:rPr>
              <w:t>OperationalRateSet</w:t>
            </w:r>
            <w:proofErr w:type="spellEnd"/>
          </w:p>
        </w:tc>
        <w:tc>
          <w:tcPr>
            <w:tcW w:w="0" w:type="auto"/>
            <w:vAlign w:val="center"/>
            <w:hideMark/>
          </w:tcPr>
          <w:p w14:paraId="0B2D58CF" w14:textId="77777777" w:rsidR="006454A3" w:rsidRPr="006454A3" w:rsidRDefault="006454A3" w:rsidP="006454A3">
            <w:pPr>
              <w:rPr>
                <w:sz w:val="24"/>
                <w:szCs w:val="24"/>
                <w:lang w:val="en-US" w:bidi="he-IL"/>
              </w:rPr>
            </w:pPr>
            <w:r w:rsidRPr="006454A3">
              <w:rPr>
                <w:sz w:val="20"/>
                <w:lang w:val="en-US" w:bidi="he-IL"/>
              </w:rPr>
              <w:t>Set of integers</w:t>
            </w:r>
          </w:p>
        </w:tc>
        <w:tc>
          <w:tcPr>
            <w:tcW w:w="0" w:type="auto"/>
            <w:vAlign w:val="center"/>
            <w:hideMark/>
          </w:tcPr>
          <w:p w14:paraId="65B4B2C5" w14:textId="77777777" w:rsidR="006454A3" w:rsidRPr="006454A3" w:rsidRDefault="006454A3" w:rsidP="006454A3">
            <w:pPr>
              <w:rPr>
                <w:sz w:val="20"/>
                <w:lang w:val="en-US" w:bidi="he-IL"/>
              </w:rPr>
            </w:pPr>
            <w:r w:rsidRPr="006454A3">
              <w:rPr>
                <w:sz w:val="20"/>
                <w:u w:val="single"/>
                <w:lang w:val="en-US" w:bidi="he-IL"/>
              </w:rPr>
              <w:t xml:space="preserve">Non-DMG BSS: </w:t>
            </w:r>
            <w:r w:rsidRPr="006454A3">
              <w:rPr>
                <w:sz w:val="20"/>
                <w:lang w:val="en-US" w:bidi="he-IL"/>
              </w:rPr>
              <w:t>1–</w:t>
            </w:r>
            <w:r w:rsidRPr="006454A3">
              <w:rPr>
                <w:strike/>
                <w:sz w:val="20"/>
                <w:lang w:val="en-US" w:bidi="he-IL"/>
              </w:rPr>
              <w:t>127</w:t>
            </w:r>
            <w:r w:rsidRPr="006454A3">
              <w:rPr>
                <w:sz w:val="20"/>
                <w:u w:val="single"/>
                <w:lang w:val="en-US" w:bidi="he-IL"/>
              </w:rPr>
              <w:t>108</w:t>
            </w:r>
            <w:r w:rsidRPr="006454A3">
              <w:rPr>
                <w:sz w:val="20"/>
                <w:lang w:val="en-US" w:bidi="he-IL"/>
              </w:rPr>
              <w:t xml:space="preserve"> </w:t>
            </w:r>
            <w:r w:rsidRPr="006454A3">
              <w:rPr>
                <w:strike/>
                <w:sz w:val="20"/>
                <w:lang w:val="en-US" w:bidi="he-IL"/>
              </w:rPr>
              <w:t>inclusive (</w:t>
            </w:r>
            <w:r w:rsidRPr="006454A3">
              <w:rPr>
                <w:sz w:val="20"/>
                <w:u w:val="single"/>
                <w:lang w:val="en-US" w:bidi="he-IL"/>
              </w:rPr>
              <w:t xml:space="preserve">, </w:t>
            </w:r>
            <w:r w:rsidRPr="006454A3">
              <w:rPr>
                <w:sz w:val="20"/>
                <w:lang w:val="en-US" w:bidi="he-IL"/>
              </w:rPr>
              <w:t xml:space="preserve">for each </w:t>
            </w:r>
            <w:r w:rsidRPr="006454A3">
              <w:rPr>
                <w:strike/>
                <w:sz w:val="20"/>
                <w:lang w:val="en-US" w:bidi="he-IL"/>
              </w:rPr>
              <w:t xml:space="preserve">integer </w:t>
            </w:r>
            <w:proofErr w:type="spellStart"/>
            <w:r w:rsidRPr="006454A3">
              <w:rPr>
                <w:strike/>
                <w:sz w:val="20"/>
                <w:lang w:val="en-US" w:bidi="he-IL"/>
              </w:rPr>
              <w:t>in</w:t>
            </w:r>
            <w:r w:rsidRPr="006454A3">
              <w:rPr>
                <w:sz w:val="20"/>
                <w:u w:val="single"/>
                <w:lang w:val="en-US" w:bidi="he-IL"/>
              </w:rPr>
              <w:t>member</w:t>
            </w:r>
            <w:proofErr w:type="spellEnd"/>
            <w:r w:rsidRPr="006454A3">
              <w:rPr>
                <w:sz w:val="20"/>
                <w:u w:val="single"/>
                <w:lang w:val="en-US" w:bidi="he-IL"/>
              </w:rPr>
              <w:t xml:space="preserve"> of</w:t>
            </w:r>
            <w:r w:rsidRPr="006454A3">
              <w:rPr>
                <w:sz w:val="20"/>
                <w:lang w:val="en-US" w:bidi="he-IL"/>
              </w:rPr>
              <w:t xml:space="preserve"> the set</w:t>
            </w:r>
            <w:r w:rsidRPr="006454A3">
              <w:rPr>
                <w:strike/>
                <w:sz w:val="20"/>
                <w:lang w:val="en-US" w:bidi="he-IL"/>
              </w:rPr>
              <w:t>)</w:t>
            </w:r>
            <w:r w:rsidRPr="006454A3">
              <w:rPr>
                <w:sz w:val="20"/>
                <w:lang w:val="en-US" w:bidi="he-IL"/>
              </w:rPr>
              <w:t xml:space="preserve"> </w:t>
            </w:r>
          </w:p>
          <w:p w14:paraId="603B2AE6" w14:textId="77777777" w:rsidR="006454A3" w:rsidRPr="006454A3" w:rsidRDefault="006454A3" w:rsidP="006454A3">
            <w:pPr>
              <w:rPr>
                <w:sz w:val="20"/>
                <w:lang w:val="en-US" w:bidi="he-IL"/>
              </w:rPr>
            </w:pPr>
            <w:r w:rsidRPr="006454A3">
              <w:rPr>
                <w:sz w:val="20"/>
                <w:lang w:val="en-US" w:bidi="he-IL"/>
              </w:rPr>
              <w:t> </w:t>
            </w:r>
          </w:p>
          <w:p w14:paraId="58E992A5" w14:textId="77777777" w:rsidR="006454A3" w:rsidRPr="006454A3" w:rsidRDefault="006454A3" w:rsidP="006454A3">
            <w:pPr>
              <w:rPr>
                <w:sz w:val="20"/>
                <w:lang w:val="en-US" w:bidi="he-IL"/>
              </w:rPr>
            </w:pPr>
            <w:r w:rsidRPr="006454A3">
              <w:rPr>
                <w:sz w:val="20"/>
                <w:u w:val="single"/>
                <w:lang w:val="en-US" w:bidi="he-IL"/>
              </w:rPr>
              <w:t>DMG BSS: 0–24, for each member of the set</w:t>
            </w:r>
          </w:p>
        </w:tc>
        <w:tc>
          <w:tcPr>
            <w:tcW w:w="0" w:type="auto"/>
            <w:vAlign w:val="center"/>
            <w:hideMark/>
          </w:tcPr>
          <w:p w14:paraId="13AB9CA9" w14:textId="77777777" w:rsidR="006454A3" w:rsidRPr="006454A3" w:rsidRDefault="006454A3" w:rsidP="006454A3">
            <w:pPr>
              <w:rPr>
                <w:sz w:val="20"/>
                <w:lang w:val="en-US" w:bidi="he-IL"/>
              </w:rPr>
            </w:pPr>
            <w:r w:rsidRPr="006454A3">
              <w:rPr>
                <w:sz w:val="20"/>
                <w:u w:val="single"/>
                <w:lang w:val="en-US" w:bidi="he-IL"/>
              </w:rPr>
              <w:t xml:space="preserve">Non-DMG BSS: </w:t>
            </w:r>
            <w:r w:rsidRPr="006454A3">
              <w:rPr>
                <w:sz w:val="20"/>
                <w:lang w:val="en-US" w:bidi="he-IL"/>
              </w:rPr>
              <w:t>The set of data rates (in units of 500 kb/s) that</w:t>
            </w:r>
            <w:r w:rsidRPr="006454A3">
              <w:rPr>
                <w:strike/>
                <w:sz w:val="20"/>
                <w:lang w:val="en-US" w:bidi="he-IL"/>
              </w:rPr>
              <w:t xml:space="preserve"> are supported by the STA that is requesting association</w:t>
            </w:r>
            <w:r w:rsidRPr="006454A3">
              <w:rPr>
                <w:sz w:val="20"/>
                <w:u w:val="single"/>
                <w:lang w:val="en-US" w:bidi="he-IL"/>
              </w:rPr>
              <w:t xml:space="preserve"> the STA that is requesting association is able to use for communication within the BSS. The STA is able to receive at each of the data rates listed in the set. This set is a superset of the rates contained in the </w:t>
            </w:r>
            <w:proofErr w:type="spellStart"/>
            <w:r w:rsidRPr="006454A3">
              <w:rPr>
                <w:sz w:val="20"/>
                <w:u w:val="single"/>
                <w:lang w:val="en-US" w:bidi="he-IL"/>
              </w:rPr>
              <w:t>BSSBasicRateSet</w:t>
            </w:r>
            <w:proofErr w:type="spellEnd"/>
            <w:r w:rsidRPr="006454A3">
              <w:rPr>
                <w:sz w:val="20"/>
                <w:u w:val="single"/>
                <w:lang w:val="en-US" w:bidi="he-IL"/>
              </w:rPr>
              <w:t xml:space="preserve"> parameter.</w:t>
            </w:r>
            <w:r w:rsidRPr="006454A3">
              <w:rPr>
                <w:sz w:val="20"/>
                <w:lang w:val="en-US" w:bidi="he-IL"/>
              </w:rPr>
              <w:t xml:space="preserve"> </w:t>
            </w:r>
          </w:p>
          <w:p w14:paraId="39A5B545" w14:textId="77777777" w:rsidR="006454A3" w:rsidRPr="006454A3" w:rsidRDefault="006454A3" w:rsidP="006454A3">
            <w:pPr>
              <w:rPr>
                <w:sz w:val="20"/>
                <w:lang w:val="en-US" w:bidi="he-IL"/>
              </w:rPr>
            </w:pPr>
            <w:r w:rsidRPr="006454A3">
              <w:rPr>
                <w:sz w:val="20"/>
                <w:lang w:val="en-US" w:bidi="he-IL"/>
              </w:rPr>
              <w:t> </w:t>
            </w:r>
          </w:p>
          <w:p w14:paraId="2527E28C" w14:textId="77777777" w:rsidR="006454A3" w:rsidRPr="006454A3" w:rsidRDefault="006454A3" w:rsidP="006454A3">
            <w:pPr>
              <w:rPr>
                <w:sz w:val="20"/>
                <w:lang w:val="en-US" w:bidi="he-IL"/>
              </w:rPr>
            </w:pPr>
            <w:r w:rsidRPr="006454A3">
              <w:rPr>
                <w:sz w:val="20"/>
                <w:u w:val="single"/>
                <w:lang w:val="en-US" w:bidi="he-IL"/>
              </w:rPr>
              <w:t>DMG BSS: The set of MCS indexes that the AP or PCP uses for communication within the BSS.</w:t>
            </w:r>
          </w:p>
        </w:tc>
      </w:tr>
      <w:tr w:rsidR="006454A3" w:rsidRPr="006454A3" w14:paraId="3F30483D" w14:textId="77777777" w:rsidTr="006454A3">
        <w:trPr>
          <w:tblCellSpacing w:w="15" w:type="dxa"/>
        </w:trPr>
        <w:tc>
          <w:tcPr>
            <w:tcW w:w="0" w:type="auto"/>
            <w:vAlign w:val="center"/>
            <w:hideMark/>
          </w:tcPr>
          <w:p w14:paraId="357EF872" w14:textId="77777777" w:rsidR="006454A3" w:rsidRPr="006454A3" w:rsidRDefault="006454A3" w:rsidP="006454A3">
            <w:pPr>
              <w:rPr>
                <w:sz w:val="24"/>
                <w:szCs w:val="24"/>
                <w:lang w:val="en-US" w:bidi="he-IL"/>
              </w:rPr>
            </w:pPr>
            <w:proofErr w:type="spellStart"/>
            <w:r w:rsidRPr="006454A3">
              <w:rPr>
                <w:sz w:val="20"/>
                <w:u w:val="single"/>
                <w:lang w:val="en-US" w:bidi="he-IL"/>
              </w:rPr>
              <w:t>BSSMembershipSelectorSet</w:t>
            </w:r>
            <w:proofErr w:type="spellEnd"/>
          </w:p>
        </w:tc>
        <w:tc>
          <w:tcPr>
            <w:tcW w:w="0" w:type="auto"/>
            <w:vAlign w:val="center"/>
            <w:hideMark/>
          </w:tcPr>
          <w:p w14:paraId="630DFB90" w14:textId="77777777" w:rsidR="006454A3" w:rsidRPr="006454A3" w:rsidRDefault="006454A3" w:rsidP="006454A3">
            <w:pPr>
              <w:rPr>
                <w:sz w:val="24"/>
                <w:szCs w:val="24"/>
                <w:lang w:val="en-US" w:bidi="he-IL"/>
              </w:rPr>
            </w:pPr>
            <w:r w:rsidRPr="006454A3">
              <w:rPr>
                <w:sz w:val="20"/>
                <w:u w:val="single"/>
                <w:lang w:val="en-US" w:bidi="he-IL"/>
              </w:rPr>
              <w:t>Set of integers</w:t>
            </w:r>
          </w:p>
        </w:tc>
        <w:tc>
          <w:tcPr>
            <w:tcW w:w="0" w:type="auto"/>
            <w:vAlign w:val="center"/>
            <w:hideMark/>
          </w:tcPr>
          <w:p w14:paraId="2A78AE76" w14:textId="77777777" w:rsidR="006454A3" w:rsidRPr="006454A3" w:rsidRDefault="006454A3" w:rsidP="006454A3">
            <w:pPr>
              <w:rPr>
                <w:sz w:val="24"/>
                <w:szCs w:val="24"/>
                <w:lang w:val="en-US" w:bidi="he-IL"/>
              </w:rPr>
            </w:pPr>
            <w:r w:rsidRPr="006454A3">
              <w:rPr>
                <w:sz w:val="20"/>
                <w:u w:val="single"/>
                <w:lang w:val="en-US" w:bidi="he-IL"/>
              </w:rPr>
              <w:t>A value from Table 9-77 (BSS membership selector value encoding), for each member of the set</w:t>
            </w:r>
          </w:p>
        </w:tc>
        <w:tc>
          <w:tcPr>
            <w:tcW w:w="0" w:type="auto"/>
            <w:vAlign w:val="center"/>
            <w:hideMark/>
          </w:tcPr>
          <w:p w14:paraId="72C9B4F6" w14:textId="77777777" w:rsidR="006454A3" w:rsidRPr="006454A3" w:rsidRDefault="006454A3" w:rsidP="006454A3">
            <w:pPr>
              <w:rPr>
                <w:sz w:val="24"/>
                <w:szCs w:val="24"/>
                <w:lang w:val="en-US" w:bidi="he-IL"/>
              </w:rPr>
            </w:pPr>
            <w:r w:rsidRPr="006454A3">
              <w:rPr>
                <w:sz w:val="20"/>
                <w:u w:val="single"/>
                <w:lang w:val="en-US" w:bidi="he-IL"/>
              </w:rPr>
              <w:t>The set of features that the STA that is requesting association is able to use for communication.</w:t>
            </w:r>
          </w:p>
        </w:tc>
      </w:tr>
    </w:tbl>
    <w:p w14:paraId="3A502434"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p w14:paraId="2F89A2C7"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Change “</w:t>
      </w:r>
      <w:proofErr w:type="spellStart"/>
      <w:r w:rsidRPr="006454A3">
        <w:rPr>
          <w:rFonts w:ascii="Calibri" w:hAnsi="Calibri" w:cs="Courier New"/>
          <w:szCs w:val="22"/>
          <w:lang w:val="en-US" w:bidi="he-IL"/>
        </w:rPr>
        <w:t>SupportedRates</w:t>
      </w:r>
      <w:proofErr w:type="spellEnd"/>
      <w:r w:rsidRPr="006454A3">
        <w:rPr>
          <w:rFonts w:ascii="Calibri" w:hAnsi="Calibri" w:cs="Courier New"/>
          <w:szCs w:val="22"/>
          <w:lang w:val="en-US" w:bidi="he-IL"/>
        </w:rPr>
        <w:t>,” at 176.61 to “</w:t>
      </w:r>
      <w:proofErr w:type="spellStart"/>
      <w:r w:rsidRPr="006454A3">
        <w:rPr>
          <w:rFonts w:ascii="Calibri" w:hAnsi="Calibri" w:cs="Courier New"/>
          <w:szCs w:val="22"/>
          <w:lang w:val="en-US" w:bidi="he-IL"/>
        </w:rPr>
        <w:t>BSSBasicRateSet</w:t>
      </w:r>
      <w:proofErr w:type="spellEnd"/>
      <w:r w:rsidRPr="006454A3">
        <w:rPr>
          <w:rFonts w:ascii="Calibri" w:hAnsi="Calibri" w:cs="Courier New"/>
          <w:szCs w:val="22"/>
          <w:lang w:val="en-US" w:bidi="he-IL"/>
        </w:rPr>
        <w:t xml:space="preserve">, </w:t>
      </w:r>
      <w:proofErr w:type="spellStart"/>
      <w:r w:rsidRPr="006454A3">
        <w:rPr>
          <w:rFonts w:ascii="Calibri" w:hAnsi="Calibri" w:cs="Courier New"/>
          <w:szCs w:val="22"/>
          <w:lang w:val="en-US" w:bidi="he-IL"/>
        </w:rPr>
        <w:t>OperationalRateSet</w:t>
      </w:r>
      <w:proofErr w:type="spellEnd"/>
      <w:r w:rsidRPr="006454A3">
        <w:rPr>
          <w:rFonts w:ascii="Calibri" w:hAnsi="Calibri" w:cs="Courier New"/>
          <w:szCs w:val="22"/>
          <w:lang w:val="en-US" w:bidi="he-IL"/>
        </w:rPr>
        <w:t xml:space="preserve">, </w:t>
      </w:r>
      <w:proofErr w:type="spellStart"/>
      <w:r w:rsidRPr="006454A3">
        <w:rPr>
          <w:rFonts w:ascii="Calibri" w:hAnsi="Calibri" w:cs="Courier New"/>
          <w:szCs w:val="22"/>
          <w:lang w:val="en-US" w:bidi="he-IL"/>
        </w:rPr>
        <w:t>BSSMembershipSelectorSet</w:t>
      </w:r>
      <w:proofErr w:type="spellEnd"/>
      <w:r w:rsidRPr="006454A3">
        <w:rPr>
          <w:rFonts w:ascii="Calibri" w:hAnsi="Calibri" w:cs="Courier New"/>
          <w:szCs w:val="22"/>
          <w:lang w:val="en-US" w:bidi="he-IL"/>
        </w:rPr>
        <w:t>,” over three lines).</w:t>
      </w:r>
    </w:p>
    <w:p w14:paraId="4E36757F"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1A4674BD"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Make the equivalent changes to the MLME-REASSOCIATE primitives.</w:t>
      </w:r>
    </w:p>
    <w:p w14:paraId="1BF923D8"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3FE0DD40"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Change the rows at 201.52, 202.3 and 202.48 (</w:t>
      </w:r>
      <w:proofErr w:type="spellStart"/>
      <w:r w:rsidRPr="006454A3">
        <w:rPr>
          <w:rFonts w:ascii="Calibri" w:hAnsi="Calibri" w:cs="Courier New"/>
          <w:szCs w:val="22"/>
          <w:lang w:val="en-US" w:bidi="he-IL"/>
        </w:rPr>
        <w:t>START.req</w:t>
      </w:r>
      <w:proofErr w:type="spellEnd"/>
      <w:r w:rsidRPr="006454A3">
        <w:rPr>
          <w:rFonts w:ascii="Calibri" w:hAnsi="Calibri" w:cs="Courier New"/>
          <w:szCs w:val="22"/>
          <w:lang w:val="en-US" w:bidi="he-IL"/>
        </w:rPr>
        <w:t>) as follows, respectively:</w:t>
      </w:r>
    </w:p>
    <w:p w14:paraId="3094BA8A"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tbl>
      <w:tblPr>
        <w:tblW w:w="9833" w:type="dxa"/>
        <w:tblCellSpacing w:w="15" w:type="dxa"/>
        <w:tblCellMar>
          <w:top w:w="15" w:type="dxa"/>
          <w:left w:w="15" w:type="dxa"/>
          <w:bottom w:w="15" w:type="dxa"/>
          <w:right w:w="15" w:type="dxa"/>
        </w:tblCellMar>
        <w:tblLook w:val="04A0" w:firstRow="1" w:lastRow="0" w:firstColumn="1" w:lastColumn="0" w:noHBand="0" w:noVBand="1"/>
      </w:tblPr>
      <w:tblGrid>
        <w:gridCol w:w="2353"/>
        <w:gridCol w:w="725"/>
        <w:gridCol w:w="3630"/>
        <w:gridCol w:w="3125"/>
      </w:tblGrid>
      <w:tr w:rsidR="006454A3" w:rsidRPr="006454A3" w14:paraId="4434941C" w14:textId="77777777" w:rsidTr="006454A3">
        <w:trPr>
          <w:tblCellSpacing w:w="15" w:type="dxa"/>
        </w:trPr>
        <w:tc>
          <w:tcPr>
            <w:tcW w:w="0" w:type="auto"/>
            <w:vAlign w:val="center"/>
            <w:hideMark/>
          </w:tcPr>
          <w:p w14:paraId="54C51540" w14:textId="77777777" w:rsidR="006454A3" w:rsidRPr="006454A3" w:rsidRDefault="006454A3" w:rsidP="006454A3">
            <w:pPr>
              <w:rPr>
                <w:sz w:val="24"/>
                <w:szCs w:val="24"/>
                <w:lang w:val="en-US" w:bidi="he-IL"/>
              </w:rPr>
            </w:pPr>
            <w:proofErr w:type="spellStart"/>
            <w:r w:rsidRPr="006454A3">
              <w:rPr>
                <w:sz w:val="20"/>
                <w:lang w:val="en-US" w:bidi="he-IL"/>
              </w:rPr>
              <w:t>BSSBasicRateSet</w:t>
            </w:r>
            <w:proofErr w:type="spellEnd"/>
          </w:p>
        </w:tc>
        <w:tc>
          <w:tcPr>
            <w:tcW w:w="0" w:type="auto"/>
            <w:vAlign w:val="center"/>
            <w:hideMark/>
          </w:tcPr>
          <w:p w14:paraId="27CD1F47" w14:textId="77777777" w:rsidR="006454A3" w:rsidRPr="006454A3" w:rsidRDefault="006454A3" w:rsidP="006454A3">
            <w:pPr>
              <w:rPr>
                <w:sz w:val="24"/>
                <w:szCs w:val="24"/>
                <w:lang w:val="en-US" w:bidi="he-IL"/>
              </w:rPr>
            </w:pPr>
            <w:r w:rsidRPr="006454A3">
              <w:rPr>
                <w:sz w:val="20"/>
                <w:lang w:val="en-US" w:bidi="he-IL"/>
              </w:rPr>
              <w:t>Set of integers</w:t>
            </w:r>
          </w:p>
        </w:tc>
        <w:tc>
          <w:tcPr>
            <w:tcW w:w="0" w:type="auto"/>
            <w:vAlign w:val="center"/>
            <w:hideMark/>
          </w:tcPr>
          <w:p w14:paraId="0335B745" w14:textId="77777777" w:rsidR="006454A3" w:rsidRPr="006454A3" w:rsidRDefault="006454A3" w:rsidP="006454A3">
            <w:pPr>
              <w:rPr>
                <w:sz w:val="20"/>
                <w:lang w:val="en-US" w:bidi="he-IL"/>
              </w:rPr>
            </w:pPr>
            <w:r w:rsidRPr="006454A3">
              <w:rPr>
                <w:sz w:val="20"/>
                <w:u w:val="single"/>
                <w:lang w:val="en-US" w:bidi="he-IL"/>
              </w:rPr>
              <w:t>Non-DMG BSS: a value in both dot11SupportedDataRatesRxTable and dot11SupportedDataRatesTxTable</w:t>
            </w:r>
            <w:r w:rsidRPr="006454A3">
              <w:rPr>
                <w:strike/>
                <w:sz w:val="20"/>
                <w:lang w:val="en-US" w:bidi="he-IL"/>
              </w:rPr>
              <w:t>1–127 inclusive (</w:t>
            </w:r>
            <w:r w:rsidRPr="006454A3">
              <w:rPr>
                <w:sz w:val="20"/>
                <w:u w:val="single"/>
                <w:lang w:val="en-US" w:bidi="he-IL"/>
              </w:rPr>
              <w:t xml:space="preserve">, </w:t>
            </w:r>
            <w:r w:rsidRPr="006454A3">
              <w:rPr>
                <w:sz w:val="20"/>
                <w:lang w:val="en-US" w:bidi="he-IL"/>
              </w:rPr>
              <w:t xml:space="preserve">for each </w:t>
            </w:r>
            <w:r w:rsidRPr="006454A3">
              <w:rPr>
                <w:strike/>
                <w:sz w:val="20"/>
                <w:lang w:val="en-US" w:bidi="he-IL"/>
              </w:rPr>
              <w:t xml:space="preserve">integer </w:t>
            </w:r>
            <w:proofErr w:type="spellStart"/>
            <w:r w:rsidRPr="006454A3">
              <w:rPr>
                <w:strike/>
                <w:sz w:val="20"/>
                <w:lang w:val="en-US" w:bidi="he-IL"/>
              </w:rPr>
              <w:t>in</w:t>
            </w:r>
            <w:r w:rsidRPr="006454A3">
              <w:rPr>
                <w:sz w:val="20"/>
                <w:u w:val="single"/>
                <w:lang w:val="en-US" w:bidi="he-IL"/>
              </w:rPr>
              <w:t>member</w:t>
            </w:r>
            <w:proofErr w:type="spellEnd"/>
            <w:r w:rsidRPr="006454A3">
              <w:rPr>
                <w:sz w:val="20"/>
                <w:u w:val="single"/>
                <w:lang w:val="en-US" w:bidi="he-IL"/>
              </w:rPr>
              <w:t xml:space="preserve"> of</w:t>
            </w:r>
            <w:r w:rsidRPr="006454A3">
              <w:rPr>
                <w:sz w:val="20"/>
                <w:lang w:val="en-US" w:bidi="he-IL"/>
              </w:rPr>
              <w:t xml:space="preserve"> the </w:t>
            </w:r>
          </w:p>
          <w:p w14:paraId="3EC488B1" w14:textId="77777777" w:rsidR="006454A3" w:rsidRPr="006454A3" w:rsidRDefault="006454A3" w:rsidP="006454A3">
            <w:pPr>
              <w:rPr>
                <w:sz w:val="20"/>
                <w:lang w:val="en-US" w:bidi="he-IL"/>
              </w:rPr>
            </w:pPr>
            <w:r w:rsidRPr="006454A3">
              <w:rPr>
                <w:sz w:val="20"/>
                <w:lang w:val="en-US" w:bidi="he-IL"/>
              </w:rPr>
              <w:t>set</w:t>
            </w:r>
            <w:r w:rsidRPr="006454A3">
              <w:rPr>
                <w:strike/>
                <w:sz w:val="20"/>
                <w:lang w:val="en-US" w:bidi="he-IL"/>
              </w:rPr>
              <w:t>)</w:t>
            </w:r>
          </w:p>
        </w:tc>
        <w:tc>
          <w:tcPr>
            <w:tcW w:w="0" w:type="auto"/>
            <w:vAlign w:val="center"/>
            <w:hideMark/>
          </w:tcPr>
          <w:p w14:paraId="14BCB1BE" w14:textId="77777777" w:rsidR="006454A3" w:rsidRPr="006454A3" w:rsidRDefault="006454A3" w:rsidP="006454A3">
            <w:pPr>
              <w:rPr>
                <w:sz w:val="20"/>
                <w:lang w:val="en-US" w:bidi="he-IL"/>
              </w:rPr>
            </w:pPr>
            <w:r w:rsidRPr="006454A3">
              <w:rPr>
                <w:sz w:val="20"/>
                <w:lang w:val="en-US" w:bidi="he-IL"/>
              </w:rPr>
              <w:t xml:space="preserve">Non-DMG BSS: The set of data rates </w:t>
            </w:r>
            <w:r w:rsidRPr="006454A3">
              <w:rPr>
                <w:sz w:val="20"/>
                <w:u w:val="single"/>
                <w:lang w:val="en-US" w:bidi="he-IL"/>
              </w:rPr>
              <w:t xml:space="preserve">(in units of 500 kb/s) </w:t>
            </w:r>
            <w:r w:rsidRPr="006454A3">
              <w:rPr>
                <w:sz w:val="20"/>
                <w:lang w:val="en-US" w:bidi="he-IL"/>
              </w:rPr>
              <w:t xml:space="preserve">that all STAs in the BSS are able to use for communication. All STAs in the BSS, including the STA that is creating the BSS, are able to receive and transmit at each of the data rates listed in the set. </w:t>
            </w:r>
          </w:p>
          <w:p w14:paraId="25FB7C6C" w14:textId="77777777" w:rsidR="006454A3" w:rsidRPr="006454A3" w:rsidRDefault="006454A3" w:rsidP="006454A3">
            <w:pPr>
              <w:rPr>
                <w:sz w:val="20"/>
                <w:lang w:val="en-US" w:bidi="he-IL"/>
              </w:rPr>
            </w:pPr>
            <w:r w:rsidRPr="006454A3">
              <w:rPr>
                <w:sz w:val="20"/>
                <w:lang w:val="en-US" w:bidi="he-IL"/>
              </w:rPr>
              <w:t> </w:t>
            </w:r>
          </w:p>
          <w:p w14:paraId="3BE11021" w14:textId="77777777" w:rsidR="006454A3" w:rsidRPr="006454A3" w:rsidRDefault="006454A3" w:rsidP="006454A3">
            <w:pPr>
              <w:rPr>
                <w:sz w:val="20"/>
                <w:lang w:val="en-US" w:bidi="he-IL"/>
              </w:rPr>
            </w:pPr>
            <w:r w:rsidRPr="006454A3">
              <w:rPr>
                <w:sz w:val="20"/>
                <w:lang w:val="en-US" w:bidi="he-IL"/>
              </w:rPr>
              <w:t>DMG BSS: Empty.</w:t>
            </w:r>
          </w:p>
        </w:tc>
      </w:tr>
      <w:tr w:rsidR="006454A3" w:rsidRPr="006454A3" w14:paraId="1003E619" w14:textId="77777777" w:rsidTr="006454A3">
        <w:trPr>
          <w:tblCellSpacing w:w="15" w:type="dxa"/>
        </w:trPr>
        <w:tc>
          <w:tcPr>
            <w:tcW w:w="0" w:type="auto"/>
            <w:vAlign w:val="center"/>
            <w:hideMark/>
          </w:tcPr>
          <w:p w14:paraId="3022D302" w14:textId="77777777" w:rsidR="006454A3" w:rsidRPr="006454A3" w:rsidRDefault="006454A3" w:rsidP="006454A3">
            <w:pPr>
              <w:rPr>
                <w:sz w:val="24"/>
                <w:szCs w:val="24"/>
                <w:lang w:val="en-US" w:bidi="he-IL"/>
              </w:rPr>
            </w:pPr>
            <w:proofErr w:type="spellStart"/>
            <w:r w:rsidRPr="006454A3">
              <w:rPr>
                <w:sz w:val="20"/>
                <w:lang w:val="en-US" w:bidi="he-IL"/>
              </w:rPr>
              <w:t>OperationalRateSet</w:t>
            </w:r>
            <w:proofErr w:type="spellEnd"/>
          </w:p>
        </w:tc>
        <w:tc>
          <w:tcPr>
            <w:tcW w:w="0" w:type="auto"/>
            <w:vAlign w:val="center"/>
            <w:hideMark/>
          </w:tcPr>
          <w:p w14:paraId="4305CF97" w14:textId="77777777" w:rsidR="006454A3" w:rsidRPr="006454A3" w:rsidRDefault="006454A3" w:rsidP="006454A3">
            <w:pPr>
              <w:rPr>
                <w:sz w:val="24"/>
                <w:szCs w:val="24"/>
                <w:lang w:val="en-US" w:bidi="he-IL"/>
              </w:rPr>
            </w:pPr>
            <w:r w:rsidRPr="006454A3">
              <w:rPr>
                <w:sz w:val="20"/>
                <w:lang w:val="en-US" w:bidi="he-IL"/>
              </w:rPr>
              <w:t>Set of integers</w:t>
            </w:r>
          </w:p>
        </w:tc>
        <w:tc>
          <w:tcPr>
            <w:tcW w:w="0" w:type="auto"/>
            <w:vAlign w:val="center"/>
            <w:hideMark/>
          </w:tcPr>
          <w:p w14:paraId="50F9A1DB" w14:textId="77777777" w:rsidR="006454A3" w:rsidRPr="006454A3" w:rsidRDefault="006454A3" w:rsidP="006454A3">
            <w:pPr>
              <w:rPr>
                <w:sz w:val="20"/>
                <w:lang w:val="en-US" w:bidi="he-IL"/>
              </w:rPr>
            </w:pPr>
            <w:r w:rsidRPr="006454A3">
              <w:rPr>
                <w:sz w:val="20"/>
                <w:u w:val="single"/>
                <w:lang w:val="en-US" w:bidi="he-IL"/>
              </w:rPr>
              <w:t>Non-DMG BSS: a value in dot11SupportedDataRatesRxTable</w:t>
            </w:r>
            <w:r w:rsidRPr="006454A3">
              <w:rPr>
                <w:strike/>
                <w:sz w:val="20"/>
                <w:lang w:val="en-US" w:bidi="he-IL"/>
              </w:rPr>
              <w:t>1–127 inclusive (</w:t>
            </w:r>
            <w:r w:rsidRPr="006454A3">
              <w:rPr>
                <w:sz w:val="20"/>
                <w:u w:val="single"/>
                <w:lang w:val="en-US" w:bidi="he-IL"/>
              </w:rPr>
              <w:t xml:space="preserve">, </w:t>
            </w:r>
            <w:r w:rsidRPr="006454A3">
              <w:rPr>
                <w:sz w:val="20"/>
                <w:lang w:val="en-US" w:bidi="he-IL"/>
              </w:rPr>
              <w:t xml:space="preserve">for each </w:t>
            </w:r>
            <w:r w:rsidRPr="006454A3">
              <w:rPr>
                <w:strike/>
                <w:sz w:val="20"/>
                <w:lang w:val="en-US" w:bidi="he-IL"/>
              </w:rPr>
              <w:t xml:space="preserve">integer </w:t>
            </w:r>
            <w:proofErr w:type="spellStart"/>
            <w:r w:rsidRPr="006454A3">
              <w:rPr>
                <w:strike/>
                <w:sz w:val="20"/>
                <w:lang w:val="en-US" w:bidi="he-IL"/>
              </w:rPr>
              <w:t>in</w:t>
            </w:r>
            <w:r w:rsidRPr="006454A3">
              <w:rPr>
                <w:sz w:val="20"/>
                <w:u w:val="single"/>
                <w:lang w:val="en-US" w:bidi="he-IL"/>
              </w:rPr>
              <w:t>member</w:t>
            </w:r>
            <w:proofErr w:type="spellEnd"/>
            <w:r w:rsidRPr="006454A3">
              <w:rPr>
                <w:sz w:val="20"/>
                <w:u w:val="single"/>
                <w:lang w:val="en-US" w:bidi="he-IL"/>
              </w:rPr>
              <w:t xml:space="preserve"> of</w:t>
            </w:r>
            <w:r w:rsidRPr="006454A3">
              <w:rPr>
                <w:sz w:val="20"/>
                <w:lang w:val="en-US" w:bidi="he-IL"/>
              </w:rPr>
              <w:t xml:space="preserve"> the set</w:t>
            </w:r>
            <w:r w:rsidRPr="006454A3">
              <w:rPr>
                <w:strike/>
                <w:sz w:val="20"/>
                <w:lang w:val="en-US" w:bidi="he-IL"/>
              </w:rPr>
              <w:t>)</w:t>
            </w:r>
            <w:r w:rsidRPr="006454A3">
              <w:rPr>
                <w:sz w:val="20"/>
                <w:lang w:val="en-US" w:bidi="he-IL"/>
              </w:rPr>
              <w:t xml:space="preserve"> </w:t>
            </w:r>
          </w:p>
          <w:p w14:paraId="13C32BC6" w14:textId="77777777" w:rsidR="006454A3" w:rsidRPr="006454A3" w:rsidRDefault="006454A3" w:rsidP="006454A3">
            <w:pPr>
              <w:rPr>
                <w:sz w:val="20"/>
                <w:lang w:val="en-US" w:bidi="he-IL"/>
              </w:rPr>
            </w:pPr>
            <w:r w:rsidRPr="006454A3">
              <w:rPr>
                <w:sz w:val="20"/>
                <w:lang w:val="en-US" w:bidi="he-IL"/>
              </w:rPr>
              <w:t> </w:t>
            </w:r>
          </w:p>
          <w:p w14:paraId="4172FCE8" w14:textId="77777777" w:rsidR="006454A3" w:rsidRPr="006454A3" w:rsidRDefault="006454A3" w:rsidP="006454A3">
            <w:pPr>
              <w:rPr>
                <w:sz w:val="20"/>
                <w:lang w:val="en-US" w:bidi="he-IL"/>
              </w:rPr>
            </w:pPr>
            <w:r w:rsidRPr="006454A3">
              <w:rPr>
                <w:sz w:val="20"/>
                <w:u w:val="single"/>
                <w:lang w:val="en-US" w:bidi="he-IL"/>
              </w:rPr>
              <w:t>DMG BSS: 0–24, for each member of the set</w:t>
            </w:r>
          </w:p>
        </w:tc>
        <w:tc>
          <w:tcPr>
            <w:tcW w:w="0" w:type="auto"/>
            <w:vAlign w:val="center"/>
            <w:hideMark/>
          </w:tcPr>
          <w:p w14:paraId="735D3009" w14:textId="77777777" w:rsidR="006454A3" w:rsidRPr="006454A3" w:rsidRDefault="006454A3" w:rsidP="006454A3">
            <w:pPr>
              <w:rPr>
                <w:sz w:val="20"/>
                <w:lang w:val="en-US" w:bidi="he-IL"/>
              </w:rPr>
            </w:pPr>
            <w:r w:rsidRPr="006454A3">
              <w:rPr>
                <w:sz w:val="20"/>
                <w:lang w:val="en-US" w:bidi="he-IL"/>
              </w:rPr>
              <w:t xml:space="preserve">Non-DMG BSS: The set of data rates </w:t>
            </w:r>
            <w:r w:rsidRPr="006454A3">
              <w:rPr>
                <w:sz w:val="20"/>
                <w:u w:val="single"/>
                <w:lang w:val="en-US" w:bidi="he-IL"/>
              </w:rPr>
              <w:t xml:space="preserve">(in units of 500 kb/s) </w:t>
            </w:r>
            <w:r w:rsidRPr="006454A3">
              <w:rPr>
                <w:sz w:val="20"/>
                <w:lang w:val="en-US" w:bidi="he-IL"/>
              </w:rPr>
              <w:t xml:space="preserve">that the STA is able to use for communication within the BSS. The STA is able to receive at each of the data rates listed in the set. This set is a superset of the rates contained in the </w:t>
            </w:r>
            <w:proofErr w:type="spellStart"/>
            <w:r w:rsidRPr="006454A3">
              <w:rPr>
                <w:sz w:val="20"/>
                <w:lang w:val="en-US" w:bidi="he-IL"/>
              </w:rPr>
              <w:t>BSSBasicRateSet</w:t>
            </w:r>
            <w:proofErr w:type="spellEnd"/>
            <w:r w:rsidRPr="006454A3">
              <w:rPr>
                <w:sz w:val="20"/>
                <w:lang w:val="en-US" w:bidi="he-IL"/>
              </w:rPr>
              <w:t xml:space="preserve"> parameter. </w:t>
            </w:r>
          </w:p>
          <w:p w14:paraId="5908CEB7" w14:textId="77777777" w:rsidR="006454A3" w:rsidRPr="006454A3" w:rsidRDefault="006454A3" w:rsidP="006454A3">
            <w:pPr>
              <w:rPr>
                <w:sz w:val="20"/>
                <w:lang w:val="en-US" w:bidi="he-IL"/>
              </w:rPr>
            </w:pPr>
            <w:r w:rsidRPr="006454A3">
              <w:rPr>
                <w:sz w:val="20"/>
                <w:lang w:val="en-US" w:bidi="he-IL"/>
              </w:rPr>
              <w:lastRenderedPageBreak/>
              <w:t> </w:t>
            </w:r>
          </w:p>
          <w:p w14:paraId="41EF2FA7" w14:textId="77777777" w:rsidR="006454A3" w:rsidRPr="006454A3" w:rsidRDefault="006454A3" w:rsidP="006454A3">
            <w:pPr>
              <w:rPr>
                <w:sz w:val="20"/>
                <w:lang w:val="en-US" w:bidi="he-IL"/>
              </w:rPr>
            </w:pPr>
            <w:r w:rsidRPr="006454A3">
              <w:rPr>
                <w:sz w:val="20"/>
                <w:lang w:val="en-US" w:bidi="he-IL"/>
              </w:rPr>
              <w:t>DMG BSS: The set of MCS indexes that the peer STA uses for communication within the BSS.</w:t>
            </w:r>
          </w:p>
        </w:tc>
      </w:tr>
      <w:tr w:rsidR="006454A3" w:rsidRPr="006454A3" w14:paraId="7E6AE050" w14:textId="77777777" w:rsidTr="006454A3">
        <w:trPr>
          <w:tblCellSpacing w:w="15" w:type="dxa"/>
        </w:trPr>
        <w:tc>
          <w:tcPr>
            <w:tcW w:w="0" w:type="auto"/>
            <w:vAlign w:val="center"/>
            <w:hideMark/>
          </w:tcPr>
          <w:p w14:paraId="009F0B0D" w14:textId="77777777" w:rsidR="006454A3" w:rsidRPr="006454A3" w:rsidRDefault="006454A3" w:rsidP="006454A3">
            <w:pPr>
              <w:rPr>
                <w:sz w:val="24"/>
                <w:szCs w:val="24"/>
                <w:lang w:val="en-US" w:bidi="he-IL"/>
              </w:rPr>
            </w:pPr>
            <w:proofErr w:type="spellStart"/>
            <w:r w:rsidRPr="006454A3">
              <w:rPr>
                <w:sz w:val="20"/>
                <w:lang w:val="en-US" w:bidi="he-IL"/>
              </w:rPr>
              <w:lastRenderedPageBreak/>
              <w:t>BSSMembershipSelectorSet</w:t>
            </w:r>
            <w:proofErr w:type="spellEnd"/>
          </w:p>
        </w:tc>
        <w:tc>
          <w:tcPr>
            <w:tcW w:w="0" w:type="auto"/>
            <w:vAlign w:val="center"/>
            <w:hideMark/>
          </w:tcPr>
          <w:p w14:paraId="7077AD83" w14:textId="77777777" w:rsidR="006454A3" w:rsidRPr="006454A3" w:rsidRDefault="006454A3" w:rsidP="006454A3">
            <w:pPr>
              <w:rPr>
                <w:sz w:val="24"/>
                <w:szCs w:val="24"/>
                <w:lang w:val="en-US" w:bidi="he-IL"/>
              </w:rPr>
            </w:pPr>
            <w:r w:rsidRPr="006454A3">
              <w:rPr>
                <w:sz w:val="20"/>
                <w:lang w:val="en-US" w:bidi="he-IL"/>
              </w:rPr>
              <w:t>Set of integers</w:t>
            </w:r>
          </w:p>
        </w:tc>
        <w:tc>
          <w:tcPr>
            <w:tcW w:w="0" w:type="auto"/>
            <w:vAlign w:val="center"/>
            <w:hideMark/>
          </w:tcPr>
          <w:p w14:paraId="3A4878D9" w14:textId="77777777" w:rsidR="006454A3" w:rsidRPr="006454A3" w:rsidRDefault="006454A3" w:rsidP="006454A3">
            <w:pPr>
              <w:rPr>
                <w:sz w:val="24"/>
                <w:szCs w:val="24"/>
                <w:lang w:val="en-US" w:bidi="he-IL"/>
              </w:rPr>
            </w:pPr>
            <w:r w:rsidRPr="006454A3">
              <w:rPr>
                <w:sz w:val="20"/>
                <w:lang w:val="en-US" w:bidi="he-IL"/>
              </w:rPr>
              <w:t>A value from Table 9-77 (BSS membership selector value encoding)</w:t>
            </w:r>
            <w:r w:rsidRPr="006454A3">
              <w:rPr>
                <w:sz w:val="20"/>
                <w:u w:val="single"/>
                <w:shd w:val="clear" w:color="auto" w:fill="00FFFF"/>
                <w:lang w:val="en-US" w:bidi="he-IL"/>
              </w:rPr>
              <w:t>,</w:t>
            </w:r>
            <w:r w:rsidRPr="006454A3">
              <w:rPr>
                <w:sz w:val="20"/>
                <w:lang w:val="en-US" w:bidi="he-IL"/>
              </w:rPr>
              <w:t xml:space="preserve"> for each member of the set</w:t>
            </w:r>
          </w:p>
        </w:tc>
        <w:tc>
          <w:tcPr>
            <w:tcW w:w="0" w:type="auto"/>
            <w:vAlign w:val="center"/>
            <w:hideMark/>
          </w:tcPr>
          <w:p w14:paraId="0950DE40" w14:textId="77777777" w:rsidR="006454A3" w:rsidRPr="006454A3" w:rsidRDefault="006454A3" w:rsidP="006454A3">
            <w:pPr>
              <w:rPr>
                <w:sz w:val="24"/>
                <w:szCs w:val="24"/>
                <w:lang w:val="en-US" w:bidi="he-IL"/>
              </w:rPr>
            </w:pPr>
            <w:r w:rsidRPr="006454A3">
              <w:rPr>
                <w:strike/>
                <w:sz w:val="20"/>
                <w:lang w:val="en-US" w:bidi="he-IL"/>
              </w:rPr>
              <w:t xml:space="preserve">The BSS membership selectors that represent </w:t>
            </w:r>
            <w:proofErr w:type="spellStart"/>
            <w:r w:rsidRPr="006454A3">
              <w:rPr>
                <w:strike/>
                <w:sz w:val="20"/>
                <w:lang w:val="en-US" w:bidi="he-IL"/>
              </w:rPr>
              <w:t>t</w:t>
            </w:r>
            <w:r w:rsidRPr="006454A3">
              <w:rPr>
                <w:sz w:val="20"/>
                <w:u w:val="single"/>
                <w:lang w:val="en-US" w:bidi="he-IL"/>
              </w:rPr>
              <w:t>T</w:t>
            </w:r>
            <w:r w:rsidRPr="006454A3">
              <w:rPr>
                <w:sz w:val="20"/>
                <w:lang w:val="en-US" w:bidi="he-IL"/>
              </w:rPr>
              <w:t>he</w:t>
            </w:r>
            <w:proofErr w:type="spellEnd"/>
            <w:r w:rsidRPr="006454A3">
              <w:rPr>
                <w:sz w:val="20"/>
                <w:lang w:val="en-US" w:bidi="he-IL"/>
              </w:rPr>
              <w:t xml:space="preserve"> set of features that </w:t>
            </w:r>
            <w:r w:rsidRPr="006454A3">
              <w:rPr>
                <w:sz w:val="20"/>
                <w:u w:val="single"/>
                <w:lang w:val="en-US" w:bidi="he-IL"/>
              </w:rPr>
              <w:t xml:space="preserve">all STAs in the BSS, including the STA that is creating the BSS, are able to use for </w:t>
            </w:r>
            <w:proofErr w:type="spellStart"/>
            <w:r w:rsidRPr="006454A3">
              <w:rPr>
                <w:sz w:val="20"/>
                <w:u w:val="single"/>
                <w:lang w:val="en-US" w:bidi="he-IL"/>
              </w:rPr>
              <w:t>communication</w:t>
            </w:r>
            <w:r w:rsidRPr="006454A3">
              <w:rPr>
                <w:strike/>
                <w:sz w:val="20"/>
                <w:lang w:val="en-US" w:bidi="he-IL"/>
              </w:rPr>
              <w:t>shall</w:t>
            </w:r>
            <w:proofErr w:type="spellEnd"/>
            <w:r w:rsidRPr="006454A3">
              <w:rPr>
                <w:strike/>
                <w:sz w:val="20"/>
                <w:lang w:val="en-US" w:bidi="he-IL"/>
              </w:rPr>
              <w:t xml:space="preserve"> be supported by all STAs to join this BSS</w:t>
            </w:r>
            <w:r w:rsidRPr="006454A3">
              <w:rPr>
                <w:sz w:val="20"/>
                <w:lang w:val="en-US" w:bidi="he-IL"/>
              </w:rPr>
              <w:t xml:space="preserve">. </w:t>
            </w:r>
            <w:r w:rsidRPr="006454A3">
              <w:rPr>
                <w:strike/>
                <w:sz w:val="20"/>
                <w:lang w:val="en-US" w:bidi="he-IL"/>
              </w:rPr>
              <w:t>The STA that is creating the BSS shall be able to support each of the features represented by the set.</w:t>
            </w:r>
          </w:p>
        </w:tc>
      </w:tr>
    </w:tbl>
    <w:p w14:paraId="652C5D90"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p w14:paraId="720E4AEE"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At 202.36 after “As defined in 9.4.2.56 (HT Capabilities element)” add “; HT-</w:t>
      </w:r>
      <w:proofErr w:type="spellStart"/>
      <w:r w:rsidRPr="006454A3">
        <w:rPr>
          <w:rFonts w:ascii="Calibri" w:hAnsi="Calibri" w:cs="Courier New"/>
          <w:szCs w:val="22"/>
          <w:lang w:val="en-US" w:bidi="he-IL"/>
        </w:rPr>
        <w:t>MCSes</w:t>
      </w:r>
      <w:proofErr w:type="spellEnd"/>
      <w:r w:rsidRPr="006454A3">
        <w:rPr>
          <w:rFonts w:ascii="Calibri" w:hAnsi="Calibri" w:cs="Courier New"/>
          <w:szCs w:val="22"/>
          <w:lang w:val="en-US" w:bidi="he-IL"/>
        </w:rPr>
        <w:t xml:space="preserve"> in the element are present in dot11SupportedMCSRxTable and the highest supported data rate in the element does not exceed dot11HighestSupportedDataRate” in the same cell.</w:t>
      </w:r>
    </w:p>
    <w:p w14:paraId="295D82B3"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036BD8A2"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At 202.42 after “As defined in 9.4.2.57 (HT Operation element)” add “; HT-</w:t>
      </w:r>
      <w:proofErr w:type="spellStart"/>
      <w:r w:rsidRPr="006454A3">
        <w:rPr>
          <w:rFonts w:ascii="Calibri" w:hAnsi="Calibri" w:cs="Courier New"/>
          <w:szCs w:val="22"/>
          <w:lang w:val="en-US" w:bidi="he-IL"/>
        </w:rPr>
        <w:t>MCSes</w:t>
      </w:r>
      <w:proofErr w:type="spellEnd"/>
      <w:r w:rsidRPr="006454A3">
        <w:rPr>
          <w:rFonts w:ascii="Calibri" w:hAnsi="Calibri" w:cs="Courier New"/>
          <w:szCs w:val="22"/>
          <w:lang w:val="en-US" w:bidi="he-IL"/>
        </w:rPr>
        <w:t xml:space="preserve"> in the element are present in both dot11SupportedMCSRxTable and dot11SupportedMCSTxTable” in the same cell.</w:t>
      </w:r>
    </w:p>
    <w:p w14:paraId="5B627CE4"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6C5E1FF3"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At 204.21 after “As defined in 9.4.2.158 (VHT Capabilities element)” add “; VT-</w:t>
      </w:r>
      <w:proofErr w:type="spellStart"/>
      <w:r w:rsidRPr="006454A3">
        <w:rPr>
          <w:rFonts w:ascii="Calibri" w:hAnsi="Calibri" w:cs="Courier New"/>
          <w:szCs w:val="22"/>
          <w:lang w:val="en-US" w:bidi="he-IL"/>
        </w:rPr>
        <w:t>MCSes</w:t>
      </w:r>
      <w:proofErr w:type="spellEnd"/>
      <w:r w:rsidRPr="006454A3">
        <w:rPr>
          <w:rFonts w:ascii="Calibri" w:hAnsi="Calibri" w:cs="Courier New"/>
          <w:szCs w:val="22"/>
          <w:lang w:val="en-US" w:bidi="he-IL"/>
        </w:rPr>
        <w:t xml:space="preserve"> in the element are present in dot11VHTRxVHTMCSMap and the highest supported data rate in the element does not exceed dot11VHTRxHighestDataRateSupported” in the same cell.</w:t>
      </w:r>
    </w:p>
    <w:p w14:paraId="71FCA768"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04AF43D6"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At 202.42 after “As defined in 9.4.2.57 (HT Operation element)” add “; VT-</w:t>
      </w:r>
      <w:proofErr w:type="spellStart"/>
      <w:r w:rsidRPr="006454A3">
        <w:rPr>
          <w:rFonts w:ascii="Calibri" w:hAnsi="Calibri" w:cs="Courier New"/>
          <w:szCs w:val="22"/>
          <w:lang w:val="en-US" w:bidi="he-IL"/>
        </w:rPr>
        <w:t>MCSes</w:t>
      </w:r>
      <w:proofErr w:type="spellEnd"/>
      <w:r w:rsidRPr="006454A3">
        <w:rPr>
          <w:rFonts w:ascii="Calibri" w:hAnsi="Calibri" w:cs="Courier New"/>
          <w:szCs w:val="22"/>
          <w:lang w:val="en-US" w:bidi="he-IL"/>
        </w:rPr>
        <w:t xml:space="preserve"> in the element are present in both dot11VHTRxVHTMCSMap and dot11VHTTxVHTMCSMap” in the same cell.</w:t>
      </w:r>
    </w:p>
    <w:p w14:paraId="52CA1061"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2CE33673"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Change the row at row at 246.60 (</w:t>
      </w:r>
      <w:proofErr w:type="spellStart"/>
      <w:r w:rsidRPr="006454A3">
        <w:rPr>
          <w:rFonts w:ascii="Calibri" w:hAnsi="Calibri" w:cs="Courier New"/>
          <w:szCs w:val="22"/>
          <w:lang w:val="en-US" w:bidi="he-IL"/>
        </w:rPr>
        <w:t>DLS.cfm</w:t>
      </w:r>
      <w:proofErr w:type="spellEnd"/>
      <w:r w:rsidRPr="006454A3">
        <w:rPr>
          <w:rFonts w:ascii="Calibri" w:hAnsi="Calibri" w:cs="Courier New"/>
          <w:szCs w:val="22"/>
          <w:lang w:val="en-US" w:bidi="he-IL"/>
        </w:rPr>
        <w:t>) and 247.58 (</w:t>
      </w:r>
      <w:proofErr w:type="spellStart"/>
      <w:r w:rsidRPr="006454A3">
        <w:rPr>
          <w:rFonts w:ascii="Calibri" w:hAnsi="Calibri" w:cs="Courier New"/>
          <w:szCs w:val="22"/>
          <w:lang w:val="en-US" w:bidi="he-IL"/>
        </w:rPr>
        <w:t>DLS.ind</w:t>
      </w:r>
      <w:proofErr w:type="spellEnd"/>
      <w:r w:rsidRPr="006454A3">
        <w:rPr>
          <w:rFonts w:ascii="Calibri" w:hAnsi="Calibri" w:cs="Courier New"/>
          <w:szCs w:val="22"/>
          <w:lang w:val="en-US" w:bidi="he-IL"/>
        </w:rPr>
        <w:t>) as follows:</w:t>
      </w:r>
    </w:p>
    <w:p w14:paraId="23ACB21F"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tbl>
      <w:tblPr>
        <w:tblW w:w="9747" w:type="dxa"/>
        <w:tblCellSpacing w:w="15" w:type="dxa"/>
        <w:tblCellMar>
          <w:top w:w="15" w:type="dxa"/>
          <w:left w:w="15" w:type="dxa"/>
          <w:bottom w:w="15" w:type="dxa"/>
          <w:right w:w="15" w:type="dxa"/>
        </w:tblCellMar>
        <w:tblLook w:val="04A0" w:firstRow="1" w:lastRow="0" w:firstColumn="1" w:lastColumn="0" w:noHBand="0" w:noVBand="1"/>
      </w:tblPr>
      <w:tblGrid>
        <w:gridCol w:w="2908"/>
        <w:gridCol w:w="782"/>
        <w:gridCol w:w="1767"/>
        <w:gridCol w:w="4290"/>
      </w:tblGrid>
      <w:tr w:rsidR="006454A3" w:rsidRPr="006454A3" w14:paraId="1517EF97" w14:textId="77777777" w:rsidTr="006454A3">
        <w:trPr>
          <w:tblCellSpacing w:w="15" w:type="dxa"/>
        </w:trPr>
        <w:tc>
          <w:tcPr>
            <w:tcW w:w="0" w:type="auto"/>
            <w:vAlign w:val="center"/>
            <w:hideMark/>
          </w:tcPr>
          <w:p w14:paraId="333A08A8" w14:textId="77777777" w:rsidR="006454A3" w:rsidRPr="006454A3" w:rsidRDefault="006454A3" w:rsidP="006454A3">
            <w:pPr>
              <w:rPr>
                <w:sz w:val="24"/>
                <w:szCs w:val="24"/>
                <w:lang w:val="en-US" w:bidi="he-IL"/>
              </w:rPr>
            </w:pPr>
            <w:proofErr w:type="spellStart"/>
            <w:r w:rsidRPr="006454A3">
              <w:rPr>
                <w:strike/>
                <w:sz w:val="20"/>
                <w:lang w:val="en-US" w:bidi="he-IL"/>
              </w:rPr>
              <w:t>SupportedRates</w:t>
            </w:r>
            <w:r w:rsidRPr="006454A3">
              <w:rPr>
                <w:sz w:val="20"/>
                <w:u w:val="single"/>
                <w:lang w:val="en-US" w:bidi="he-IL"/>
              </w:rPr>
              <w:t>OperationalRateSet</w:t>
            </w:r>
            <w:proofErr w:type="spellEnd"/>
          </w:p>
        </w:tc>
        <w:tc>
          <w:tcPr>
            <w:tcW w:w="0" w:type="auto"/>
            <w:vAlign w:val="center"/>
            <w:hideMark/>
          </w:tcPr>
          <w:p w14:paraId="546AF41D" w14:textId="77777777" w:rsidR="006454A3" w:rsidRPr="006454A3" w:rsidRDefault="006454A3" w:rsidP="006454A3">
            <w:pPr>
              <w:rPr>
                <w:sz w:val="24"/>
                <w:szCs w:val="24"/>
                <w:lang w:val="en-US" w:bidi="he-IL"/>
              </w:rPr>
            </w:pPr>
            <w:r w:rsidRPr="006454A3">
              <w:rPr>
                <w:sz w:val="20"/>
                <w:lang w:val="en-US" w:bidi="he-IL"/>
              </w:rPr>
              <w:t>Set of integers</w:t>
            </w:r>
          </w:p>
        </w:tc>
        <w:tc>
          <w:tcPr>
            <w:tcW w:w="0" w:type="auto"/>
            <w:vAlign w:val="center"/>
            <w:hideMark/>
          </w:tcPr>
          <w:p w14:paraId="2623E9A2" w14:textId="77777777" w:rsidR="006454A3" w:rsidRPr="006454A3" w:rsidRDefault="006454A3" w:rsidP="006454A3">
            <w:pPr>
              <w:rPr>
                <w:sz w:val="20"/>
                <w:lang w:val="en-US" w:bidi="he-IL"/>
              </w:rPr>
            </w:pPr>
            <w:r w:rsidRPr="006454A3">
              <w:rPr>
                <w:sz w:val="20"/>
                <w:u w:val="single"/>
                <w:lang w:val="en-US" w:bidi="he-IL"/>
              </w:rPr>
              <w:t xml:space="preserve">Non-DMG BSS: </w:t>
            </w:r>
            <w:r w:rsidRPr="006454A3">
              <w:rPr>
                <w:sz w:val="20"/>
                <w:lang w:val="en-US" w:bidi="he-IL"/>
              </w:rPr>
              <w:t>1–</w:t>
            </w:r>
            <w:r w:rsidRPr="006454A3">
              <w:rPr>
                <w:strike/>
                <w:sz w:val="20"/>
                <w:lang w:val="en-US" w:bidi="he-IL"/>
              </w:rPr>
              <w:t>127</w:t>
            </w:r>
            <w:r w:rsidRPr="006454A3">
              <w:rPr>
                <w:sz w:val="20"/>
                <w:u w:val="single"/>
                <w:lang w:val="en-US" w:bidi="he-IL"/>
              </w:rPr>
              <w:t>108</w:t>
            </w:r>
            <w:r w:rsidRPr="006454A3">
              <w:rPr>
                <w:sz w:val="20"/>
                <w:lang w:val="en-US" w:bidi="he-IL"/>
              </w:rPr>
              <w:t xml:space="preserve"> </w:t>
            </w:r>
            <w:r w:rsidRPr="006454A3">
              <w:rPr>
                <w:strike/>
                <w:sz w:val="20"/>
                <w:lang w:val="en-US" w:bidi="he-IL"/>
              </w:rPr>
              <w:t>inclusive (</w:t>
            </w:r>
            <w:r w:rsidRPr="006454A3">
              <w:rPr>
                <w:sz w:val="20"/>
                <w:u w:val="single"/>
                <w:lang w:val="en-US" w:bidi="he-IL"/>
              </w:rPr>
              <w:t xml:space="preserve">, </w:t>
            </w:r>
            <w:r w:rsidRPr="006454A3">
              <w:rPr>
                <w:sz w:val="20"/>
                <w:lang w:val="en-US" w:bidi="he-IL"/>
              </w:rPr>
              <w:t xml:space="preserve">for each </w:t>
            </w:r>
            <w:r w:rsidRPr="006454A3">
              <w:rPr>
                <w:strike/>
                <w:sz w:val="20"/>
                <w:lang w:val="en-US" w:bidi="he-IL"/>
              </w:rPr>
              <w:t xml:space="preserve">integer </w:t>
            </w:r>
            <w:proofErr w:type="spellStart"/>
            <w:r w:rsidRPr="006454A3">
              <w:rPr>
                <w:strike/>
                <w:sz w:val="20"/>
                <w:lang w:val="en-US" w:bidi="he-IL"/>
              </w:rPr>
              <w:t>in</w:t>
            </w:r>
            <w:r w:rsidRPr="006454A3">
              <w:rPr>
                <w:sz w:val="20"/>
                <w:u w:val="single"/>
                <w:lang w:val="en-US" w:bidi="he-IL"/>
              </w:rPr>
              <w:t>member</w:t>
            </w:r>
            <w:proofErr w:type="spellEnd"/>
            <w:r w:rsidRPr="006454A3">
              <w:rPr>
                <w:sz w:val="20"/>
                <w:u w:val="single"/>
                <w:lang w:val="en-US" w:bidi="he-IL"/>
              </w:rPr>
              <w:t xml:space="preserve"> of</w:t>
            </w:r>
            <w:r w:rsidRPr="006454A3">
              <w:rPr>
                <w:sz w:val="20"/>
                <w:lang w:val="en-US" w:bidi="he-IL"/>
              </w:rPr>
              <w:t xml:space="preserve"> the set</w:t>
            </w:r>
            <w:r w:rsidRPr="006454A3">
              <w:rPr>
                <w:strike/>
                <w:sz w:val="20"/>
                <w:lang w:val="en-US" w:bidi="he-IL"/>
              </w:rPr>
              <w:t>)</w:t>
            </w:r>
            <w:r w:rsidRPr="006454A3">
              <w:rPr>
                <w:sz w:val="20"/>
                <w:lang w:val="en-US" w:bidi="he-IL"/>
              </w:rPr>
              <w:t xml:space="preserve"> </w:t>
            </w:r>
          </w:p>
          <w:p w14:paraId="4AC6B14F" w14:textId="77777777" w:rsidR="006454A3" w:rsidRPr="006454A3" w:rsidRDefault="006454A3" w:rsidP="006454A3">
            <w:pPr>
              <w:rPr>
                <w:sz w:val="20"/>
                <w:lang w:val="en-US" w:bidi="he-IL"/>
              </w:rPr>
            </w:pPr>
            <w:r w:rsidRPr="006454A3">
              <w:rPr>
                <w:sz w:val="20"/>
                <w:lang w:val="en-US" w:bidi="he-IL"/>
              </w:rPr>
              <w:t> </w:t>
            </w:r>
          </w:p>
        </w:tc>
        <w:tc>
          <w:tcPr>
            <w:tcW w:w="0" w:type="auto"/>
            <w:vAlign w:val="center"/>
            <w:hideMark/>
          </w:tcPr>
          <w:p w14:paraId="438D0C26" w14:textId="77777777" w:rsidR="006454A3" w:rsidRPr="006454A3" w:rsidRDefault="006454A3" w:rsidP="006454A3">
            <w:pPr>
              <w:rPr>
                <w:sz w:val="24"/>
                <w:szCs w:val="24"/>
                <w:lang w:val="en-US" w:bidi="he-IL"/>
              </w:rPr>
            </w:pPr>
            <w:r w:rsidRPr="006454A3">
              <w:rPr>
                <w:sz w:val="20"/>
                <w:u w:val="single"/>
                <w:lang w:val="en-US" w:bidi="he-IL"/>
              </w:rPr>
              <w:t xml:space="preserve">Non-DMG BSS: </w:t>
            </w:r>
            <w:r w:rsidRPr="006454A3">
              <w:rPr>
                <w:sz w:val="20"/>
                <w:lang w:val="en-US" w:bidi="he-IL"/>
              </w:rPr>
              <w:t>The set of data rates</w:t>
            </w:r>
            <w:r w:rsidRPr="006454A3">
              <w:rPr>
                <w:sz w:val="20"/>
                <w:u w:val="single"/>
                <w:lang w:val="en-US" w:bidi="he-IL"/>
              </w:rPr>
              <w:t xml:space="preserve"> (in units of 500 kb/s)</w:t>
            </w:r>
            <w:r w:rsidRPr="006454A3">
              <w:rPr>
                <w:sz w:val="20"/>
                <w:lang w:val="en-US" w:bidi="he-IL"/>
              </w:rPr>
              <w:t xml:space="preserve"> that</w:t>
            </w:r>
            <w:r w:rsidRPr="006454A3">
              <w:rPr>
                <w:strike/>
                <w:sz w:val="20"/>
                <w:lang w:val="en-US" w:bidi="he-IL"/>
              </w:rPr>
              <w:t xml:space="preserve"> are supported by the peer MAC entity</w:t>
            </w:r>
            <w:r w:rsidRPr="006454A3">
              <w:rPr>
                <w:sz w:val="20"/>
                <w:u w:val="single"/>
                <w:lang w:val="en-US" w:bidi="he-IL"/>
              </w:rPr>
              <w:t xml:space="preserve"> the peer STA is able to use for direct link communication. The peer STA is able to receive at each of the data rates listed in the set.</w:t>
            </w:r>
          </w:p>
        </w:tc>
      </w:tr>
    </w:tbl>
    <w:p w14:paraId="524F28E7"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p w14:paraId="41E116D6"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Change the row at row at 249.3 (</w:t>
      </w:r>
      <w:proofErr w:type="spellStart"/>
      <w:r w:rsidRPr="006454A3">
        <w:rPr>
          <w:rFonts w:ascii="Calibri" w:hAnsi="Calibri" w:cs="Courier New"/>
          <w:szCs w:val="22"/>
          <w:lang w:val="en-US" w:bidi="he-IL"/>
        </w:rPr>
        <w:t>DLS.rsp</w:t>
      </w:r>
      <w:proofErr w:type="spellEnd"/>
      <w:r w:rsidRPr="006454A3">
        <w:rPr>
          <w:rFonts w:ascii="Calibri" w:hAnsi="Calibri" w:cs="Courier New"/>
          <w:szCs w:val="22"/>
          <w:lang w:val="en-US" w:bidi="he-IL"/>
        </w:rPr>
        <w:t>):</w:t>
      </w:r>
    </w:p>
    <w:p w14:paraId="7335DF50"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tbl>
      <w:tblPr>
        <w:tblW w:w="9747" w:type="dxa"/>
        <w:tblCellSpacing w:w="15" w:type="dxa"/>
        <w:tblCellMar>
          <w:top w:w="15" w:type="dxa"/>
          <w:left w:w="15" w:type="dxa"/>
          <w:bottom w:w="15" w:type="dxa"/>
          <w:right w:w="15" w:type="dxa"/>
        </w:tblCellMar>
        <w:tblLook w:val="04A0" w:firstRow="1" w:lastRow="0" w:firstColumn="1" w:lastColumn="0" w:noHBand="0" w:noVBand="1"/>
      </w:tblPr>
      <w:tblGrid>
        <w:gridCol w:w="2908"/>
        <w:gridCol w:w="732"/>
        <w:gridCol w:w="3522"/>
        <w:gridCol w:w="2585"/>
      </w:tblGrid>
      <w:tr w:rsidR="006454A3" w:rsidRPr="006454A3" w14:paraId="7C1B3A34" w14:textId="77777777" w:rsidTr="006454A3">
        <w:trPr>
          <w:tblCellSpacing w:w="15" w:type="dxa"/>
        </w:trPr>
        <w:tc>
          <w:tcPr>
            <w:tcW w:w="0" w:type="auto"/>
            <w:vAlign w:val="center"/>
            <w:hideMark/>
          </w:tcPr>
          <w:p w14:paraId="74C4FC84" w14:textId="77777777" w:rsidR="006454A3" w:rsidRPr="006454A3" w:rsidRDefault="006454A3" w:rsidP="006454A3">
            <w:pPr>
              <w:rPr>
                <w:sz w:val="24"/>
                <w:szCs w:val="24"/>
                <w:lang w:val="en-US" w:bidi="he-IL"/>
              </w:rPr>
            </w:pPr>
            <w:proofErr w:type="spellStart"/>
            <w:r w:rsidRPr="006454A3">
              <w:rPr>
                <w:strike/>
                <w:sz w:val="20"/>
                <w:lang w:val="en-US" w:bidi="he-IL"/>
              </w:rPr>
              <w:t>SupportedRates</w:t>
            </w:r>
            <w:r w:rsidRPr="006454A3">
              <w:rPr>
                <w:sz w:val="20"/>
                <w:u w:val="single"/>
                <w:lang w:val="en-US" w:bidi="he-IL"/>
              </w:rPr>
              <w:t>OperationalRateSet</w:t>
            </w:r>
            <w:proofErr w:type="spellEnd"/>
          </w:p>
        </w:tc>
        <w:tc>
          <w:tcPr>
            <w:tcW w:w="0" w:type="auto"/>
            <w:vAlign w:val="center"/>
            <w:hideMark/>
          </w:tcPr>
          <w:p w14:paraId="441848EB" w14:textId="77777777" w:rsidR="006454A3" w:rsidRPr="006454A3" w:rsidRDefault="006454A3" w:rsidP="006454A3">
            <w:pPr>
              <w:rPr>
                <w:sz w:val="24"/>
                <w:szCs w:val="24"/>
                <w:lang w:val="en-US" w:bidi="he-IL"/>
              </w:rPr>
            </w:pPr>
            <w:r w:rsidRPr="006454A3">
              <w:rPr>
                <w:sz w:val="20"/>
                <w:lang w:val="en-US" w:bidi="he-IL"/>
              </w:rPr>
              <w:t>Set of integers</w:t>
            </w:r>
          </w:p>
        </w:tc>
        <w:tc>
          <w:tcPr>
            <w:tcW w:w="0" w:type="auto"/>
            <w:vAlign w:val="center"/>
            <w:hideMark/>
          </w:tcPr>
          <w:p w14:paraId="72B227AD" w14:textId="77777777" w:rsidR="006454A3" w:rsidRPr="006454A3" w:rsidRDefault="006454A3" w:rsidP="006454A3">
            <w:pPr>
              <w:rPr>
                <w:sz w:val="20"/>
                <w:lang w:val="en-US" w:bidi="he-IL"/>
              </w:rPr>
            </w:pPr>
            <w:r w:rsidRPr="006454A3">
              <w:rPr>
                <w:sz w:val="20"/>
                <w:u w:val="single"/>
                <w:lang w:val="en-US" w:bidi="he-IL"/>
              </w:rPr>
              <w:t>Non-DMG BSS: a value in dot11SupportedDataRatesRxTable</w:t>
            </w:r>
            <w:r w:rsidRPr="006454A3">
              <w:rPr>
                <w:strike/>
                <w:sz w:val="20"/>
                <w:lang w:val="en-US" w:bidi="he-IL"/>
              </w:rPr>
              <w:t>1–127 inclusive (</w:t>
            </w:r>
            <w:r w:rsidRPr="006454A3">
              <w:rPr>
                <w:sz w:val="20"/>
                <w:u w:val="single"/>
                <w:lang w:val="en-US" w:bidi="he-IL"/>
              </w:rPr>
              <w:t xml:space="preserve">, </w:t>
            </w:r>
            <w:r w:rsidRPr="006454A3">
              <w:rPr>
                <w:sz w:val="20"/>
                <w:lang w:val="en-US" w:bidi="he-IL"/>
              </w:rPr>
              <w:t xml:space="preserve">for each </w:t>
            </w:r>
            <w:r w:rsidRPr="006454A3">
              <w:rPr>
                <w:strike/>
                <w:sz w:val="20"/>
                <w:lang w:val="en-US" w:bidi="he-IL"/>
              </w:rPr>
              <w:t xml:space="preserve">integer </w:t>
            </w:r>
            <w:proofErr w:type="spellStart"/>
            <w:r w:rsidRPr="006454A3">
              <w:rPr>
                <w:strike/>
                <w:sz w:val="20"/>
                <w:lang w:val="en-US" w:bidi="he-IL"/>
              </w:rPr>
              <w:t>in</w:t>
            </w:r>
            <w:r w:rsidRPr="006454A3">
              <w:rPr>
                <w:sz w:val="20"/>
                <w:u w:val="single"/>
                <w:lang w:val="en-US" w:bidi="he-IL"/>
              </w:rPr>
              <w:t>member</w:t>
            </w:r>
            <w:proofErr w:type="spellEnd"/>
            <w:r w:rsidRPr="006454A3">
              <w:rPr>
                <w:sz w:val="20"/>
                <w:u w:val="single"/>
                <w:lang w:val="en-US" w:bidi="he-IL"/>
              </w:rPr>
              <w:t xml:space="preserve"> of</w:t>
            </w:r>
            <w:r w:rsidRPr="006454A3">
              <w:rPr>
                <w:sz w:val="20"/>
                <w:lang w:val="en-US" w:bidi="he-IL"/>
              </w:rPr>
              <w:t xml:space="preserve"> the set</w:t>
            </w:r>
            <w:r w:rsidRPr="006454A3">
              <w:rPr>
                <w:strike/>
                <w:sz w:val="20"/>
                <w:lang w:val="en-US" w:bidi="he-IL"/>
              </w:rPr>
              <w:t>)</w:t>
            </w:r>
            <w:r w:rsidRPr="006454A3">
              <w:rPr>
                <w:sz w:val="20"/>
                <w:lang w:val="en-US" w:bidi="he-IL"/>
              </w:rPr>
              <w:t xml:space="preserve"> </w:t>
            </w:r>
          </w:p>
          <w:p w14:paraId="37A8FC8D" w14:textId="77777777" w:rsidR="006454A3" w:rsidRPr="006454A3" w:rsidRDefault="006454A3" w:rsidP="006454A3">
            <w:pPr>
              <w:rPr>
                <w:sz w:val="20"/>
                <w:lang w:val="en-US" w:bidi="he-IL"/>
              </w:rPr>
            </w:pPr>
            <w:r w:rsidRPr="006454A3">
              <w:rPr>
                <w:sz w:val="20"/>
                <w:lang w:val="en-US" w:bidi="he-IL"/>
              </w:rPr>
              <w:t> </w:t>
            </w:r>
          </w:p>
        </w:tc>
        <w:tc>
          <w:tcPr>
            <w:tcW w:w="0" w:type="auto"/>
            <w:vAlign w:val="center"/>
            <w:hideMark/>
          </w:tcPr>
          <w:p w14:paraId="68ED8BDB" w14:textId="77777777" w:rsidR="006454A3" w:rsidRPr="006454A3" w:rsidRDefault="006454A3" w:rsidP="006454A3">
            <w:pPr>
              <w:rPr>
                <w:sz w:val="24"/>
                <w:szCs w:val="24"/>
                <w:lang w:val="en-US" w:bidi="he-IL"/>
              </w:rPr>
            </w:pPr>
            <w:r w:rsidRPr="006454A3">
              <w:rPr>
                <w:sz w:val="20"/>
                <w:u w:val="single"/>
                <w:lang w:val="en-US" w:bidi="he-IL"/>
              </w:rPr>
              <w:t xml:space="preserve">Non-DMG BSS: </w:t>
            </w:r>
            <w:r w:rsidRPr="006454A3">
              <w:rPr>
                <w:sz w:val="20"/>
                <w:lang w:val="en-US" w:bidi="he-IL"/>
              </w:rPr>
              <w:t>The set of data rates</w:t>
            </w:r>
            <w:r w:rsidRPr="006454A3">
              <w:rPr>
                <w:sz w:val="20"/>
                <w:u w:val="single"/>
                <w:lang w:val="en-US" w:bidi="he-IL"/>
              </w:rPr>
              <w:t xml:space="preserve"> (in units of 500 kb/s)</w:t>
            </w:r>
            <w:r w:rsidRPr="006454A3">
              <w:rPr>
                <w:sz w:val="20"/>
                <w:lang w:val="en-US" w:bidi="he-IL"/>
              </w:rPr>
              <w:t xml:space="preserve"> that</w:t>
            </w:r>
            <w:r w:rsidRPr="006454A3">
              <w:rPr>
                <w:strike/>
                <w:sz w:val="20"/>
                <w:lang w:val="en-US" w:bidi="he-IL"/>
              </w:rPr>
              <w:t xml:space="preserve"> are supported by the local MAC entity</w:t>
            </w:r>
            <w:r w:rsidRPr="006454A3">
              <w:rPr>
                <w:sz w:val="20"/>
                <w:u w:val="single"/>
                <w:lang w:val="en-US" w:bidi="he-IL"/>
              </w:rPr>
              <w:t xml:space="preserve"> the STA is able to use for direct link communication. The STA is able to receive at each of the data rates listed in the set.</w:t>
            </w:r>
          </w:p>
        </w:tc>
      </w:tr>
    </w:tbl>
    <w:p w14:paraId="3B94E170"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p w14:paraId="59996BF7"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Change “</w:t>
      </w:r>
      <w:proofErr w:type="spellStart"/>
      <w:r w:rsidRPr="006454A3">
        <w:rPr>
          <w:rFonts w:ascii="Calibri" w:hAnsi="Calibri" w:cs="Courier New"/>
          <w:szCs w:val="22"/>
          <w:lang w:val="en-US" w:bidi="he-IL"/>
        </w:rPr>
        <w:t>SupportedRates</w:t>
      </w:r>
      <w:proofErr w:type="spellEnd"/>
      <w:r w:rsidRPr="006454A3">
        <w:rPr>
          <w:rFonts w:ascii="Calibri" w:hAnsi="Calibri" w:cs="Courier New"/>
          <w:szCs w:val="22"/>
          <w:lang w:val="en-US" w:bidi="he-IL"/>
        </w:rPr>
        <w:t>” to “</w:t>
      </w:r>
      <w:proofErr w:type="spellStart"/>
      <w:r w:rsidRPr="006454A3">
        <w:rPr>
          <w:rFonts w:ascii="Calibri" w:hAnsi="Calibri" w:cs="Courier New"/>
          <w:szCs w:val="22"/>
          <w:lang w:val="en-US" w:bidi="he-IL"/>
        </w:rPr>
        <w:t>OperationalRateSet</w:t>
      </w:r>
      <w:proofErr w:type="spellEnd"/>
      <w:r w:rsidRPr="006454A3">
        <w:rPr>
          <w:rFonts w:ascii="Calibri" w:hAnsi="Calibri" w:cs="Courier New"/>
          <w:szCs w:val="22"/>
          <w:lang w:val="en-US" w:bidi="he-IL"/>
        </w:rPr>
        <w:t>” at 246.34, 247.39, 248.41.</w:t>
      </w:r>
    </w:p>
    <w:p w14:paraId="6DCFBA3F"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5528E2B8"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Change the first para of 11.1.7 Supported rates and extended supported rates advertisement as follows:</w:t>
      </w:r>
    </w:p>
    <w:p w14:paraId="1C8E92F9"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24A9240A"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xml:space="preserve">        A STA shall include rates from its </w:t>
      </w:r>
      <w:proofErr w:type="spellStart"/>
      <w:r w:rsidRPr="006454A3">
        <w:rPr>
          <w:rFonts w:ascii="Calibri" w:hAnsi="Calibri" w:cs="Courier New"/>
          <w:szCs w:val="22"/>
          <w:lang w:val="en-US" w:bidi="he-IL"/>
        </w:rPr>
        <w:t>OperationalRateSet</w:t>
      </w:r>
      <w:proofErr w:type="spellEnd"/>
      <w:r w:rsidRPr="006454A3">
        <w:rPr>
          <w:rFonts w:ascii="Calibri" w:hAnsi="Calibri" w:cs="Courier New"/>
          <w:szCs w:val="22"/>
          <w:lang w:val="en-US" w:bidi="he-IL"/>
        </w:rPr>
        <w:t xml:space="preserve"> parameter and BSS membership selectors from its</w:t>
      </w:r>
    </w:p>
    <w:p w14:paraId="07D85559" w14:textId="77777777" w:rsidR="006454A3" w:rsidRPr="006454A3" w:rsidRDefault="006454A3" w:rsidP="006454A3">
      <w:pPr>
        <w:rPr>
          <w:rFonts w:ascii="Courier New" w:hAnsi="Courier New" w:cs="Courier New"/>
          <w:szCs w:val="22"/>
          <w:lang w:val="en-US" w:bidi="he-IL"/>
        </w:rPr>
      </w:pPr>
      <w:proofErr w:type="spellStart"/>
      <w:r w:rsidRPr="006454A3">
        <w:rPr>
          <w:rFonts w:ascii="Calibri" w:hAnsi="Calibri" w:cs="Courier New"/>
          <w:szCs w:val="22"/>
          <w:lang w:val="en-US" w:bidi="he-IL"/>
        </w:rPr>
        <w:lastRenderedPageBreak/>
        <w:t>BSSMembershipSelectorSet</w:t>
      </w:r>
      <w:proofErr w:type="spellEnd"/>
      <w:r w:rsidRPr="006454A3">
        <w:rPr>
          <w:rFonts w:ascii="Calibri" w:hAnsi="Calibri" w:cs="Courier New"/>
          <w:szCs w:val="22"/>
          <w:lang w:val="en-US" w:bidi="he-IL"/>
        </w:rPr>
        <w:t xml:space="preserve"> parameter in frames it transmits containing Supported Rates and BSS Membership Selectors elements and Extended Supported Rates and BSS Membership Selectors elements</w:t>
      </w:r>
    </w:p>
    <w:p w14:paraId="114EF646" w14:textId="77777777" w:rsidR="006454A3" w:rsidRPr="006454A3" w:rsidRDefault="006454A3" w:rsidP="006454A3">
      <w:pPr>
        <w:ind w:firstLine="720"/>
        <w:rPr>
          <w:rFonts w:ascii="Courier New" w:hAnsi="Courier New" w:cs="Courier New"/>
          <w:szCs w:val="22"/>
          <w:lang w:val="en-US" w:bidi="he-IL"/>
        </w:rPr>
      </w:pPr>
      <w:proofErr w:type="gramStart"/>
      <w:r w:rsidRPr="006454A3">
        <w:rPr>
          <w:rFonts w:ascii="Calibri" w:hAnsi="Calibri" w:cs="Courier New"/>
          <w:szCs w:val="22"/>
          <w:lang w:val="en-US" w:bidi="he-IL"/>
        </w:rPr>
        <w:t>according</w:t>
      </w:r>
      <w:proofErr w:type="gramEnd"/>
      <w:r w:rsidRPr="006454A3">
        <w:rPr>
          <w:rFonts w:ascii="Calibri" w:hAnsi="Calibri" w:cs="Courier New"/>
          <w:szCs w:val="22"/>
          <w:lang w:val="en-US" w:bidi="he-IL"/>
        </w:rPr>
        <w:t xml:space="preserve"> to the rules described in this </w:t>
      </w:r>
      <w:proofErr w:type="spellStart"/>
      <w:r w:rsidRPr="006454A3">
        <w:rPr>
          <w:rFonts w:ascii="Calibri" w:hAnsi="Calibri" w:cs="Courier New"/>
          <w:szCs w:val="22"/>
          <w:lang w:val="en-US" w:bidi="he-IL"/>
        </w:rPr>
        <w:t>subclause</w:t>
      </w:r>
      <w:proofErr w:type="spellEnd"/>
      <w:r w:rsidRPr="006454A3">
        <w:rPr>
          <w:rFonts w:ascii="Calibri" w:hAnsi="Calibri" w:cs="Courier New"/>
          <w:szCs w:val="22"/>
          <w:lang w:val="en-US" w:bidi="he-IL"/>
        </w:rPr>
        <w:t>.</w:t>
      </w:r>
    </w:p>
    <w:p w14:paraId="1D4AA516"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p w14:paraId="53AC05AC"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u w:val="single"/>
          <w:lang w:val="en-US" w:bidi="he-IL"/>
        </w:rPr>
        <w:t xml:space="preserve">An HT AP for a BSS with at least one basic HT-MCS shall not, however, require that a STA indicate HT in its </w:t>
      </w:r>
      <w:proofErr w:type="spellStart"/>
      <w:r w:rsidRPr="006454A3">
        <w:rPr>
          <w:rFonts w:ascii="Calibri" w:hAnsi="Calibri" w:cs="Courier New"/>
          <w:szCs w:val="22"/>
          <w:u w:val="single"/>
          <w:lang w:val="en-US" w:bidi="he-IL"/>
        </w:rPr>
        <w:t>BSSMembershipSelectorSet</w:t>
      </w:r>
      <w:proofErr w:type="spellEnd"/>
      <w:r w:rsidRPr="006454A3">
        <w:rPr>
          <w:rFonts w:ascii="Calibri" w:hAnsi="Calibri" w:cs="Courier New"/>
          <w:szCs w:val="22"/>
          <w:u w:val="single"/>
          <w:lang w:val="en-US" w:bidi="he-IL"/>
        </w:rPr>
        <w:t>, as the STA’s HT capabilities are indicated through the presence of an HT Capabilities element, and similarly for VHT.</w:t>
      </w:r>
    </w:p>
    <w:p w14:paraId="096278AC" w14:textId="77777777" w:rsidR="006454A3" w:rsidRPr="006454A3" w:rsidRDefault="006454A3" w:rsidP="006454A3">
      <w:pPr>
        <w:rPr>
          <w:rFonts w:ascii="Courier New" w:hAnsi="Courier New" w:cs="Courier New"/>
          <w:szCs w:val="22"/>
          <w:lang w:val="en-US" w:bidi="he-IL"/>
        </w:rPr>
      </w:pPr>
      <w:r w:rsidRPr="006454A3">
        <w:rPr>
          <w:szCs w:val="22"/>
          <w:lang w:val="en-US" w:bidi="he-IL"/>
        </w:rPr>
        <w:t> </w:t>
      </w:r>
    </w:p>
    <w:p w14:paraId="21BC0227"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In 6.3.3.3.2 make sure that the only thick line within the table is that immediately below the table heading (as repeated on successive pages).  Err, and in other tables too (e.g. the one in 6.3.8.4.2).</w:t>
      </w:r>
    </w:p>
    <w:p w14:paraId="44AB5754"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7C41FE17" w14:textId="77777777" w:rsidR="006454A3" w:rsidRPr="006454A3" w:rsidRDefault="006454A3" w:rsidP="006454A3">
      <w:pPr>
        <w:rPr>
          <w:rFonts w:ascii="Courier New" w:hAnsi="Courier New" w:cs="Courier New"/>
          <w:szCs w:val="22"/>
          <w:lang w:val="en-US" w:bidi="he-IL"/>
        </w:rPr>
      </w:pPr>
      <w:proofErr w:type="gramStart"/>
      <w:r w:rsidRPr="006454A3">
        <w:rPr>
          <w:rFonts w:ascii="Calibri" w:hAnsi="Calibri" w:cs="Courier New"/>
          <w:szCs w:val="22"/>
          <w:lang w:val="en-US" w:bidi="he-IL"/>
        </w:rPr>
        <w:t>At 511.12 and 511.27 change “–1 to 7920 (for each integer in the set)” to “–1 to 7920, for each member of the set”.</w:t>
      </w:r>
      <w:proofErr w:type="gramEnd"/>
    </w:p>
    <w:p w14:paraId="0ABDAAA0" w14:textId="77777777" w:rsidR="006454A3" w:rsidRPr="006454A3" w:rsidRDefault="006454A3" w:rsidP="006454A3">
      <w:pPr>
        <w:rPr>
          <w:rFonts w:ascii="Courier New" w:hAnsi="Courier New" w:cs="Courier New"/>
          <w:szCs w:val="22"/>
          <w:lang w:val="en-US" w:bidi="he-IL"/>
        </w:rPr>
      </w:pPr>
      <w:r w:rsidRPr="006454A3">
        <w:rPr>
          <w:rFonts w:ascii="Calibri" w:hAnsi="Calibri" w:cs="Courier New"/>
          <w:szCs w:val="22"/>
          <w:lang w:val="en-US" w:bidi="he-IL"/>
        </w:rPr>
        <w:t> </w:t>
      </w:r>
    </w:p>
    <w:p w14:paraId="29476FC1" w14:textId="77777777" w:rsidR="006454A3" w:rsidRPr="006454A3" w:rsidRDefault="006454A3" w:rsidP="006454A3">
      <w:pPr>
        <w:rPr>
          <w:rFonts w:ascii="Courier New" w:hAnsi="Courier New" w:cs="Courier New"/>
          <w:szCs w:val="22"/>
          <w:lang w:val="en-US" w:bidi="he-IL"/>
        </w:rPr>
      </w:pPr>
      <w:proofErr w:type="gramStart"/>
      <w:r w:rsidRPr="006454A3">
        <w:rPr>
          <w:rFonts w:ascii="Calibri" w:hAnsi="Calibri" w:cs="Courier New"/>
          <w:szCs w:val="22"/>
          <w:lang w:val="en-US" w:bidi="he-IL"/>
        </w:rPr>
        <w:t>At 2.4 after ““x to y”” add “or “x–y””.</w:t>
      </w:r>
      <w:proofErr w:type="gramEnd"/>
    </w:p>
    <w:p w14:paraId="7D6ADEEB" w14:textId="77777777" w:rsidR="006454A3" w:rsidRPr="006454A3" w:rsidRDefault="006454A3">
      <w:pPr>
        <w:rPr>
          <w:sz w:val="24"/>
          <w:szCs w:val="24"/>
          <w:lang w:val="en-US"/>
        </w:rPr>
      </w:pPr>
    </w:p>
    <w:sectPr w:rsidR="006454A3" w:rsidRPr="006454A3" w:rsidSect="009E579C">
      <w:headerReference w:type="default" r:id="rId15"/>
      <w:footerReference w:type="default" r:id="rId16"/>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602CCE" w:rsidRDefault="00602CCE">
      <w:r>
        <w:separator/>
      </w:r>
    </w:p>
  </w:endnote>
  <w:endnote w:type="continuationSeparator" w:id="0">
    <w:p w14:paraId="739F1800" w14:textId="77777777" w:rsidR="00602CCE" w:rsidRDefault="0060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1587234" w:rsidR="00602CCE" w:rsidRDefault="00C97629" w:rsidP="006B7FA5">
    <w:pPr>
      <w:pStyle w:val="Footer"/>
      <w:tabs>
        <w:tab w:val="clear" w:pos="6480"/>
        <w:tab w:val="center" w:pos="4680"/>
        <w:tab w:val="right" w:pos="9360"/>
      </w:tabs>
    </w:pPr>
    <w:fldSimple w:instr=" SUBJECT  \* MERGEFORMAT ">
      <w:r w:rsidR="00602CCE">
        <w:t>Submission</w:t>
      </w:r>
    </w:fldSimple>
    <w:r w:rsidR="00602CCE">
      <w:tab/>
      <w:t xml:space="preserve">page </w:t>
    </w:r>
    <w:r w:rsidR="00602CCE">
      <w:fldChar w:fldCharType="begin"/>
    </w:r>
    <w:r w:rsidR="00602CCE">
      <w:instrText xml:space="preserve">page </w:instrText>
    </w:r>
    <w:r w:rsidR="00602CCE">
      <w:fldChar w:fldCharType="separate"/>
    </w:r>
    <w:r w:rsidR="006B7FA5">
      <w:rPr>
        <w:noProof/>
      </w:rPr>
      <w:t>1</w:t>
    </w:r>
    <w:r w:rsidR="00602CCE">
      <w:rPr>
        <w:noProof/>
      </w:rPr>
      <w:fldChar w:fldCharType="end"/>
    </w:r>
    <w:r w:rsidR="00602CCE">
      <w:tab/>
    </w:r>
    <w:fldSimple w:instr=" COMMENTS  \* MERGEFORMAT ">
      <w:r w:rsidR="00602CCE">
        <w:t>Graham SMIT</w:t>
      </w:r>
    </w:fldSimple>
    <w:r w:rsidR="00602CCE">
      <w:t>H (</w:t>
    </w:r>
    <w:r w:rsidR="006B7FA5">
      <w:t>SR Technologies</w:t>
    </w:r>
    <w:r w:rsidR="00602CCE">
      <w:t>)</w:t>
    </w:r>
  </w:p>
  <w:p w14:paraId="5B8624E2" w14:textId="77777777" w:rsidR="00602CCE" w:rsidRDefault="00602C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602CCE" w:rsidRDefault="00602CCE">
      <w:r>
        <w:separator/>
      </w:r>
    </w:p>
  </w:footnote>
  <w:footnote w:type="continuationSeparator" w:id="0">
    <w:p w14:paraId="3B63DB7E" w14:textId="77777777" w:rsidR="00602CCE" w:rsidRDefault="00602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3EF4C0DE" w:rsidR="00602CCE" w:rsidRDefault="00C97629" w:rsidP="006B7FA5">
    <w:pPr>
      <w:pStyle w:val="Header"/>
      <w:tabs>
        <w:tab w:val="clear" w:pos="6480"/>
        <w:tab w:val="center" w:pos="4680"/>
        <w:tab w:val="right" w:pos="9360"/>
      </w:tabs>
    </w:pPr>
    <w:fldSimple w:instr=" KEYWORDS  \* MERGEFORMAT ">
      <w:r w:rsidR="00602CCE">
        <w:t>Feb 2016</w:t>
      </w:r>
    </w:fldSimple>
    <w:r w:rsidR="00602CCE">
      <w:tab/>
    </w:r>
    <w:r w:rsidR="00602CCE">
      <w:tab/>
    </w:r>
    <w:fldSimple w:instr=" TITLE  \* MERGEFORMAT ">
      <w:r w:rsidR="00602CCE">
        <w:t>doc.: IEEE 802.11-16/0</w:t>
      </w:r>
      <w:r w:rsidR="006B7FA5">
        <w:t>385</w:t>
      </w:r>
      <w:r w:rsidR="00602CCE">
        <w:t>r</w:t>
      </w:r>
    </w:fldSimple>
    <w:r w:rsidR="006B7FA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889"/>
    <w:multiLevelType w:val="multilevel"/>
    <w:tmpl w:val="B3AE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07310"/>
    <w:multiLevelType w:val="hybridMultilevel"/>
    <w:tmpl w:val="FF30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1A24"/>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375"/>
    <w:rsid w:val="00034B66"/>
    <w:rsid w:val="00034E84"/>
    <w:rsid w:val="000350D6"/>
    <w:rsid w:val="00035626"/>
    <w:rsid w:val="00035DE4"/>
    <w:rsid w:val="000362C7"/>
    <w:rsid w:val="000371E1"/>
    <w:rsid w:val="0003791B"/>
    <w:rsid w:val="00042766"/>
    <w:rsid w:val="0004456E"/>
    <w:rsid w:val="000454AF"/>
    <w:rsid w:val="000460A0"/>
    <w:rsid w:val="00047AB1"/>
    <w:rsid w:val="000507CE"/>
    <w:rsid w:val="00051A8F"/>
    <w:rsid w:val="000520D6"/>
    <w:rsid w:val="0005291C"/>
    <w:rsid w:val="00054337"/>
    <w:rsid w:val="00054806"/>
    <w:rsid w:val="00055560"/>
    <w:rsid w:val="00055862"/>
    <w:rsid w:val="000560E2"/>
    <w:rsid w:val="00056A24"/>
    <w:rsid w:val="00061F9D"/>
    <w:rsid w:val="0006302E"/>
    <w:rsid w:val="000639BC"/>
    <w:rsid w:val="000640AE"/>
    <w:rsid w:val="000660FC"/>
    <w:rsid w:val="00066C64"/>
    <w:rsid w:val="00066DE4"/>
    <w:rsid w:val="0006787A"/>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87F6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4B22"/>
    <w:rsid w:val="000B5131"/>
    <w:rsid w:val="000B535F"/>
    <w:rsid w:val="000B57A8"/>
    <w:rsid w:val="000B5C4C"/>
    <w:rsid w:val="000C181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3BC3"/>
    <w:rsid w:val="000E49FD"/>
    <w:rsid w:val="000E5305"/>
    <w:rsid w:val="000E5AB7"/>
    <w:rsid w:val="000E5E5A"/>
    <w:rsid w:val="000E683D"/>
    <w:rsid w:val="000E68F8"/>
    <w:rsid w:val="000F0F65"/>
    <w:rsid w:val="000F19FF"/>
    <w:rsid w:val="000F2320"/>
    <w:rsid w:val="000F36BE"/>
    <w:rsid w:val="000F430A"/>
    <w:rsid w:val="000F66F3"/>
    <w:rsid w:val="00100127"/>
    <w:rsid w:val="00100FD4"/>
    <w:rsid w:val="00101081"/>
    <w:rsid w:val="00101D3C"/>
    <w:rsid w:val="00101FEA"/>
    <w:rsid w:val="00102A13"/>
    <w:rsid w:val="00102B34"/>
    <w:rsid w:val="00105DF1"/>
    <w:rsid w:val="00105EB4"/>
    <w:rsid w:val="00106140"/>
    <w:rsid w:val="00106D2E"/>
    <w:rsid w:val="001100BE"/>
    <w:rsid w:val="001113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CDB"/>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5D83"/>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95C4A"/>
    <w:rsid w:val="001A0CA3"/>
    <w:rsid w:val="001A0FF2"/>
    <w:rsid w:val="001A1622"/>
    <w:rsid w:val="001A1D16"/>
    <w:rsid w:val="001A6081"/>
    <w:rsid w:val="001A64AD"/>
    <w:rsid w:val="001A6E00"/>
    <w:rsid w:val="001A6F4E"/>
    <w:rsid w:val="001A77B7"/>
    <w:rsid w:val="001B1DA4"/>
    <w:rsid w:val="001B2331"/>
    <w:rsid w:val="001B3AC2"/>
    <w:rsid w:val="001B4046"/>
    <w:rsid w:val="001B4E96"/>
    <w:rsid w:val="001B5214"/>
    <w:rsid w:val="001B521C"/>
    <w:rsid w:val="001B566E"/>
    <w:rsid w:val="001B6CA9"/>
    <w:rsid w:val="001B7760"/>
    <w:rsid w:val="001C12A6"/>
    <w:rsid w:val="001C1344"/>
    <w:rsid w:val="001C16A0"/>
    <w:rsid w:val="001C20A3"/>
    <w:rsid w:val="001C243C"/>
    <w:rsid w:val="001C390E"/>
    <w:rsid w:val="001C43BB"/>
    <w:rsid w:val="001C5044"/>
    <w:rsid w:val="001C6846"/>
    <w:rsid w:val="001D001C"/>
    <w:rsid w:val="001D0C27"/>
    <w:rsid w:val="001D0C6A"/>
    <w:rsid w:val="001D0EE0"/>
    <w:rsid w:val="001D294C"/>
    <w:rsid w:val="001D3EE8"/>
    <w:rsid w:val="001D437D"/>
    <w:rsid w:val="001D49DE"/>
    <w:rsid w:val="001D6635"/>
    <w:rsid w:val="001D66B4"/>
    <w:rsid w:val="001D723B"/>
    <w:rsid w:val="001D7339"/>
    <w:rsid w:val="001E0BDA"/>
    <w:rsid w:val="001E1F3F"/>
    <w:rsid w:val="001E2B50"/>
    <w:rsid w:val="001E3438"/>
    <w:rsid w:val="001E612A"/>
    <w:rsid w:val="001E6443"/>
    <w:rsid w:val="001E6601"/>
    <w:rsid w:val="001E7789"/>
    <w:rsid w:val="001E7D05"/>
    <w:rsid w:val="001F00EA"/>
    <w:rsid w:val="001F010C"/>
    <w:rsid w:val="001F4E9A"/>
    <w:rsid w:val="001F568E"/>
    <w:rsid w:val="001F6660"/>
    <w:rsid w:val="00200717"/>
    <w:rsid w:val="00200D4B"/>
    <w:rsid w:val="0020138A"/>
    <w:rsid w:val="00201D7E"/>
    <w:rsid w:val="0020254A"/>
    <w:rsid w:val="00203697"/>
    <w:rsid w:val="0020599D"/>
    <w:rsid w:val="002065F2"/>
    <w:rsid w:val="00206618"/>
    <w:rsid w:val="00206A9B"/>
    <w:rsid w:val="00206CCC"/>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2E25"/>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1932"/>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4CF2"/>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33B4"/>
    <w:rsid w:val="003563A0"/>
    <w:rsid w:val="003574B6"/>
    <w:rsid w:val="003605D5"/>
    <w:rsid w:val="0036261A"/>
    <w:rsid w:val="003626BC"/>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414E"/>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1680"/>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27F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3CA0"/>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3AB"/>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A27"/>
    <w:rsid w:val="00482476"/>
    <w:rsid w:val="00483A45"/>
    <w:rsid w:val="00483ECF"/>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473B"/>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5682"/>
    <w:rsid w:val="004F76F9"/>
    <w:rsid w:val="004F7908"/>
    <w:rsid w:val="00500859"/>
    <w:rsid w:val="005020F9"/>
    <w:rsid w:val="005049C3"/>
    <w:rsid w:val="0050538E"/>
    <w:rsid w:val="0050594E"/>
    <w:rsid w:val="00507CE8"/>
    <w:rsid w:val="00510099"/>
    <w:rsid w:val="00511C50"/>
    <w:rsid w:val="00512470"/>
    <w:rsid w:val="0051352E"/>
    <w:rsid w:val="0051424C"/>
    <w:rsid w:val="005151E1"/>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2CCE"/>
    <w:rsid w:val="006031A0"/>
    <w:rsid w:val="00603D1B"/>
    <w:rsid w:val="006047E1"/>
    <w:rsid w:val="006049E8"/>
    <w:rsid w:val="00605868"/>
    <w:rsid w:val="00606166"/>
    <w:rsid w:val="00610E62"/>
    <w:rsid w:val="00612A2A"/>
    <w:rsid w:val="00613B83"/>
    <w:rsid w:val="00614370"/>
    <w:rsid w:val="00614AEC"/>
    <w:rsid w:val="00615190"/>
    <w:rsid w:val="00620FBE"/>
    <w:rsid w:val="0062111F"/>
    <w:rsid w:val="006219D8"/>
    <w:rsid w:val="00622013"/>
    <w:rsid w:val="00622A44"/>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54A3"/>
    <w:rsid w:val="00646947"/>
    <w:rsid w:val="00647550"/>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0AC1"/>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85D"/>
    <w:rsid w:val="006A3907"/>
    <w:rsid w:val="006A3F20"/>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B7FA5"/>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3F79"/>
    <w:rsid w:val="006E529B"/>
    <w:rsid w:val="006E539D"/>
    <w:rsid w:val="006E719F"/>
    <w:rsid w:val="006F0F82"/>
    <w:rsid w:val="006F2822"/>
    <w:rsid w:val="006F4BEC"/>
    <w:rsid w:val="006F4E55"/>
    <w:rsid w:val="006F67EE"/>
    <w:rsid w:val="006F77E6"/>
    <w:rsid w:val="00701E0C"/>
    <w:rsid w:val="00701E88"/>
    <w:rsid w:val="0070202C"/>
    <w:rsid w:val="00703002"/>
    <w:rsid w:val="00704B57"/>
    <w:rsid w:val="00705F3C"/>
    <w:rsid w:val="007070B0"/>
    <w:rsid w:val="00710263"/>
    <w:rsid w:val="0071026D"/>
    <w:rsid w:val="0071159D"/>
    <w:rsid w:val="007127E2"/>
    <w:rsid w:val="00712C90"/>
    <w:rsid w:val="00713D0D"/>
    <w:rsid w:val="00714509"/>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4A4"/>
    <w:rsid w:val="00734781"/>
    <w:rsid w:val="00734A22"/>
    <w:rsid w:val="007360E7"/>
    <w:rsid w:val="00737E2B"/>
    <w:rsid w:val="0074016E"/>
    <w:rsid w:val="00740489"/>
    <w:rsid w:val="00743157"/>
    <w:rsid w:val="00743705"/>
    <w:rsid w:val="00743E42"/>
    <w:rsid w:val="00744AA5"/>
    <w:rsid w:val="00745BA0"/>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3C3F"/>
    <w:rsid w:val="007D4B62"/>
    <w:rsid w:val="007D4C55"/>
    <w:rsid w:val="007D58CD"/>
    <w:rsid w:val="007E0074"/>
    <w:rsid w:val="007E1F37"/>
    <w:rsid w:val="007E23E3"/>
    <w:rsid w:val="007E49E3"/>
    <w:rsid w:val="007E7338"/>
    <w:rsid w:val="007E75AC"/>
    <w:rsid w:val="007E75BF"/>
    <w:rsid w:val="007E7E75"/>
    <w:rsid w:val="007F072E"/>
    <w:rsid w:val="007F0830"/>
    <w:rsid w:val="007F0BFE"/>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587"/>
    <w:rsid w:val="00803DDF"/>
    <w:rsid w:val="00805F9F"/>
    <w:rsid w:val="0080643A"/>
    <w:rsid w:val="00806654"/>
    <w:rsid w:val="00811716"/>
    <w:rsid w:val="00811855"/>
    <w:rsid w:val="00812978"/>
    <w:rsid w:val="00813655"/>
    <w:rsid w:val="00814846"/>
    <w:rsid w:val="008150D7"/>
    <w:rsid w:val="00815413"/>
    <w:rsid w:val="00815996"/>
    <w:rsid w:val="00816193"/>
    <w:rsid w:val="00816C42"/>
    <w:rsid w:val="00816F78"/>
    <w:rsid w:val="00820D51"/>
    <w:rsid w:val="008231B1"/>
    <w:rsid w:val="00823789"/>
    <w:rsid w:val="00823F5F"/>
    <w:rsid w:val="00824D1D"/>
    <w:rsid w:val="008250B2"/>
    <w:rsid w:val="00825CF4"/>
    <w:rsid w:val="00826A9D"/>
    <w:rsid w:val="00826B4A"/>
    <w:rsid w:val="00826EC2"/>
    <w:rsid w:val="00827A79"/>
    <w:rsid w:val="008308B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1C63"/>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589"/>
    <w:rsid w:val="008F1204"/>
    <w:rsid w:val="008F1CD8"/>
    <w:rsid w:val="008F3545"/>
    <w:rsid w:val="008F4031"/>
    <w:rsid w:val="008F4615"/>
    <w:rsid w:val="008F70F0"/>
    <w:rsid w:val="00900ED1"/>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3D6F"/>
    <w:rsid w:val="00925482"/>
    <w:rsid w:val="0092604C"/>
    <w:rsid w:val="0092615C"/>
    <w:rsid w:val="00926AA2"/>
    <w:rsid w:val="00926C36"/>
    <w:rsid w:val="00927CD7"/>
    <w:rsid w:val="00930EB7"/>
    <w:rsid w:val="0093100C"/>
    <w:rsid w:val="00931B71"/>
    <w:rsid w:val="009327C3"/>
    <w:rsid w:val="009332F9"/>
    <w:rsid w:val="00933615"/>
    <w:rsid w:val="009341A7"/>
    <w:rsid w:val="009347FD"/>
    <w:rsid w:val="00942DAD"/>
    <w:rsid w:val="00943FE1"/>
    <w:rsid w:val="009449B1"/>
    <w:rsid w:val="00950569"/>
    <w:rsid w:val="00950D9E"/>
    <w:rsid w:val="009519A2"/>
    <w:rsid w:val="00951B52"/>
    <w:rsid w:val="00954254"/>
    <w:rsid w:val="00954AA1"/>
    <w:rsid w:val="00957611"/>
    <w:rsid w:val="00961224"/>
    <w:rsid w:val="009628F4"/>
    <w:rsid w:val="0096396C"/>
    <w:rsid w:val="0096499D"/>
    <w:rsid w:val="00964F94"/>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0046"/>
    <w:rsid w:val="0099109F"/>
    <w:rsid w:val="0099201D"/>
    <w:rsid w:val="00993563"/>
    <w:rsid w:val="009939A4"/>
    <w:rsid w:val="00993C48"/>
    <w:rsid w:val="0099484D"/>
    <w:rsid w:val="00994AE7"/>
    <w:rsid w:val="00995E61"/>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1E2"/>
    <w:rsid w:val="00A14E37"/>
    <w:rsid w:val="00A150FD"/>
    <w:rsid w:val="00A1694C"/>
    <w:rsid w:val="00A171DD"/>
    <w:rsid w:val="00A175B0"/>
    <w:rsid w:val="00A20919"/>
    <w:rsid w:val="00A216DB"/>
    <w:rsid w:val="00A22517"/>
    <w:rsid w:val="00A22B81"/>
    <w:rsid w:val="00A233ED"/>
    <w:rsid w:val="00A23509"/>
    <w:rsid w:val="00A25670"/>
    <w:rsid w:val="00A2573B"/>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5A2C"/>
    <w:rsid w:val="00A8780A"/>
    <w:rsid w:val="00A87E33"/>
    <w:rsid w:val="00A91107"/>
    <w:rsid w:val="00A91550"/>
    <w:rsid w:val="00A91B06"/>
    <w:rsid w:val="00A91B7E"/>
    <w:rsid w:val="00A91F68"/>
    <w:rsid w:val="00A926EB"/>
    <w:rsid w:val="00A92830"/>
    <w:rsid w:val="00A93110"/>
    <w:rsid w:val="00A9326F"/>
    <w:rsid w:val="00A9352B"/>
    <w:rsid w:val="00A93834"/>
    <w:rsid w:val="00A95A1A"/>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B4C"/>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3ED3"/>
    <w:rsid w:val="00B34734"/>
    <w:rsid w:val="00B35120"/>
    <w:rsid w:val="00B36A92"/>
    <w:rsid w:val="00B3759B"/>
    <w:rsid w:val="00B37F09"/>
    <w:rsid w:val="00B4120D"/>
    <w:rsid w:val="00B41AA0"/>
    <w:rsid w:val="00B41C7F"/>
    <w:rsid w:val="00B44896"/>
    <w:rsid w:val="00B45AB4"/>
    <w:rsid w:val="00B47DA9"/>
    <w:rsid w:val="00B509E4"/>
    <w:rsid w:val="00B527CC"/>
    <w:rsid w:val="00B5334C"/>
    <w:rsid w:val="00B53573"/>
    <w:rsid w:val="00B5493E"/>
    <w:rsid w:val="00B54A61"/>
    <w:rsid w:val="00B56746"/>
    <w:rsid w:val="00B568A5"/>
    <w:rsid w:val="00B5714D"/>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BF2"/>
    <w:rsid w:val="00B93D2D"/>
    <w:rsid w:val="00B9507F"/>
    <w:rsid w:val="00B97127"/>
    <w:rsid w:val="00B97880"/>
    <w:rsid w:val="00B97D88"/>
    <w:rsid w:val="00BA1DA3"/>
    <w:rsid w:val="00BA2058"/>
    <w:rsid w:val="00BA3E02"/>
    <w:rsid w:val="00BA499E"/>
    <w:rsid w:val="00BA4E61"/>
    <w:rsid w:val="00BA5D46"/>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44D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1BED"/>
    <w:rsid w:val="00C3235D"/>
    <w:rsid w:val="00C32412"/>
    <w:rsid w:val="00C3283B"/>
    <w:rsid w:val="00C33A75"/>
    <w:rsid w:val="00C3491D"/>
    <w:rsid w:val="00C37F24"/>
    <w:rsid w:val="00C407F5"/>
    <w:rsid w:val="00C40BDD"/>
    <w:rsid w:val="00C4322D"/>
    <w:rsid w:val="00C43248"/>
    <w:rsid w:val="00C437EC"/>
    <w:rsid w:val="00C44099"/>
    <w:rsid w:val="00C4441D"/>
    <w:rsid w:val="00C44740"/>
    <w:rsid w:val="00C458DB"/>
    <w:rsid w:val="00C461B5"/>
    <w:rsid w:val="00C46CBA"/>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4D9C"/>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97629"/>
    <w:rsid w:val="00CA09B2"/>
    <w:rsid w:val="00CA0C09"/>
    <w:rsid w:val="00CA171A"/>
    <w:rsid w:val="00CA299A"/>
    <w:rsid w:val="00CA5D50"/>
    <w:rsid w:val="00CA6A68"/>
    <w:rsid w:val="00CA6C81"/>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460"/>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2E6B"/>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5C8C"/>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3801"/>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6698"/>
    <w:rsid w:val="00E47129"/>
    <w:rsid w:val="00E47C54"/>
    <w:rsid w:val="00E47D0D"/>
    <w:rsid w:val="00E505A0"/>
    <w:rsid w:val="00E508E0"/>
    <w:rsid w:val="00E509FA"/>
    <w:rsid w:val="00E50D6A"/>
    <w:rsid w:val="00E51B2D"/>
    <w:rsid w:val="00E525BD"/>
    <w:rsid w:val="00E54DC3"/>
    <w:rsid w:val="00E55335"/>
    <w:rsid w:val="00E55C63"/>
    <w:rsid w:val="00E5680B"/>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692B"/>
    <w:rsid w:val="00E8721E"/>
    <w:rsid w:val="00E87F01"/>
    <w:rsid w:val="00E918EC"/>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A9"/>
    <w:rsid w:val="00F167DB"/>
    <w:rsid w:val="00F20232"/>
    <w:rsid w:val="00F251B7"/>
    <w:rsid w:val="00F2692D"/>
    <w:rsid w:val="00F26B77"/>
    <w:rsid w:val="00F272FB"/>
    <w:rsid w:val="00F31336"/>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0D8F"/>
    <w:rsid w:val="00F711E6"/>
    <w:rsid w:val="00F723B2"/>
    <w:rsid w:val="00F73262"/>
    <w:rsid w:val="00F734D3"/>
    <w:rsid w:val="00F75133"/>
    <w:rsid w:val="00F75EDA"/>
    <w:rsid w:val="00F76464"/>
    <w:rsid w:val="00F765A5"/>
    <w:rsid w:val="00F77395"/>
    <w:rsid w:val="00F8004E"/>
    <w:rsid w:val="00F808D8"/>
    <w:rsid w:val="00F82418"/>
    <w:rsid w:val="00F83357"/>
    <w:rsid w:val="00F83F21"/>
    <w:rsid w:val="00F84481"/>
    <w:rsid w:val="00F84867"/>
    <w:rsid w:val="00F84B84"/>
    <w:rsid w:val="00F8610C"/>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11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5A9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C97629"/>
    <w:pPr>
      <w:spacing w:before="100" w:beforeAutospacing="1" w:after="100" w:afterAutospacing="1"/>
    </w:pPr>
    <w:rPr>
      <w:sz w:val="24"/>
      <w:szCs w:val="24"/>
      <w:lang w:val="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C97629"/>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230">
      <w:bodyDiv w:val="1"/>
      <w:marLeft w:val="0"/>
      <w:marRight w:val="0"/>
      <w:marTop w:val="0"/>
      <w:marBottom w:val="0"/>
      <w:divBdr>
        <w:top w:val="none" w:sz="0" w:space="0" w:color="auto"/>
        <w:left w:val="none" w:sz="0" w:space="0" w:color="auto"/>
        <w:bottom w:val="none" w:sz="0" w:space="0" w:color="auto"/>
        <w:right w:val="none" w:sz="0" w:space="0" w:color="auto"/>
      </w:divBdr>
    </w:div>
    <w:div w:id="20322264">
      <w:bodyDiv w:val="1"/>
      <w:marLeft w:val="0"/>
      <w:marRight w:val="0"/>
      <w:marTop w:val="0"/>
      <w:marBottom w:val="0"/>
      <w:divBdr>
        <w:top w:val="none" w:sz="0" w:space="0" w:color="auto"/>
        <w:left w:val="none" w:sz="0" w:space="0" w:color="auto"/>
        <w:bottom w:val="none" w:sz="0" w:space="0" w:color="auto"/>
        <w:right w:val="none" w:sz="0" w:space="0" w:color="auto"/>
      </w:divBdr>
    </w:div>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594964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56719325">
      <w:bodyDiv w:val="1"/>
      <w:marLeft w:val="0"/>
      <w:marRight w:val="0"/>
      <w:marTop w:val="0"/>
      <w:marBottom w:val="0"/>
      <w:divBdr>
        <w:top w:val="none" w:sz="0" w:space="0" w:color="auto"/>
        <w:left w:val="none" w:sz="0" w:space="0" w:color="auto"/>
        <w:bottom w:val="none" w:sz="0" w:space="0" w:color="auto"/>
        <w:right w:val="none" w:sz="0" w:space="0" w:color="auto"/>
      </w:divBdr>
    </w:div>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7684836">
      <w:bodyDiv w:val="1"/>
      <w:marLeft w:val="0"/>
      <w:marRight w:val="0"/>
      <w:marTop w:val="0"/>
      <w:marBottom w:val="0"/>
      <w:divBdr>
        <w:top w:val="none" w:sz="0" w:space="0" w:color="auto"/>
        <w:left w:val="none" w:sz="0" w:space="0" w:color="auto"/>
        <w:bottom w:val="none" w:sz="0" w:space="0" w:color="auto"/>
        <w:right w:val="none" w:sz="0" w:space="0" w:color="auto"/>
      </w:divBdr>
    </w:div>
    <w:div w:id="374501894">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530285">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131456">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147726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3103835">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0885107">
      <w:bodyDiv w:val="1"/>
      <w:marLeft w:val="0"/>
      <w:marRight w:val="0"/>
      <w:marTop w:val="0"/>
      <w:marBottom w:val="0"/>
      <w:divBdr>
        <w:top w:val="none" w:sz="0" w:space="0" w:color="auto"/>
        <w:left w:val="none" w:sz="0" w:space="0" w:color="auto"/>
        <w:bottom w:val="none" w:sz="0" w:space="0" w:color="auto"/>
        <w:right w:val="none" w:sz="0" w:space="0" w:color="auto"/>
      </w:divBdr>
    </w:div>
    <w:div w:id="713502365">
      <w:bodyDiv w:val="1"/>
      <w:marLeft w:val="0"/>
      <w:marRight w:val="0"/>
      <w:marTop w:val="0"/>
      <w:marBottom w:val="0"/>
      <w:divBdr>
        <w:top w:val="none" w:sz="0" w:space="0" w:color="auto"/>
        <w:left w:val="none" w:sz="0" w:space="0" w:color="auto"/>
        <w:bottom w:val="none" w:sz="0" w:space="0" w:color="auto"/>
        <w:right w:val="none" w:sz="0" w:space="0" w:color="auto"/>
      </w:divBdr>
      <w:divsChild>
        <w:div w:id="5793304">
          <w:marLeft w:val="0"/>
          <w:marRight w:val="0"/>
          <w:marTop w:val="0"/>
          <w:marBottom w:val="0"/>
          <w:divBdr>
            <w:top w:val="none" w:sz="0" w:space="0" w:color="auto"/>
            <w:left w:val="none" w:sz="0" w:space="0" w:color="auto"/>
            <w:bottom w:val="none" w:sz="0" w:space="0" w:color="auto"/>
            <w:right w:val="none" w:sz="0" w:space="0" w:color="auto"/>
          </w:divBdr>
          <w:divsChild>
            <w:div w:id="221451188">
              <w:marLeft w:val="0"/>
              <w:marRight w:val="0"/>
              <w:marTop w:val="0"/>
              <w:marBottom w:val="0"/>
              <w:divBdr>
                <w:top w:val="none" w:sz="0" w:space="0" w:color="auto"/>
                <w:left w:val="none" w:sz="0" w:space="0" w:color="auto"/>
                <w:bottom w:val="none" w:sz="0" w:space="0" w:color="auto"/>
                <w:right w:val="none" w:sz="0" w:space="0" w:color="auto"/>
              </w:divBdr>
              <w:divsChild>
                <w:div w:id="1914927958">
                  <w:marLeft w:val="0"/>
                  <w:marRight w:val="0"/>
                  <w:marTop w:val="0"/>
                  <w:marBottom w:val="0"/>
                  <w:divBdr>
                    <w:top w:val="none" w:sz="0" w:space="0" w:color="auto"/>
                    <w:left w:val="none" w:sz="0" w:space="0" w:color="auto"/>
                    <w:bottom w:val="none" w:sz="0" w:space="0" w:color="auto"/>
                    <w:right w:val="none" w:sz="0" w:space="0" w:color="auto"/>
                  </w:divBdr>
                </w:div>
                <w:div w:id="919219088">
                  <w:marLeft w:val="0"/>
                  <w:marRight w:val="0"/>
                  <w:marTop w:val="0"/>
                  <w:marBottom w:val="0"/>
                  <w:divBdr>
                    <w:top w:val="none" w:sz="0" w:space="0" w:color="auto"/>
                    <w:left w:val="none" w:sz="0" w:space="0" w:color="auto"/>
                    <w:bottom w:val="none" w:sz="0" w:space="0" w:color="auto"/>
                    <w:right w:val="none" w:sz="0" w:space="0" w:color="auto"/>
                  </w:divBdr>
                </w:div>
                <w:div w:id="1435781881">
                  <w:marLeft w:val="0"/>
                  <w:marRight w:val="0"/>
                  <w:marTop w:val="0"/>
                  <w:marBottom w:val="0"/>
                  <w:divBdr>
                    <w:top w:val="none" w:sz="0" w:space="0" w:color="auto"/>
                    <w:left w:val="none" w:sz="0" w:space="0" w:color="auto"/>
                    <w:bottom w:val="none" w:sz="0" w:space="0" w:color="auto"/>
                    <w:right w:val="none" w:sz="0" w:space="0" w:color="auto"/>
                  </w:divBdr>
                </w:div>
                <w:div w:id="1192693309">
                  <w:marLeft w:val="0"/>
                  <w:marRight w:val="0"/>
                  <w:marTop w:val="0"/>
                  <w:marBottom w:val="0"/>
                  <w:divBdr>
                    <w:top w:val="none" w:sz="0" w:space="0" w:color="auto"/>
                    <w:left w:val="none" w:sz="0" w:space="0" w:color="auto"/>
                    <w:bottom w:val="none" w:sz="0" w:space="0" w:color="auto"/>
                    <w:right w:val="none" w:sz="0" w:space="0" w:color="auto"/>
                  </w:divBdr>
                </w:div>
                <w:div w:id="1028144660">
                  <w:marLeft w:val="0"/>
                  <w:marRight w:val="0"/>
                  <w:marTop w:val="0"/>
                  <w:marBottom w:val="0"/>
                  <w:divBdr>
                    <w:top w:val="none" w:sz="0" w:space="0" w:color="auto"/>
                    <w:left w:val="none" w:sz="0" w:space="0" w:color="auto"/>
                    <w:bottom w:val="none" w:sz="0" w:space="0" w:color="auto"/>
                    <w:right w:val="none" w:sz="0" w:space="0" w:color="auto"/>
                  </w:divBdr>
                </w:div>
                <w:div w:id="562373275">
                  <w:marLeft w:val="0"/>
                  <w:marRight w:val="0"/>
                  <w:marTop w:val="0"/>
                  <w:marBottom w:val="0"/>
                  <w:divBdr>
                    <w:top w:val="none" w:sz="0" w:space="0" w:color="auto"/>
                    <w:left w:val="none" w:sz="0" w:space="0" w:color="auto"/>
                    <w:bottom w:val="none" w:sz="0" w:space="0" w:color="auto"/>
                    <w:right w:val="none" w:sz="0" w:space="0" w:color="auto"/>
                  </w:divBdr>
                </w:div>
                <w:div w:id="544104407">
                  <w:marLeft w:val="0"/>
                  <w:marRight w:val="0"/>
                  <w:marTop w:val="0"/>
                  <w:marBottom w:val="0"/>
                  <w:divBdr>
                    <w:top w:val="none" w:sz="0" w:space="0" w:color="auto"/>
                    <w:left w:val="none" w:sz="0" w:space="0" w:color="auto"/>
                    <w:bottom w:val="none" w:sz="0" w:space="0" w:color="auto"/>
                    <w:right w:val="none" w:sz="0" w:space="0" w:color="auto"/>
                  </w:divBdr>
                </w:div>
                <w:div w:id="1545212560">
                  <w:marLeft w:val="0"/>
                  <w:marRight w:val="0"/>
                  <w:marTop w:val="0"/>
                  <w:marBottom w:val="0"/>
                  <w:divBdr>
                    <w:top w:val="none" w:sz="0" w:space="0" w:color="auto"/>
                    <w:left w:val="none" w:sz="0" w:space="0" w:color="auto"/>
                    <w:bottom w:val="none" w:sz="0" w:space="0" w:color="auto"/>
                    <w:right w:val="none" w:sz="0" w:space="0" w:color="auto"/>
                  </w:divBdr>
                </w:div>
                <w:div w:id="518618638">
                  <w:marLeft w:val="0"/>
                  <w:marRight w:val="0"/>
                  <w:marTop w:val="0"/>
                  <w:marBottom w:val="0"/>
                  <w:divBdr>
                    <w:top w:val="none" w:sz="0" w:space="0" w:color="auto"/>
                    <w:left w:val="none" w:sz="0" w:space="0" w:color="auto"/>
                    <w:bottom w:val="none" w:sz="0" w:space="0" w:color="auto"/>
                    <w:right w:val="none" w:sz="0" w:space="0" w:color="auto"/>
                  </w:divBdr>
                </w:div>
                <w:div w:id="128279284">
                  <w:marLeft w:val="0"/>
                  <w:marRight w:val="0"/>
                  <w:marTop w:val="0"/>
                  <w:marBottom w:val="0"/>
                  <w:divBdr>
                    <w:top w:val="none" w:sz="0" w:space="0" w:color="auto"/>
                    <w:left w:val="none" w:sz="0" w:space="0" w:color="auto"/>
                    <w:bottom w:val="none" w:sz="0" w:space="0" w:color="auto"/>
                    <w:right w:val="none" w:sz="0" w:space="0" w:color="auto"/>
                  </w:divBdr>
                </w:div>
                <w:div w:id="1080978412">
                  <w:marLeft w:val="0"/>
                  <w:marRight w:val="0"/>
                  <w:marTop w:val="0"/>
                  <w:marBottom w:val="0"/>
                  <w:divBdr>
                    <w:top w:val="none" w:sz="0" w:space="0" w:color="auto"/>
                    <w:left w:val="none" w:sz="0" w:space="0" w:color="auto"/>
                    <w:bottom w:val="none" w:sz="0" w:space="0" w:color="auto"/>
                    <w:right w:val="none" w:sz="0" w:space="0" w:color="auto"/>
                  </w:divBdr>
                </w:div>
                <w:div w:id="1609662069">
                  <w:marLeft w:val="0"/>
                  <w:marRight w:val="0"/>
                  <w:marTop w:val="0"/>
                  <w:marBottom w:val="0"/>
                  <w:divBdr>
                    <w:top w:val="none" w:sz="0" w:space="0" w:color="auto"/>
                    <w:left w:val="none" w:sz="0" w:space="0" w:color="auto"/>
                    <w:bottom w:val="none" w:sz="0" w:space="0" w:color="auto"/>
                    <w:right w:val="none" w:sz="0" w:space="0" w:color="auto"/>
                  </w:divBdr>
                </w:div>
                <w:div w:id="1836339401">
                  <w:marLeft w:val="0"/>
                  <w:marRight w:val="0"/>
                  <w:marTop w:val="0"/>
                  <w:marBottom w:val="0"/>
                  <w:divBdr>
                    <w:top w:val="none" w:sz="0" w:space="0" w:color="auto"/>
                    <w:left w:val="none" w:sz="0" w:space="0" w:color="auto"/>
                    <w:bottom w:val="none" w:sz="0" w:space="0" w:color="auto"/>
                    <w:right w:val="none" w:sz="0" w:space="0" w:color="auto"/>
                  </w:divBdr>
                </w:div>
                <w:div w:id="1601984590">
                  <w:marLeft w:val="0"/>
                  <w:marRight w:val="0"/>
                  <w:marTop w:val="0"/>
                  <w:marBottom w:val="0"/>
                  <w:divBdr>
                    <w:top w:val="none" w:sz="0" w:space="0" w:color="auto"/>
                    <w:left w:val="none" w:sz="0" w:space="0" w:color="auto"/>
                    <w:bottom w:val="none" w:sz="0" w:space="0" w:color="auto"/>
                    <w:right w:val="none" w:sz="0" w:space="0" w:color="auto"/>
                  </w:divBdr>
                </w:div>
                <w:div w:id="990601291">
                  <w:marLeft w:val="0"/>
                  <w:marRight w:val="0"/>
                  <w:marTop w:val="0"/>
                  <w:marBottom w:val="0"/>
                  <w:divBdr>
                    <w:top w:val="none" w:sz="0" w:space="0" w:color="auto"/>
                    <w:left w:val="none" w:sz="0" w:space="0" w:color="auto"/>
                    <w:bottom w:val="none" w:sz="0" w:space="0" w:color="auto"/>
                    <w:right w:val="none" w:sz="0" w:space="0" w:color="auto"/>
                  </w:divBdr>
                </w:div>
                <w:div w:id="1374497657">
                  <w:marLeft w:val="0"/>
                  <w:marRight w:val="0"/>
                  <w:marTop w:val="0"/>
                  <w:marBottom w:val="0"/>
                  <w:divBdr>
                    <w:top w:val="none" w:sz="0" w:space="0" w:color="auto"/>
                    <w:left w:val="none" w:sz="0" w:space="0" w:color="auto"/>
                    <w:bottom w:val="none" w:sz="0" w:space="0" w:color="auto"/>
                    <w:right w:val="none" w:sz="0" w:space="0" w:color="auto"/>
                  </w:divBdr>
                </w:div>
                <w:div w:id="1671178245">
                  <w:marLeft w:val="0"/>
                  <w:marRight w:val="0"/>
                  <w:marTop w:val="0"/>
                  <w:marBottom w:val="0"/>
                  <w:divBdr>
                    <w:top w:val="none" w:sz="0" w:space="0" w:color="auto"/>
                    <w:left w:val="none" w:sz="0" w:space="0" w:color="auto"/>
                    <w:bottom w:val="none" w:sz="0" w:space="0" w:color="auto"/>
                    <w:right w:val="none" w:sz="0" w:space="0" w:color="auto"/>
                  </w:divBdr>
                </w:div>
                <w:div w:id="1290698260">
                  <w:marLeft w:val="0"/>
                  <w:marRight w:val="0"/>
                  <w:marTop w:val="0"/>
                  <w:marBottom w:val="0"/>
                  <w:divBdr>
                    <w:top w:val="none" w:sz="0" w:space="0" w:color="auto"/>
                    <w:left w:val="none" w:sz="0" w:space="0" w:color="auto"/>
                    <w:bottom w:val="none" w:sz="0" w:space="0" w:color="auto"/>
                    <w:right w:val="none" w:sz="0" w:space="0" w:color="auto"/>
                  </w:divBdr>
                </w:div>
                <w:div w:id="1787890297">
                  <w:marLeft w:val="0"/>
                  <w:marRight w:val="0"/>
                  <w:marTop w:val="0"/>
                  <w:marBottom w:val="0"/>
                  <w:divBdr>
                    <w:top w:val="none" w:sz="0" w:space="0" w:color="auto"/>
                    <w:left w:val="none" w:sz="0" w:space="0" w:color="auto"/>
                    <w:bottom w:val="none" w:sz="0" w:space="0" w:color="auto"/>
                    <w:right w:val="none" w:sz="0" w:space="0" w:color="auto"/>
                  </w:divBdr>
                </w:div>
                <w:div w:id="1476994734">
                  <w:marLeft w:val="0"/>
                  <w:marRight w:val="0"/>
                  <w:marTop w:val="0"/>
                  <w:marBottom w:val="0"/>
                  <w:divBdr>
                    <w:top w:val="none" w:sz="0" w:space="0" w:color="auto"/>
                    <w:left w:val="none" w:sz="0" w:space="0" w:color="auto"/>
                    <w:bottom w:val="none" w:sz="0" w:space="0" w:color="auto"/>
                    <w:right w:val="none" w:sz="0" w:space="0" w:color="auto"/>
                  </w:divBdr>
                </w:div>
                <w:div w:id="1771923198">
                  <w:marLeft w:val="0"/>
                  <w:marRight w:val="0"/>
                  <w:marTop w:val="0"/>
                  <w:marBottom w:val="0"/>
                  <w:divBdr>
                    <w:top w:val="none" w:sz="0" w:space="0" w:color="auto"/>
                    <w:left w:val="none" w:sz="0" w:space="0" w:color="auto"/>
                    <w:bottom w:val="none" w:sz="0" w:space="0" w:color="auto"/>
                    <w:right w:val="none" w:sz="0" w:space="0" w:color="auto"/>
                  </w:divBdr>
                </w:div>
                <w:div w:id="1253859082">
                  <w:marLeft w:val="0"/>
                  <w:marRight w:val="0"/>
                  <w:marTop w:val="0"/>
                  <w:marBottom w:val="0"/>
                  <w:divBdr>
                    <w:top w:val="none" w:sz="0" w:space="0" w:color="auto"/>
                    <w:left w:val="none" w:sz="0" w:space="0" w:color="auto"/>
                    <w:bottom w:val="none" w:sz="0" w:space="0" w:color="auto"/>
                    <w:right w:val="none" w:sz="0" w:space="0" w:color="auto"/>
                  </w:divBdr>
                </w:div>
                <w:div w:id="859051703">
                  <w:marLeft w:val="0"/>
                  <w:marRight w:val="0"/>
                  <w:marTop w:val="0"/>
                  <w:marBottom w:val="0"/>
                  <w:divBdr>
                    <w:top w:val="none" w:sz="0" w:space="0" w:color="auto"/>
                    <w:left w:val="none" w:sz="0" w:space="0" w:color="auto"/>
                    <w:bottom w:val="none" w:sz="0" w:space="0" w:color="auto"/>
                    <w:right w:val="none" w:sz="0" w:space="0" w:color="auto"/>
                  </w:divBdr>
                </w:div>
                <w:div w:id="157309877">
                  <w:marLeft w:val="0"/>
                  <w:marRight w:val="0"/>
                  <w:marTop w:val="0"/>
                  <w:marBottom w:val="0"/>
                  <w:divBdr>
                    <w:top w:val="none" w:sz="0" w:space="0" w:color="auto"/>
                    <w:left w:val="none" w:sz="0" w:space="0" w:color="auto"/>
                    <w:bottom w:val="none" w:sz="0" w:space="0" w:color="auto"/>
                    <w:right w:val="none" w:sz="0" w:space="0" w:color="auto"/>
                  </w:divBdr>
                </w:div>
                <w:div w:id="1073163172">
                  <w:marLeft w:val="0"/>
                  <w:marRight w:val="0"/>
                  <w:marTop w:val="0"/>
                  <w:marBottom w:val="0"/>
                  <w:divBdr>
                    <w:top w:val="none" w:sz="0" w:space="0" w:color="auto"/>
                    <w:left w:val="none" w:sz="0" w:space="0" w:color="auto"/>
                    <w:bottom w:val="none" w:sz="0" w:space="0" w:color="auto"/>
                    <w:right w:val="none" w:sz="0" w:space="0" w:color="auto"/>
                  </w:divBdr>
                </w:div>
                <w:div w:id="1229464929">
                  <w:marLeft w:val="0"/>
                  <w:marRight w:val="0"/>
                  <w:marTop w:val="0"/>
                  <w:marBottom w:val="0"/>
                  <w:divBdr>
                    <w:top w:val="none" w:sz="0" w:space="0" w:color="auto"/>
                    <w:left w:val="none" w:sz="0" w:space="0" w:color="auto"/>
                    <w:bottom w:val="none" w:sz="0" w:space="0" w:color="auto"/>
                    <w:right w:val="none" w:sz="0" w:space="0" w:color="auto"/>
                  </w:divBdr>
                </w:div>
                <w:div w:id="426997576">
                  <w:marLeft w:val="0"/>
                  <w:marRight w:val="0"/>
                  <w:marTop w:val="0"/>
                  <w:marBottom w:val="0"/>
                  <w:divBdr>
                    <w:top w:val="none" w:sz="0" w:space="0" w:color="auto"/>
                    <w:left w:val="none" w:sz="0" w:space="0" w:color="auto"/>
                    <w:bottom w:val="none" w:sz="0" w:space="0" w:color="auto"/>
                    <w:right w:val="none" w:sz="0" w:space="0" w:color="auto"/>
                  </w:divBdr>
                </w:div>
                <w:div w:id="1047141360">
                  <w:marLeft w:val="0"/>
                  <w:marRight w:val="0"/>
                  <w:marTop w:val="0"/>
                  <w:marBottom w:val="0"/>
                  <w:divBdr>
                    <w:top w:val="none" w:sz="0" w:space="0" w:color="auto"/>
                    <w:left w:val="none" w:sz="0" w:space="0" w:color="auto"/>
                    <w:bottom w:val="none" w:sz="0" w:space="0" w:color="auto"/>
                    <w:right w:val="none" w:sz="0" w:space="0" w:color="auto"/>
                  </w:divBdr>
                </w:div>
                <w:div w:id="1643732465">
                  <w:marLeft w:val="0"/>
                  <w:marRight w:val="0"/>
                  <w:marTop w:val="0"/>
                  <w:marBottom w:val="0"/>
                  <w:divBdr>
                    <w:top w:val="none" w:sz="0" w:space="0" w:color="auto"/>
                    <w:left w:val="none" w:sz="0" w:space="0" w:color="auto"/>
                    <w:bottom w:val="none" w:sz="0" w:space="0" w:color="auto"/>
                    <w:right w:val="none" w:sz="0" w:space="0" w:color="auto"/>
                  </w:divBdr>
                </w:div>
                <w:div w:id="89156419">
                  <w:marLeft w:val="0"/>
                  <w:marRight w:val="0"/>
                  <w:marTop w:val="0"/>
                  <w:marBottom w:val="0"/>
                  <w:divBdr>
                    <w:top w:val="none" w:sz="0" w:space="0" w:color="auto"/>
                    <w:left w:val="none" w:sz="0" w:space="0" w:color="auto"/>
                    <w:bottom w:val="none" w:sz="0" w:space="0" w:color="auto"/>
                    <w:right w:val="none" w:sz="0" w:space="0" w:color="auto"/>
                  </w:divBdr>
                </w:div>
                <w:div w:id="38674093">
                  <w:marLeft w:val="0"/>
                  <w:marRight w:val="0"/>
                  <w:marTop w:val="0"/>
                  <w:marBottom w:val="0"/>
                  <w:divBdr>
                    <w:top w:val="none" w:sz="0" w:space="0" w:color="auto"/>
                    <w:left w:val="none" w:sz="0" w:space="0" w:color="auto"/>
                    <w:bottom w:val="none" w:sz="0" w:space="0" w:color="auto"/>
                    <w:right w:val="none" w:sz="0" w:space="0" w:color="auto"/>
                  </w:divBdr>
                </w:div>
                <w:div w:id="1864053261">
                  <w:marLeft w:val="0"/>
                  <w:marRight w:val="0"/>
                  <w:marTop w:val="0"/>
                  <w:marBottom w:val="0"/>
                  <w:divBdr>
                    <w:top w:val="none" w:sz="0" w:space="0" w:color="auto"/>
                    <w:left w:val="none" w:sz="0" w:space="0" w:color="auto"/>
                    <w:bottom w:val="none" w:sz="0" w:space="0" w:color="auto"/>
                    <w:right w:val="none" w:sz="0" w:space="0" w:color="auto"/>
                  </w:divBdr>
                </w:div>
                <w:div w:id="592781508">
                  <w:marLeft w:val="0"/>
                  <w:marRight w:val="0"/>
                  <w:marTop w:val="0"/>
                  <w:marBottom w:val="0"/>
                  <w:divBdr>
                    <w:top w:val="none" w:sz="0" w:space="0" w:color="auto"/>
                    <w:left w:val="none" w:sz="0" w:space="0" w:color="auto"/>
                    <w:bottom w:val="none" w:sz="0" w:space="0" w:color="auto"/>
                    <w:right w:val="none" w:sz="0" w:space="0" w:color="auto"/>
                  </w:divBdr>
                </w:div>
                <w:div w:id="82578327">
                  <w:marLeft w:val="0"/>
                  <w:marRight w:val="0"/>
                  <w:marTop w:val="0"/>
                  <w:marBottom w:val="0"/>
                  <w:divBdr>
                    <w:top w:val="none" w:sz="0" w:space="0" w:color="auto"/>
                    <w:left w:val="none" w:sz="0" w:space="0" w:color="auto"/>
                    <w:bottom w:val="none" w:sz="0" w:space="0" w:color="auto"/>
                    <w:right w:val="none" w:sz="0" w:space="0" w:color="auto"/>
                  </w:divBdr>
                </w:div>
                <w:div w:id="433135565">
                  <w:marLeft w:val="0"/>
                  <w:marRight w:val="0"/>
                  <w:marTop w:val="0"/>
                  <w:marBottom w:val="0"/>
                  <w:divBdr>
                    <w:top w:val="none" w:sz="0" w:space="0" w:color="auto"/>
                    <w:left w:val="none" w:sz="0" w:space="0" w:color="auto"/>
                    <w:bottom w:val="none" w:sz="0" w:space="0" w:color="auto"/>
                    <w:right w:val="none" w:sz="0" w:space="0" w:color="auto"/>
                  </w:divBdr>
                </w:div>
                <w:div w:id="491993328">
                  <w:marLeft w:val="0"/>
                  <w:marRight w:val="0"/>
                  <w:marTop w:val="0"/>
                  <w:marBottom w:val="0"/>
                  <w:divBdr>
                    <w:top w:val="none" w:sz="0" w:space="0" w:color="auto"/>
                    <w:left w:val="none" w:sz="0" w:space="0" w:color="auto"/>
                    <w:bottom w:val="none" w:sz="0" w:space="0" w:color="auto"/>
                    <w:right w:val="none" w:sz="0" w:space="0" w:color="auto"/>
                  </w:divBdr>
                </w:div>
                <w:div w:id="1622954923">
                  <w:marLeft w:val="0"/>
                  <w:marRight w:val="0"/>
                  <w:marTop w:val="0"/>
                  <w:marBottom w:val="0"/>
                  <w:divBdr>
                    <w:top w:val="none" w:sz="0" w:space="0" w:color="auto"/>
                    <w:left w:val="none" w:sz="0" w:space="0" w:color="auto"/>
                    <w:bottom w:val="none" w:sz="0" w:space="0" w:color="auto"/>
                    <w:right w:val="none" w:sz="0" w:space="0" w:color="auto"/>
                  </w:divBdr>
                </w:div>
                <w:div w:id="1946502043">
                  <w:marLeft w:val="0"/>
                  <w:marRight w:val="0"/>
                  <w:marTop w:val="0"/>
                  <w:marBottom w:val="0"/>
                  <w:divBdr>
                    <w:top w:val="none" w:sz="0" w:space="0" w:color="auto"/>
                    <w:left w:val="none" w:sz="0" w:space="0" w:color="auto"/>
                    <w:bottom w:val="none" w:sz="0" w:space="0" w:color="auto"/>
                    <w:right w:val="none" w:sz="0" w:space="0" w:color="auto"/>
                  </w:divBdr>
                </w:div>
                <w:div w:id="549653912">
                  <w:marLeft w:val="0"/>
                  <w:marRight w:val="0"/>
                  <w:marTop w:val="0"/>
                  <w:marBottom w:val="0"/>
                  <w:divBdr>
                    <w:top w:val="none" w:sz="0" w:space="0" w:color="auto"/>
                    <w:left w:val="none" w:sz="0" w:space="0" w:color="auto"/>
                    <w:bottom w:val="none" w:sz="0" w:space="0" w:color="auto"/>
                    <w:right w:val="none" w:sz="0" w:space="0" w:color="auto"/>
                  </w:divBdr>
                </w:div>
                <w:div w:id="2051108459">
                  <w:marLeft w:val="0"/>
                  <w:marRight w:val="0"/>
                  <w:marTop w:val="0"/>
                  <w:marBottom w:val="0"/>
                  <w:divBdr>
                    <w:top w:val="none" w:sz="0" w:space="0" w:color="auto"/>
                    <w:left w:val="none" w:sz="0" w:space="0" w:color="auto"/>
                    <w:bottom w:val="none" w:sz="0" w:space="0" w:color="auto"/>
                    <w:right w:val="none" w:sz="0" w:space="0" w:color="auto"/>
                  </w:divBdr>
                </w:div>
                <w:div w:id="395979210">
                  <w:marLeft w:val="0"/>
                  <w:marRight w:val="0"/>
                  <w:marTop w:val="0"/>
                  <w:marBottom w:val="0"/>
                  <w:divBdr>
                    <w:top w:val="none" w:sz="0" w:space="0" w:color="auto"/>
                    <w:left w:val="none" w:sz="0" w:space="0" w:color="auto"/>
                    <w:bottom w:val="none" w:sz="0" w:space="0" w:color="auto"/>
                    <w:right w:val="none" w:sz="0" w:space="0" w:color="auto"/>
                  </w:divBdr>
                </w:div>
                <w:div w:id="794181765">
                  <w:marLeft w:val="0"/>
                  <w:marRight w:val="0"/>
                  <w:marTop w:val="0"/>
                  <w:marBottom w:val="0"/>
                  <w:divBdr>
                    <w:top w:val="none" w:sz="0" w:space="0" w:color="auto"/>
                    <w:left w:val="none" w:sz="0" w:space="0" w:color="auto"/>
                    <w:bottom w:val="none" w:sz="0" w:space="0" w:color="auto"/>
                    <w:right w:val="none" w:sz="0" w:space="0" w:color="auto"/>
                  </w:divBdr>
                </w:div>
                <w:div w:id="953251780">
                  <w:marLeft w:val="0"/>
                  <w:marRight w:val="0"/>
                  <w:marTop w:val="0"/>
                  <w:marBottom w:val="0"/>
                  <w:divBdr>
                    <w:top w:val="none" w:sz="0" w:space="0" w:color="auto"/>
                    <w:left w:val="none" w:sz="0" w:space="0" w:color="auto"/>
                    <w:bottom w:val="none" w:sz="0" w:space="0" w:color="auto"/>
                    <w:right w:val="none" w:sz="0" w:space="0" w:color="auto"/>
                  </w:divBdr>
                </w:div>
                <w:div w:id="1051074562">
                  <w:marLeft w:val="0"/>
                  <w:marRight w:val="0"/>
                  <w:marTop w:val="0"/>
                  <w:marBottom w:val="0"/>
                  <w:divBdr>
                    <w:top w:val="none" w:sz="0" w:space="0" w:color="auto"/>
                    <w:left w:val="none" w:sz="0" w:space="0" w:color="auto"/>
                    <w:bottom w:val="none" w:sz="0" w:space="0" w:color="auto"/>
                    <w:right w:val="none" w:sz="0" w:space="0" w:color="auto"/>
                  </w:divBdr>
                </w:div>
                <w:div w:id="1102070293">
                  <w:marLeft w:val="0"/>
                  <w:marRight w:val="0"/>
                  <w:marTop w:val="0"/>
                  <w:marBottom w:val="0"/>
                  <w:divBdr>
                    <w:top w:val="none" w:sz="0" w:space="0" w:color="auto"/>
                    <w:left w:val="none" w:sz="0" w:space="0" w:color="auto"/>
                    <w:bottom w:val="none" w:sz="0" w:space="0" w:color="auto"/>
                    <w:right w:val="none" w:sz="0" w:space="0" w:color="auto"/>
                  </w:divBdr>
                </w:div>
                <w:div w:id="1112751250">
                  <w:marLeft w:val="0"/>
                  <w:marRight w:val="0"/>
                  <w:marTop w:val="0"/>
                  <w:marBottom w:val="0"/>
                  <w:divBdr>
                    <w:top w:val="none" w:sz="0" w:space="0" w:color="auto"/>
                    <w:left w:val="none" w:sz="0" w:space="0" w:color="auto"/>
                    <w:bottom w:val="none" w:sz="0" w:space="0" w:color="auto"/>
                    <w:right w:val="none" w:sz="0" w:space="0" w:color="auto"/>
                  </w:divBdr>
                </w:div>
                <w:div w:id="870991548">
                  <w:marLeft w:val="0"/>
                  <w:marRight w:val="0"/>
                  <w:marTop w:val="0"/>
                  <w:marBottom w:val="0"/>
                  <w:divBdr>
                    <w:top w:val="none" w:sz="0" w:space="0" w:color="auto"/>
                    <w:left w:val="none" w:sz="0" w:space="0" w:color="auto"/>
                    <w:bottom w:val="none" w:sz="0" w:space="0" w:color="auto"/>
                    <w:right w:val="none" w:sz="0" w:space="0" w:color="auto"/>
                  </w:divBdr>
                </w:div>
                <w:div w:id="1132094989">
                  <w:marLeft w:val="0"/>
                  <w:marRight w:val="0"/>
                  <w:marTop w:val="0"/>
                  <w:marBottom w:val="0"/>
                  <w:divBdr>
                    <w:top w:val="none" w:sz="0" w:space="0" w:color="auto"/>
                    <w:left w:val="none" w:sz="0" w:space="0" w:color="auto"/>
                    <w:bottom w:val="none" w:sz="0" w:space="0" w:color="auto"/>
                    <w:right w:val="none" w:sz="0" w:space="0" w:color="auto"/>
                  </w:divBdr>
                </w:div>
                <w:div w:id="689645075">
                  <w:marLeft w:val="0"/>
                  <w:marRight w:val="0"/>
                  <w:marTop w:val="0"/>
                  <w:marBottom w:val="0"/>
                  <w:divBdr>
                    <w:top w:val="none" w:sz="0" w:space="0" w:color="auto"/>
                    <w:left w:val="none" w:sz="0" w:space="0" w:color="auto"/>
                    <w:bottom w:val="none" w:sz="0" w:space="0" w:color="auto"/>
                    <w:right w:val="none" w:sz="0" w:space="0" w:color="auto"/>
                  </w:divBdr>
                </w:div>
                <w:div w:id="1097750956">
                  <w:marLeft w:val="0"/>
                  <w:marRight w:val="0"/>
                  <w:marTop w:val="0"/>
                  <w:marBottom w:val="0"/>
                  <w:divBdr>
                    <w:top w:val="none" w:sz="0" w:space="0" w:color="auto"/>
                    <w:left w:val="none" w:sz="0" w:space="0" w:color="auto"/>
                    <w:bottom w:val="none" w:sz="0" w:space="0" w:color="auto"/>
                    <w:right w:val="none" w:sz="0" w:space="0" w:color="auto"/>
                  </w:divBdr>
                </w:div>
                <w:div w:id="1125272091">
                  <w:marLeft w:val="0"/>
                  <w:marRight w:val="0"/>
                  <w:marTop w:val="0"/>
                  <w:marBottom w:val="0"/>
                  <w:divBdr>
                    <w:top w:val="none" w:sz="0" w:space="0" w:color="auto"/>
                    <w:left w:val="none" w:sz="0" w:space="0" w:color="auto"/>
                    <w:bottom w:val="none" w:sz="0" w:space="0" w:color="auto"/>
                    <w:right w:val="none" w:sz="0" w:space="0" w:color="auto"/>
                  </w:divBdr>
                </w:div>
                <w:div w:id="200754350">
                  <w:marLeft w:val="0"/>
                  <w:marRight w:val="0"/>
                  <w:marTop w:val="0"/>
                  <w:marBottom w:val="0"/>
                  <w:divBdr>
                    <w:top w:val="none" w:sz="0" w:space="0" w:color="auto"/>
                    <w:left w:val="none" w:sz="0" w:space="0" w:color="auto"/>
                    <w:bottom w:val="none" w:sz="0" w:space="0" w:color="auto"/>
                    <w:right w:val="none" w:sz="0" w:space="0" w:color="auto"/>
                  </w:divBdr>
                </w:div>
                <w:div w:id="1855415697">
                  <w:marLeft w:val="0"/>
                  <w:marRight w:val="0"/>
                  <w:marTop w:val="0"/>
                  <w:marBottom w:val="0"/>
                  <w:divBdr>
                    <w:top w:val="none" w:sz="0" w:space="0" w:color="auto"/>
                    <w:left w:val="none" w:sz="0" w:space="0" w:color="auto"/>
                    <w:bottom w:val="none" w:sz="0" w:space="0" w:color="auto"/>
                    <w:right w:val="none" w:sz="0" w:space="0" w:color="auto"/>
                  </w:divBdr>
                </w:div>
                <w:div w:id="384649011">
                  <w:marLeft w:val="0"/>
                  <w:marRight w:val="0"/>
                  <w:marTop w:val="0"/>
                  <w:marBottom w:val="0"/>
                  <w:divBdr>
                    <w:top w:val="none" w:sz="0" w:space="0" w:color="auto"/>
                    <w:left w:val="none" w:sz="0" w:space="0" w:color="auto"/>
                    <w:bottom w:val="none" w:sz="0" w:space="0" w:color="auto"/>
                    <w:right w:val="none" w:sz="0" w:space="0" w:color="auto"/>
                  </w:divBdr>
                </w:div>
                <w:div w:id="189269364">
                  <w:marLeft w:val="0"/>
                  <w:marRight w:val="0"/>
                  <w:marTop w:val="0"/>
                  <w:marBottom w:val="0"/>
                  <w:divBdr>
                    <w:top w:val="none" w:sz="0" w:space="0" w:color="auto"/>
                    <w:left w:val="none" w:sz="0" w:space="0" w:color="auto"/>
                    <w:bottom w:val="none" w:sz="0" w:space="0" w:color="auto"/>
                    <w:right w:val="none" w:sz="0" w:space="0" w:color="auto"/>
                  </w:divBdr>
                </w:div>
                <w:div w:id="789275915">
                  <w:marLeft w:val="0"/>
                  <w:marRight w:val="0"/>
                  <w:marTop w:val="0"/>
                  <w:marBottom w:val="0"/>
                  <w:divBdr>
                    <w:top w:val="none" w:sz="0" w:space="0" w:color="auto"/>
                    <w:left w:val="none" w:sz="0" w:space="0" w:color="auto"/>
                    <w:bottom w:val="none" w:sz="0" w:space="0" w:color="auto"/>
                    <w:right w:val="none" w:sz="0" w:space="0" w:color="auto"/>
                  </w:divBdr>
                </w:div>
                <w:div w:id="2121021427">
                  <w:marLeft w:val="0"/>
                  <w:marRight w:val="0"/>
                  <w:marTop w:val="0"/>
                  <w:marBottom w:val="0"/>
                  <w:divBdr>
                    <w:top w:val="none" w:sz="0" w:space="0" w:color="auto"/>
                    <w:left w:val="none" w:sz="0" w:space="0" w:color="auto"/>
                    <w:bottom w:val="none" w:sz="0" w:space="0" w:color="auto"/>
                    <w:right w:val="none" w:sz="0" w:space="0" w:color="auto"/>
                  </w:divBdr>
                </w:div>
                <w:div w:id="61951642">
                  <w:marLeft w:val="0"/>
                  <w:marRight w:val="0"/>
                  <w:marTop w:val="0"/>
                  <w:marBottom w:val="0"/>
                  <w:divBdr>
                    <w:top w:val="none" w:sz="0" w:space="0" w:color="auto"/>
                    <w:left w:val="none" w:sz="0" w:space="0" w:color="auto"/>
                    <w:bottom w:val="none" w:sz="0" w:space="0" w:color="auto"/>
                    <w:right w:val="none" w:sz="0" w:space="0" w:color="auto"/>
                  </w:divBdr>
                </w:div>
                <w:div w:id="424770538">
                  <w:marLeft w:val="0"/>
                  <w:marRight w:val="0"/>
                  <w:marTop w:val="0"/>
                  <w:marBottom w:val="0"/>
                  <w:divBdr>
                    <w:top w:val="none" w:sz="0" w:space="0" w:color="auto"/>
                    <w:left w:val="none" w:sz="0" w:space="0" w:color="auto"/>
                    <w:bottom w:val="none" w:sz="0" w:space="0" w:color="auto"/>
                    <w:right w:val="none" w:sz="0" w:space="0" w:color="auto"/>
                  </w:divBdr>
                </w:div>
                <w:div w:id="2117023017">
                  <w:marLeft w:val="0"/>
                  <w:marRight w:val="0"/>
                  <w:marTop w:val="0"/>
                  <w:marBottom w:val="0"/>
                  <w:divBdr>
                    <w:top w:val="none" w:sz="0" w:space="0" w:color="auto"/>
                    <w:left w:val="none" w:sz="0" w:space="0" w:color="auto"/>
                    <w:bottom w:val="none" w:sz="0" w:space="0" w:color="auto"/>
                    <w:right w:val="none" w:sz="0" w:space="0" w:color="auto"/>
                  </w:divBdr>
                </w:div>
                <w:div w:id="1955670304">
                  <w:marLeft w:val="0"/>
                  <w:marRight w:val="0"/>
                  <w:marTop w:val="0"/>
                  <w:marBottom w:val="0"/>
                  <w:divBdr>
                    <w:top w:val="none" w:sz="0" w:space="0" w:color="auto"/>
                    <w:left w:val="none" w:sz="0" w:space="0" w:color="auto"/>
                    <w:bottom w:val="none" w:sz="0" w:space="0" w:color="auto"/>
                    <w:right w:val="none" w:sz="0" w:space="0" w:color="auto"/>
                  </w:divBdr>
                </w:div>
                <w:div w:id="1050497592">
                  <w:marLeft w:val="0"/>
                  <w:marRight w:val="0"/>
                  <w:marTop w:val="0"/>
                  <w:marBottom w:val="0"/>
                  <w:divBdr>
                    <w:top w:val="none" w:sz="0" w:space="0" w:color="auto"/>
                    <w:left w:val="none" w:sz="0" w:space="0" w:color="auto"/>
                    <w:bottom w:val="none" w:sz="0" w:space="0" w:color="auto"/>
                    <w:right w:val="none" w:sz="0" w:space="0" w:color="auto"/>
                  </w:divBdr>
                </w:div>
                <w:div w:id="1035429709">
                  <w:marLeft w:val="0"/>
                  <w:marRight w:val="0"/>
                  <w:marTop w:val="0"/>
                  <w:marBottom w:val="0"/>
                  <w:divBdr>
                    <w:top w:val="none" w:sz="0" w:space="0" w:color="auto"/>
                    <w:left w:val="none" w:sz="0" w:space="0" w:color="auto"/>
                    <w:bottom w:val="none" w:sz="0" w:space="0" w:color="auto"/>
                    <w:right w:val="none" w:sz="0" w:space="0" w:color="auto"/>
                  </w:divBdr>
                </w:div>
                <w:div w:id="149180174">
                  <w:marLeft w:val="0"/>
                  <w:marRight w:val="0"/>
                  <w:marTop w:val="0"/>
                  <w:marBottom w:val="0"/>
                  <w:divBdr>
                    <w:top w:val="none" w:sz="0" w:space="0" w:color="auto"/>
                    <w:left w:val="none" w:sz="0" w:space="0" w:color="auto"/>
                    <w:bottom w:val="none" w:sz="0" w:space="0" w:color="auto"/>
                    <w:right w:val="none" w:sz="0" w:space="0" w:color="auto"/>
                  </w:divBdr>
                </w:div>
                <w:div w:id="1566725080">
                  <w:marLeft w:val="0"/>
                  <w:marRight w:val="0"/>
                  <w:marTop w:val="0"/>
                  <w:marBottom w:val="0"/>
                  <w:divBdr>
                    <w:top w:val="none" w:sz="0" w:space="0" w:color="auto"/>
                    <w:left w:val="none" w:sz="0" w:space="0" w:color="auto"/>
                    <w:bottom w:val="none" w:sz="0" w:space="0" w:color="auto"/>
                    <w:right w:val="none" w:sz="0" w:space="0" w:color="auto"/>
                  </w:divBdr>
                </w:div>
                <w:div w:id="326901134">
                  <w:marLeft w:val="0"/>
                  <w:marRight w:val="0"/>
                  <w:marTop w:val="0"/>
                  <w:marBottom w:val="0"/>
                  <w:divBdr>
                    <w:top w:val="none" w:sz="0" w:space="0" w:color="auto"/>
                    <w:left w:val="none" w:sz="0" w:space="0" w:color="auto"/>
                    <w:bottom w:val="none" w:sz="0" w:space="0" w:color="auto"/>
                    <w:right w:val="none" w:sz="0" w:space="0" w:color="auto"/>
                  </w:divBdr>
                </w:div>
                <w:div w:id="1705279178">
                  <w:marLeft w:val="0"/>
                  <w:marRight w:val="0"/>
                  <w:marTop w:val="0"/>
                  <w:marBottom w:val="0"/>
                  <w:divBdr>
                    <w:top w:val="none" w:sz="0" w:space="0" w:color="auto"/>
                    <w:left w:val="none" w:sz="0" w:space="0" w:color="auto"/>
                    <w:bottom w:val="none" w:sz="0" w:space="0" w:color="auto"/>
                    <w:right w:val="none" w:sz="0" w:space="0" w:color="auto"/>
                  </w:divBdr>
                </w:div>
                <w:div w:id="798452027">
                  <w:marLeft w:val="0"/>
                  <w:marRight w:val="0"/>
                  <w:marTop w:val="0"/>
                  <w:marBottom w:val="0"/>
                  <w:divBdr>
                    <w:top w:val="none" w:sz="0" w:space="0" w:color="auto"/>
                    <w:left w:val="none" w:sz="0" w:space="0" w:color="auto"/>
                    <w:bottom w:val="none" w:sz="0" w:space="0" w:color="auto"/>
                    <w:right w:val="none" w:sz="0" w:space="0" w:color="auto"/>
                  </w:divBdr>
                </w:div>
                <w:div w:id="439374337">
                  <w:marLeft w:val="0"/>
                  <w:marRight w:val="0"/>
                  <w:marTop w:val="0"/>
                  <w:marBottom w:val="0"/>
                  <w:divBdr>
                    <w:top w:val="none" w:sz="0" w:space="0" w:color="auto"/>
                    <w:left w:val="none" w:sz="0" w:space="0" w:color="auto"/>
                    <w:bottom w:val="none" w:sz="0" w:space="0" w:color="auto"/>
                    <w:right w:val="none" w:sz="0" w:space="0" w:color="auto"/>
                  </w:divBdr>
                </w:div>
                <w:div w:id="494614586">
                  <w:marLeft w:val="0"/>
                  <w:marRight w:val="0"/>
                  <w:marTop w:val="0"/>
                  <w:marBottom w:val="0"/>
                  <w:divBdr>
                    <w:top w:val="none" w:sz="0" w:space="0" w:color="auto"/>
                    <w:left w:val="none" w:sz="0" w:space="0" w:color="auto"/>
                    <w:bottom w:val="none" w:sz="0" w:space="0" w:color="auto"/>
                    <w:right w:val="none" w:sz="0" w:space="0" w:color="auto"/>
                  </w:divBdr>
                </w:div>
                <w:div w:id="652829296">
                  <w:marLeft w:val="0"/>
                  <w:marRight w:val="0"/>
                  <w:marTop w:val="0"/>
                  <w:marBottom w:val="0"/>
                  <w:divBdr>
                    <w:top w:val="none" w:sz="0" w:space="0" w:color="auto"/>
                    <w:left w:val="none" w:sz="0" w:space="0" w:color="auto"/>
                    <w:bottom w:val="none" w:sz="0" w:space="0" w:color="auto"/>
                    <w:right w:val="none" w:sz="0" w:space="0" w:color="auto"/>
                  </w:divBdr>
                </w:div>
                <w:div w:id="99758929">
                  <w:marLeft w:val="0"/>
                  <w:marRight w:val="0"/>
                  <w:marTop w:val="0"/>
                  <w:marBottom w:val="0"/>
                  <w:divBdr>
                    <w:top w:val="none" w:sz="0" w:space="0" w:color="auto"/>
                    <w:left w:val="none" w:sz="0" w:space="0" w:color="auto"/>
                    <w:bottom w:val="none" w:sz="0" w:space="0" w:color="auto"/>
                    <w:right w:val="none" w:sz="0" w:space="0" w:color="auto"/>
                  </w:divBdr>
                </w:div>
                <w:div w:id="857278685">
                  <w:marLeft w:val="0"/>
                  <w:marRight w:val="0"/>
                  <w:marTop w:val="0"/>
                  <w:marBottom w:val="0"/>
                  <w:divBdr>
                    <w:top w:val="none" w:sz="0" w:space="0" w:color="auto"/>
                    <w:left w:val="none" w:sz="0" w:space="0" w:color="auto"/>
                    <w:bottom w:val="none" w:sz="0" w:space="0" w:color="auto"/>
                    <w:right w:val="none" w:sz="0" w:space="0" w:color="auto"/>
                  </w:divBdr>
                </w:div>
                <w:div w:id="403727921">
                  <w:marLeft w:val="0"/>
                  <w:marRight w:val="0"/>
                  <w:marTop w:val="0"/>
                  <w:marBottom w:val="0"/>
                  <w:divBdr>
                    <w:top w:val="none" w:sz="0" w:space="0" w:color="auto"/>
                    <w:left w:val="none" w:sz="0" w:space="0" w:color="auto"/>
                    <w:bottom w:val="none" w:sz="0" w:space="0" w:color="auto"/>
                    <w:right w:val="none" w:sz="0" w:space="0" w:color="auto"/>
                  </w:divBdr>
                </w:div>
                <w:div w:id="2136867681">
                  <w:marLeft w:val="0"/>
                  <w:marRight w:val="0"/>
                  <w:marTop w:val="0"/>
                  <w:marBottom w:val="0"/>
                  <w:divBdr>
                    <w:top w:val="none" w:sz="0" w:space="0" w:color="auto"/>
                    <w:left w:val="none" w:sz="0" w:space="0" w:color="auto"/>
                    <w:bottom w:val="none" w:sz="0" w:space="0" w:color="auto"/>
                    <w:right w:val="none" w:sz="0" w:space="0" w:color="auto"/>
                  </w:divBdr>
                </w:div>
                <w:div w:id="591283014">
                  <w:marLeft w:val="0"/>
                  <w:marRight w:val="0"/>
                  <w:marTop w:val="0"/>
                  <w:marBottom w:val="0"/>
                  <w:divBdr>
                    <w:top w:val="none" w:sz="0" w:space="0" w:color="auto"/>
                    <w:left w:val="none" w:sz="0" w:space="0" w:color="auto"/>
                    <w:bottom w:val="none" w:sz="0" w:space="0" w:color="auto"/>
                    <w:right w:val="none" w:sz="0" w:space="0" w:color="auto"/>
                  </w:divBdr>
                </w:div>
                <w:div w:id="1667587784">
                  <w:marLeft w:val="0"/>
                  <w:marRight w:val="0"/>
                  <w:marTop w:val="0"/>
                  <w:marBottom w:val="0"/>
                  <w:divBdr>
                    <w:top w:val="none" w:sz="0" w:space="0" w:color="auto"/>
                    <w:left w:val="none" w:sz="0" w:space="0" w:color="auto"/>
                    <w:bottom w:val="none" w:sz="0" w:space="0" w:color="auto"/>
                    <w:right w:val="none" w:sz="0" w:space="0" w:color="auto"/>
                  </w:divBdr>
                </w:div>
                <w:div w:id="1258364679">
                  <w:marLeft w:val="0"/>
                  <w:marRight w:val="0"/>
                  <w:marTop w:val="0"/>
                  <w:marBottom w:val="0"/>
                  <w:divBdr>
                    <w:top w:val="none" w:sz="0" w:space="0" w:color="auto"/>
                    <w:left w:val="none" w:sz="0" w:space="0" w:color="auto"/>
                    <w:bottom w:val="none" w:sz="0" w:space="0" w:color="auto"/>
                    <w:right w:val="none" w:sz="0" w:space="0" w:color="auto"/>
                  </w:divBdr>
                </w:div>
                <w:div w:id="1645621456">
                  <w:marLeft w:val="0"/>
                  <w:marRight w:val="0"/>
                  <w:marTop w:val="0"/>
                  <w:marBottom w:val="0"/>
                  <w:divBdr>
                    <w:top w:val="none" w:sz="0" w:space="0" w:color="auto"/>
                    <w:left w:val="none" w:sz="0" w:space="0" w:color="auto"/>
                    <w:bottom w:val="none" w:sz="0" w:space="0" w:color="auto"/>
                    <w:right w:val="none" w:sz="0" w:space="0" w:color="auto"/>
                  </w:divBdr>
                </w:div>
                <w:div w:id="711267945">
                  <w:marLeft w:val="0"/>
                  <w:marRight w:val="0"/>
                  <w:marTop w:val="0"/>
                  <w:marBottom w:val="0"/>
                  <w:divBdr>
                    <w:top w:val="none" w:sz="0" w:space="0" w:color="auto"/>
                    <w:left w:val="none" w:sz="0" w:space="0" w:color="auto"/>
                    <w:bottom w:val="none" w:sz="0" w:space="0" w:color="auto"/>
                    <w:right w:val="none" w:sz="0" w:space="0" w:color="auto"/>
                  </w:divBdr>
                </w:div>
                <w:div w:id="950748627">
                  <w:marLeft w:val="0"/>
                  <w:marRight w:val="0"/>
                  <w:marTop w:val="0"/>
                  <w:marBottom w:val="0"/>
                  <w:divBdr>
                    <w:top w:val="none" w:sz="0" w:space="0" w:color="auto"/>
                    <w:left w:val="none" w:sz="0" w:space="0" w:color="auto"/>
                    <w:bottom w:val="none" w:sz="0" w:space="0" w:color="auto"/>
                    <w:right w:val="none" w:sz="0" w:space="0" w:color="auto"/>
                  </w:divBdr>
                </w:div>
                <w:div w:id="1110277922">
                  <w:marLeft w:val="0"/>
                  <w:marRight w:val="0"/>
                  <w:marTop w:val="0"/>
                  <w:marBottom w:val="0"/>
                  <w:divBdr>
                    <w:top w:val="none" w:sz="0" w:space="0" w:color="auto"/>
                    <w:left w:val="none" w:sz="0" w:space="0" w:color="auto"/>
                    <w:bottom w:val="none" w:sz="0" w:space="0" w:color="auto"/>
                    <w:right w:val="none" w:sz="0" w:space="0" w:color="auto"/>
                  </w:divBdr>
                </w:div>
                <w:div w:id="1927684484">
                  <w:marLeft w:val="0"/>
                  <w:marRight w:val="0"/>
                  <w:marTop w:val="0"/>
                  <w:marBottom w:val="0"/>
                  <w:divBdr>
                    <w:top w:val="none" w:sz="0" w:space="0" w:color="auto"/>
                    <w:left w:val="none" w:sz="0" w:space="0" w:color="auto"/>
                    <w:bottom w:val="none" w:sz="0" w:space="0" w:color="auto"/>
                    <w:right w:val="none" w:sz="0" w:space="0" w:color="auto"/>
                  </w:divBdr>
                </w:div>
                <w:div w:id="1492678317">
                  <w:marLeft w:val="0"/>
                  <w:marRight w:val="0"/>
                  <w:marTop w:val="0"/>
                  <w:marBottom w:val="0"/>
                  <w:divBdr>
                    <w:top w:val="none" w:sz="0" w:space="0" w:color="auto"/>
                    <w:left w:val="none" w:sz="0" w:space="0" w:color="auto"/>
                    <w:bottom w:val="none" w:sz="0" w:space="0" w:color="auto"/>
                    <w:right w:val="none" w:sz="0" w:space="0" w:color="auto"/>
                  </w:divBdr>
                </w:div>
                <w:div w:id="2058317144">
                  <w:marLeft w:val="0"/>
                  <w:marRight w:val="0"/>
                  <w:marTop w:val="0"/>
                  <w:marBottom w:val="0"/>
                  <w:divBdr>
                    <w:top w:val="none" w:sz="0" w:space="0" w:color="auto"/>
                    <w:left w:val="none" w:sz="0" w:space="0" w:color="auto"/>
                    <w:bottom w:val="none" w:sz="0" w:space="0" w:color="auto"/>
                    <w:right w:val="none" w:sz="0" w:space="0" w:color="auto"/>
                  </w:divBdr>
                </w:div>
                <w:div w:id="1781218163">
                  <w:marLeft w:val="0"/>
                  <w:marRight w:val="0"/>
                  <w:marTop w:val="0"/>
                  <w:marBottom w:val="0"/>
                  <w:divBdr>
                    <w:top w:val="none" w:sz="0" w:space="0" w:color="auto"/>
                    <w:left w:val="none" w:sz="0" w:space="0" w:color="auto"/>
                    <w:bottom w:val="none" w:sz="0" w:space="0" w:color="auto"/>
                    <w:right w:val="none" w:sz="0" w:space="0" w:color="auto"/>
                  </w:divBdr>
                </w:div>
                <w:div w:id="934636553">
                  <w:marLeft w:val="0"/>
                  <w:marRight w:val="0"/>
                  <w:marTop w:val="0"/>
                  <w:marBottom w:val="0"/>
                  <w:divBdr>
                    <w:top w:val="none" w:sz="0" w:space="0" w:color="auto"/>
                    <w:left w:val="none" w:sz="0" w:space="0" w:color="auto"/>
                    <w:bottom w:val="none" w:sz="0" w:space="0" w:color="auto"/>
                    <w:right w:val="none" w:sz="0" w:space="0" w:color="auto"/>
                  </w:divBdr>
                </w:div>
                <w:div w:id="1199047323">
                  <w:marLeft w:val="0"/>
                  <w:marRight w:val="0"/>
                  <w:marTop w:val="0"/>
                  <w:marBottom w:val="0"/>
                  <w:divBdr>
                    <w:top w:val="none" w:sz="0" w:space="0" w:color="auto"/>
                    <w:left w:val="none" w:sz="0" w:space="0" w:color="auto"/>
                    <w:bottom w:val="none" w:sz="0" w:space="0" w:color="auto"/>
                    <w:right w:val="none" w:sz="0" w:space="0" w:color="auto"/>
                  </w:divBdr>
                </w:div>
                <w:div w:id="262153727">
                  <w:marLeft w:val="0"/>
                  <w:marRight w:val="0"/>
                  <w:marTop w:val="0"/>
                  <w:marBottom w:val="0"/>
                  <w:divBdr>
                    <w:top w:val="none" w:sz="0" w:space="0" w:color="auto"/>
                    <w:left w:val="none" w:sz="0" w:space="0" w:color="auto"/>
                    <w:bottom w:val="none" w:sz="0" w:space="0" w:color="auto"/>
                    <w:right w:val="none" w:sz="0" w:space="0" w:color="auto"/>
                  </w:divBdr>
                </w:div>
                <w:div w:id="1217622858">
                  <w:marLeft w:val="0"/>
                  <w:marRight w:val="0"/>
                  <w:marTop w:val="0"/>
                  <w:marBottom w:val="0"/>
                  <w:divBdr>
                    <w:top w:val="none" w:sz="0" w:space="0" w:color="auto"/>
                    <w:left w:val="none" w:sz="0" w:space="0" w:color="auto"/>
                    <w:bottom w:val="none" w:sz="0" w:space="0" w:color="auto"/>
                    <w:right w:val="none" w:sz="0" w:space="0" w:color="auto"/>
                  </w:divBdr>
                </w:div>
                <w:div w:id="91048724">
                  <w:marLeft w:val="0"/>
                  <w:marRight w:val="0"/>
                  <w:marTop w:val="0"/>
                  <w:marBottom w:val="0"/>
                  <w:divBdr>
                    <w:top w:val="none" w:sz="0" w:space="0" w:color="auto"/>
                    <w:left w:val="none" w:sz="0" w:space="0" w:color="auto"/>
                    <w:bottom w:val="none" w:sz="0" w:space="0" w:color="auto"/>
                    <w:right w:val="none" w:sz="0" w:space="0" w:color="auto"/>
                  </w:divBdr>
                </w:div>
                <w:div w:id="1389451182">
                  <w:marLeft w:val="0"/>
                  <w:marRight w:val="0"/>
                  <w:marTop w:val="0"/>
                  <w:marBottom w:val="0"/>
                  <w:divBdr>
                    <w:top w:val="none" w:sz="0" w:space="0" w:color="auto"/>
                    <w:left w:val="none" w:sz="0" w:space="0" w:color="auto"/>
                    <w:bottom w:val="none" w:sz="0" w:space="0" w:color="auto"/>
                    <w:right w:val="none" w:sz="0" w:space="0" w:color="auto"/>
                  </w:divBdr>
                </w:div>
                <w:div w:id="1436752412">
                  <w:marLeft w:val="0"/>
                  <w:marRight w:val="0"/>
                  <w:marTop w:val="0"/>
                  <w:marBottom w:val="0"/>
                  <w:divBdr>
                    <w:top w:val="none" w:sz="0" w:space="0" w:color="auto"/>
                    <w:left w:val="none" w:sz="0" w:space="0" w:color="auto"/>
                    <w:bottom w:val="none" w:sz="0" w:space="0" w:color="auto"/>
                    <w:right w:val="none" w:sz="0" w:space="0" w:color="auto"/>
                  </w:divBdr>
                </w:div>
                <w:div w:id="634143006">
                  <w:marLeft w:val="0"/>
                  <w:marRight w:val="0"/>
                  <w:marTop w:val="0"/>
                  <w:marBottom w:val="0"/>
                  <w:divBdr>
                    <w:top w:val="none" w:sz="0" w:space="0" w:color="auto"/>
                    <w:left w:val="none" w:sz="0" w:space="0" w:color="auto"/>
                    <w:bottom w:val="none" w:sz="0" w:space="0" w:color="auto"/>
                    <w:right w:val="none" w:sz="0" w:space="0" w:color="auto"/>
                  </w:divBdr>
                </w:div>
                <w:div w:id="1030378056">
                  <w:marLeft w:val="0"/>
                  <w:marRight w:val="0"/>
                  <w:marTop w:val="0"/>
                  <w:marBottom w:val="0"/>
                  <w:divBdr>
                    <w:top w:val="none" w:sz="0" w:space="0" w:color="auto"/>
                    <w:left w:val="none" w:sz="0" w:space="0" w:color="auto"/>
                    <w:bottom w:val="none" w:sz="0" w:space="0" w:color="auto"/>
                    <w:right w:val="none" w:sz="0" w:space="0" w:color="auto"/>
                  </w:divBdr>
                </w:div>
                <w:div w:id="1112748734">
                  <w:marLeft w:val="0"/>
                  <w:marRight w:val="0"/>
                  <w:marTop w:val="0"/>
                  <w:marBottom w:val="0"/>
                  <w:divBdr>
                    <w:top w:val="none" w:sz="0" w:space="0" w:color="auto"/>
                    <w:left w:val="none" w:sz="0" w:space="0" w:color="auto"/>
                    <w:bottom w:val="none" w:sz="0" w:space="0" w:color="auto"/>
                    <w:right w:val="none" w:sz="0" w:space="0" w:color="auto"/>
                  </w:divBdr>
                </w:div>
                <w:div w:id="827746639">
                  <w:marLeft w:val="0"/>
                  <w:marRight w:val="0"/>
                  <w:marTop w:val="0"/>
                  <w:marBottom w:val="0"/>
                  <w:divBdr>
                    <w:top w:val="none" w:sz="0" w:space="0" w:color="auto"/>
                    <w:left w:val="none" w:sz="0" w:space="0" w:color="auto"/>
                    <w:bottom w:val="none" w:sz="0" w:space="0" w:color="auto"/>
                    <w:right w:val="none" w:sz="0" w:space="0" w:color="auto"/>
                  </w:divBdr>
                </w:div>
                <w:div w:id="773017831">
                  <w:marLeft w:val="0"/>
                  <w:marRight w:val="0"/>
                  <w:marTop w:val="0"/>
                  <w:marBottom w:val="0"/>
                  <w:divBdr>
                    <w:top w:val="none" w:sz="0" w:space="0" w:color="auto"/>
                    <w:left w:val="none" w:sz="0" w:space="0" w:color="auto"/>
                    <w:bottom w:val="none" w:sz="0" w:space="0" w:color="auto"/>
                    <w:right w:val="none" w:sz="0" w:space="0" w:color="auto"/>
                  </w:divBdr>
                </w:div>
                <w:div w:id="1589346284">
                  <w:marLeft w:val="0"/>
                  <w:marRight w:val="0"/>
                  <w:marTop w:val="0"/>
                  <w:marBottom w:val="0"/>
                  <w:divBdr>
                    <w:top w:val="none" w:sz="0" w:space="0" w:color="auto"/>
                    <w:left w:val="none" w:sz="0" w:space="0" w:color="auto"/>
                    <w:bottom w:val="none" w:sz="0" w:space="0" w:color="auto"/>
                    <w:right w:val="none" w:sz="0" w:space="0" w:color="auto"/>
                  </w:divBdr>
                </w:div>
                <w:div w:id="1049308373">
                  <w:marLeft w:val="0"/>
                  <w:marRight w:val="0"/>
                  <w:marTop w:val="0"/>
                  <w:marBottom w:val="0"/>
                  <w:divBdr>
                    <w:top w:val="none" w:sz="0" w:space="0" w:color="auto"/>
                    <w:left w:val="none" w:sz="0" w:space="0" w:color="auto"/>
                    <w:bottom w:val="none" w:sz="0" w:space="0" w:color="auto"/>
                    <w:right w:val="none" w:sz="0" w:space="0" w:color="auto"/>
                  </w:divBdr>
                </w:div>
                <w:div w:id="262299332">
                  <w:marLeft w:val="0"/>
                  <w:marRight w:val="0"/>
                  <w:marTop w:val="0"/>
                  <w:marBottom w:val="0"/>
                  <w:divBdr>
                    <w:top w:val="none" w:sz="0" w:space="0" w:color="auto"/>
                    <w:left w:val="none" w:sz="0" w:space="0" w:color="auto"/>
                    <w:bottom w:val="none" w:sz="0" w:space="0" w:color="auto"/>
                    <w:right w:val="none" w:sz="0" w:space="0" w:color="auto"/>
                  </w:divBdr>
                </w:div>
                <w:div w:id="535000406">
                  <w:marLeft w:val="0"/>
                  <w:marRight w:val="0"/>
                  <w:marTop w:val="0"/>
                  <w:marBottom w:val="0"/>
                  <w:divBdr>
                    <w:top w:val="none" w:sz="0" w:space="0" w:color="auto"/>
                    <w:left w:val="none" w:sz="0" w:space="0" w:color="auto"/>
                    <w:bottom w:val="none" w:sz="0" w:space="0" w:color="auto"/>
                    <w:right w:val="none" w:sz="0" w:space="0" w:color="auto"/>
                  </w:divBdr>
                </w:div>
                <w:div w:id="58407869">
                  <w:marLeft w:val="0"/>
                  <w:marRight w:val="0"/>
                  <w:marTop w:val="0"/>
                  <w:marBottom w:val="0"/>
                  <w:divBdr>
                    <w:top w:val="none" w:sz="0" w:space="0" w:color="auto"/>
                    <w:left w:val="none" w:sz="0" w:space="0" w:color="auto"/>
                    <w:bottom w:val="none" w:sz="0" w:space="0" w:color="auto"/>
                    <w:right w:val="none" w:sz="0" w:space="0" w:color="auto"/>
                  </w:divBdr>
                </w:div>
                <w:div w:id="1800755566">
                  <w:marLeft w:val="0"/>
                  <w:marRight w:val="0"/>
                  <w:marTop w:val="0"/>
                  <w:marBottom w:val="0"/>
                  <w:divBdr>
                    <w:top w:val="none" w:sz="0" w:space="0" w:color="auto"/>
                    <w:left w:val="none" w:sz="0" w:space="0" w:color="auto"/>
                    <w:bottom w:val="none" w:sz="0" w:space="0" w:color="auto"/>
                    <w:right w:val="none" w:sz="0" w:space="0" w:color="auto"/>
                  </w:divBdr>
                </w:div>
                <w:div w:id="1834755637">
                  <w:marLeft w:val="0"/>
                  <w:marRight w:val="0"/>
                  <w:marTop w:val="0"/>
                  <w:marBottom w:val="0"/>
                  <w:divBdr>
                    <w:top w:val="none" w:sz="0" w:space="0" w:color="auto"/>
                    <w:left w:val="none" w:sz="0" w:space="0" w:color="auto"/>
                    <w:bottom w:val="none" w:sz="0" w:space="0" w:color="auto"/>
                    <w:right w:val="none" w:sz="0" w:space="0" w:color="auto"/>
                  </w:divBdr>
                </w:div>
                <w:div w:id="1072193270">
                  <w:marLeft w:val="0"/>
                  <w:marRight w:val="0"/>
                  <w:marTop w:val="0"/>
                  <w:marBottom w:val="0"/>
                  <w:divBdr>
                    <w:top w:val="none" w:sz="0" w:space="0" w:color="auto"/>
                    <w:left w:val="none" w:sz="0" w:space="0" w:color="auto"/>
                    <w:bottom w:val="none" w:sz="0" w:space="0" w:color="auto"/>
                    <w:right w:val="none" w:sz="0" w:space="0" w:color="auto"/>
                  </w:divBdr>
                </w:div>
                <w:div w:id="736318485">
                  <w:marLeft w:val="0"/>
                  <w:marRight w:val="0"/>
                  <w:marTop w:val="0"/>
                  <w:marBottom w:val="0"/>
                  <w:divBdr>
                    <w:top w:val="none" w:sz="0" w:space="0" w:color="auto"/>
                    <w:left w:val="none" w:sz="0" w:space="0" w:color="auto"/>
                    <w:bottom w:val="none" w:sz="0" w:space="0" w:color="auto"/>
                    <w:right w:val="none" w:sz="0" w:space="0" w:color="auto"/>
                  </w:divBdr>
                </w:div>
                <w:div w:id="1094782832">
                  <w:marLeft w:val="0"/>
                  <w:marRight w:val="0"/>
                  <w:marTop w:val="0"/>
                  <w:marBottom w:val="0"/>
                  <w:divBdr>
                    <w:top w:val="none" w:sz="0" w:space="0" w:color="auto"/>
                    <w:left w:val="none" w:sz="0" w:space="0" w:color="auto"/>
                    <w:bottom w:val="none" w:sz="0" w:space="0" w:color="auto"/>
                    <w:right w:val="none" w:sz="0" w:space="0" w:color="auto"/>
                  </w:divBdr>
                </w:div>
                <w:div w:id="1069814559">
                  <w:marLeft w:val="0"/>
                  <w:marRight w:val="0"/>
                  <w:marTop w:val="0"/>
                  <w:marBottom w:val="0"/>
                  <w:divBdr>
                    <w:top w:val="none" w:sz="0" w:space="0" w:color="auto"/>
                    <w:left w:val="none" w:sz="0" w:space="0" w:color="auto"/>
                    <w:bottom w:val="none" w:sz="0" w:space="0" w:color="auto"/>
                    <w:right w:val="none" w:sz="0" w:space="0" w:color="auto"/>
                  </w:divBdr>
                </w:div>
                <w:div w:id="510074136">
                  <w:marLeft w:val="0"/>
                  <w:marRight w:val="0"/>
                  <w:marTop w:val="0"/>
                  <w:marBottom w:val="0"/>
                  <w:divBdr>
                    <w:top w:val="none" w:sz="0" w:space="0" w:color="auto"/>
                    <w:left w:val="none" w:sz="0" w:space="0" w:color="auto"/>
                    <w:bottom w:val="none" w:sz="0" w:space="0" w:color="auto"/>
                    <w:right w:val="none" w:sz="0" w:space="0" w:color="auto"/>
                  </w:divBdr>
                </w:div>
                <w:div w:id="601567382">
                  <w:marLeft w:val="0"/>
                  <w:marRight w:val="0"/>
                  <w:marTop w:val="0"/>
                  <w:marBottom w:val="0"/>
                  <w:divBdr>
                    <w:top w:val="none" w:sz="0" w:space="0" w:color="auto"/>
                    <w:left w:val="none" w:sz="0" w:space="0" w:color="auto"/>
                    <w:bottom w:val="none" w:sz="0" w:space="0" w:color="auto"/>
                    <w:right w:val="none" w:sz="0" w:space="0" w:color="auto"/>
                  </w:divBdr>
                </w:div>
                <w:div w:id="46145257">
                  <w:marLeft w:val="0"/>
                  <w:marRight w:val="0"/>
                  <w:marTop w:val="0"/>
                  <w:marBottom w:val="0"/>
                  <w:divBdr>
                    <w:top w:val="none" w:sz="0" w:space="0" w:color="auto"/>
                    <w:left w:val="none" w:sz="0" w:space="0" w:color="auto"/>
                    <w:bottom w:val="none" w:sz="0" w:space="0" w:color="auto"/>
                    <w:right w:val="none" w:sz="0" w:space="0" w:color="auto"/>
                  </w:divBdr>
                </w:div>
                <w:div w:id="1655331535">
                  <w:marLeft w:val="0"/>
                  <w:marRight w:val="0"/>
                  <w:marTop w:val="0"/>
                  <w:marBottom w:val="0"/>
                  <w:divBdr>
                    <w:top w:val="none" w:sz="0" w:space="0" w:color="auto"/>
                    <w:left w:val="none" w:sz="0" w:space="0" w:color="auto"/>
                    <w:bottom w:val="none" w:sz="0" w:space="0" w:color="auto"/>
                    <w:right w:val="none" w:sz="0" w:space="0" w:color="auto"/>
                  </w:divBdr>
                </w:div>
                <w:div w:id="426342855">
                  <w:marLeft w:val="0"/>
                  <w:marRight w:val="0"/>
                  <w:marTop w:val="0"/>
                  <w:marBottom w:val="0"/>
                  <w:divBdr>
                    <w:top w:val="none" w:sz="0" w:space="0" w:color="auto"/>
                    <w:left w:val="none" w:sz="0" w:space="0" w:color="auto"/>
                    <w:bottom w:val="none" w:sz="0" w:space="0" w:color="auto"/>
                    <w:right w:val="none" w:sz="0" w:space="0" w:color="auto"/>
                  </w:divBdr>
                </w:div>
                <w:div w:id="1843932994">
                  <w:marLeft w:val="0"/>
                  <w:marRight w:val="0"/>
                  <w:marTop w:val="0"/>
                  <w:marBottom w:val="0"/>
                  <w:divBdr>
                    <w:top w:val="none" w:sz="0" w:space="0" w:color="auto"/>
                    <w:left w:val="none" w:sz="0" w:space="0" w:color="auto"/>
                    <w:bottom w:val="none" w:sz="0" w:space="0" w:color="auto"/>
                    <w:right w:val="none" w:sz="0" w:space="0" w:color="auto"/>
                  </w:divBdr>
                </w:div>
                <w:div w:id="267588757">
                  <w:marLeft w:val="0"/>
                  <w:marRight w:val="0"/>
                  <w:marTop w:val="0"/>
                  <w:marBottom w:val="0"/>
                  <w:divBdr>
                    <w:top w:val="none" w:sz="0" w:space="0" w:color="auto"/>
                    <w:left w:val="none" w:sz="0" w:space="0" w:color="auto"/>
                    <w:bottom w:val="none" w:sz="0" w:space="0" w:color="auto"/>
                    <w:right w:val="none" w:sz="0" w:space="0" w:color="auto"/>
                  </w:divBdr>
                </w:div>
                <w:div w:id="421805271">
                  <w:marLeft w:val="0"/>
                  <w:marRight w:val="0"/>
                  <w:marTop w:val="0"/>
                  <w:marBottom w:val="0"/>
                  <w:divBdr>
                    <w:top w:val="none" w:sz="0" w:space="0" w:color="auto"/>
                    <w:left w:val="none" w:sz="0" w:space="0" w:color="auto"/>
                    <w:bottom w:val="none" w:sz="0" w:space="0" w:color="auto"/>
                    <w:right w:val="none" w:sz="0" w:space="0" w:color="auto"/>
                  </w:divBdr>
                </w:div>
                <w:div w:id="1361934230">
                  <w:marLeft w:val="0"/>
                  <w:marRight w:val="0"/>
                  <w:marTop w:val="0"/>
                  <w:marBottom w:val="0"/>
                  <w:divBdr>
                    <w:top w:val="none" w:sz="0" w:space="0" w:color="auto"/>
                    <w:left w:val="none" w:sz="0" w:space="0" w:color="auto"/>
                    <w:bottom w:val="none" w:sz="0" w:space="0" w:color="auto"/>
                    <w:right w:val="none" w:sz="0" w:space="0" w:color="auto"/>
                  </w:divBdr>
                </w:div>
                <w:div w:id="1772243473">
                  <w:marLeft w:val="0"/>
                  <w:marRight w:val="0"/>
                  <w:marTop w:val="0"/>
                  <w:marBottom w:val="0"/>
                  <w:divBdr>
                    <w:top w:val="none" w:sz="0" w:space="0" w:color="auto"/>
                    <w:left w:val="none" w:sz="0" w:space="0" w:color="auto"/>
                    <w:bottom w:val="none" w:sz="0" w:space="0" w:color="auto"/>
                    <w:right w:val="none" w:sz="0" w:space="0" w:color="auto"/>
                  </w:divBdr>
                </w:div>
                <w:div w:id="250161377">
                  <w:marLeft w:val="0"/>
                  <w:marRight w:val="0"/>
                  <w:marTop w:val="0"/>
                  <w:marBottom w:val="0"/>
                  <w:divBdr>
                    <w:top w:val="none" w:sz="0" w:space="0" w:color="auto"/>
                    <w:left w:val="none" w:sz="0" w:space="0" w:color="auto"/>
                    <w:bottom w:val="none" w:sz="0" w:space="0" w:color="auto"/>
                    <w:right w:val="none" w:sz="0" w:space="0" w:color="auto"/>
                  </w:divBdr>
                </w:div>
                <w:div w:id="1569219182">
                  <w:marLeft w:val="0"/>
                  <w:marRight w:val="0"/>
                  <w:marTop w:val="0"/>
                  <w:marBottom w:val="0"/>
                  <w:divBdr>
                    <w:top w:val="none" w:sz="0" w:space="0" w:color="auto"/>
                    <w:left w:val="none" w:sz="0" w:space="0" w:color="auto"/>
                    <w:bottom w:val="none" w:sz="0" w:space="0" w:color="auto"/>
                    <w:right w:val="none" w:sz="0" w:space="0" w:color="auto"/>
                  </w:divBdr>
                </w:div>
                <w:div w:id="684358807">
                  <w:marLeft w:val="0"/>
                  <w:marRight w:val="0"/>
                  <w:marTop w:val="0"/>
                  <w:marBottom w:val="0"/>
                  <w:divBdr>
                    <w:top w:val="none" w:sz="0" w:space="0" w:color="auto"/>
                    <w:left w:val="none" w:sz="0" w:space="0" w:color="auto"/>
                    <w:bottom w:val="none" w:sz="0" w:space="0" w:color="auto"/>
                    <w:right w:val="none" w:sz="0" w:space="0" w:color="auto"/>
                  </w:divBdr>
                </w:div>
                <w:div w:id="1721899492">
                  <w:marLeft w:val="0"/>
                  <w:marRight w:val="0"/>
                  <w:marTop w:val="0"/>
                  <w:marBottom w:val="0"/>
                  <w:divBdr>
                    <w:top w:val="none" w:sz="0" w:space="0" w:color="auto"/>
                    <w:left w:val="none" w:sz="0" w:space="0" w:color="auto"/>
                    <w:bottom w:val="none" w:sz="0" w:space="0" w:color="auto"/>
                    <w:right w:val="none" w:sz="0" w:space="0" w:color="auto"/>
                  </w:divBdr>
                </w:div>
                <w:div w:id="1312057941">
                  <w:marLeft w:val="0"/>
                  <w:marRight w:val="0"/>
                  <w:marTop w:val="0"/>
                  <w:marBottom w:val="0"/>
                  <w:divBdr>
                    <w:top w:val="none" w:sz="0" w:space="0" w:color="auto"/>
                    <w:left w:val="none" w:sz="0" w:space="0" w:color="auto"/>
                    <w:bottom w:val="none" w:sz="0" w:space="0" w:color="auto"/>
                    <w:right w:val="none" w:sz="0" w:space="0" w:color="auto"/>
                  </w:divBdr>
                </w:div>
                <w:div w:id="1994874733">
                  <w:marLeft w:val="0"/>
                  <w:marRight w:val="0"/>
                  <w:marTop w:val="0"/>
                  <w:marBottom w:val="0"/>
                  <w:divBdr>
                    <w:top w:val="none" w:sz="0" w:space="0" w:color="auto"/>
                    <w:left w:val="none" w:sz="0" w:space="0" w:color="auto"/>
                    <w:bottom w:val="none" w:sz="0" w:space="0" w:color="auto"/>
                    <w:right w:val="none" w:sz="0" w:space="0" w:color="auto"/>
                  </w:divBdr>
                </w:div>
                <w:div w:id="1792632282">
                  <w:marLeft w:val="0"/>
                  <w:marRight w:val="0"/>
                  <w:marTop w:val="0"/>
                  <w:marBottom w:val="0"/>
                  <w:divBdr>
                    <w:top w:val="none" w:sz="0" w:space="0" w:color="auto"/>
                    <w:left w:val="none" w:sz="0" w:space="0" w:color="auto"/>
                    <w:bottom w:val="none" w:sz="0" w:space="0" w:color="auto"/>
                    <w:right w:val="none" w:sz="0" w:space="0" w:color="auto"/>
                  </w:divBdr>
                </w:div>
                <w:div w:id="1982734243">
                  <w:marLeft w:val="0"/>
                  <w:marRight w:val="0"/>
                  <w:marTop w:val="0"/>
                  <w:marBottom w:val="0"/>
                  <w:divBdr>
                    <w:top w:val="none" w:sz="0" w:space="0" w:color="auto"/>
                    <w:left w:val="none" w:sz="0" w:space="0" w:color="auto"/>
                    <w:bottom w:val="none" w:sz="0" w:space="0" w:color="auto"/>
                    <w:right w:val="none" w:sz="0" w:space="0" w:color="auto"/>
                  </w:divBdr>
                </w:div>
                <w:div w:id="841774896">
                  <w:marLeft w:val="0"/>
                  <w:marRight w:val="0"/>
                  <w:marTop w:val="0"/>
                  <w:marBottom w:val="0"/>
                  <w:divBdr>
                    <w:top w:val="none" w:sz="0" w:space="0" w:color="auto"/>
                    <w:left w:val="none" w:sz="0" w:space="0" w:color="auto"/>
                    <w:bottom w:val="none" w:sz="0" w:space="0" w:color="auto"/>
                    <w:right w:val="none" w:sz="0" w:space="0" w:color="auto"/>
                  </w:divBdr>
                </w:div>
                <w:div w:id="434600181">
                  <w:marLeft w:val="0"/>
                  <w:marRight w:val="0"/>
                  <w:marTop w:val="0"/>
                  <w:marBottom w:val="0"/>
                  <w:divBdr>
                    <w:top w:val="none" w:sz="0" w:space="0" w:color="auto"/>
                    <w:left w:val="none" w:sz="0" w:space="0" w:color="auto"/>
                    <w:bottom w:val="none" w:sz="0" w:space="0" w:color="auto"/>
                    <w:right w:val="none" w:sz="0" w:space="0" w:color="auto"/>
                  </w:divBdr>
                </w:div>
                <w:div w:id="1996251428">
                  <w:marLeft w:val="0"/>
                  <w:marRight w:val="0"/>
                  <w:marTop w:val="0"/>
                  <w:marBottom w:val="0"/>
                  <w:divBdr>
                    <w:top w:val="none" w:sz="0" w:space="0" w:color="auto"/>
                    <w:left w:val="none" w:sz="0" w:space="0" w:color="auto"/>
                    <w:bottom w:val="none" w:sz="0" w:space="0" w:color="auto"/>
                    <w:right w:val="none" w:sz="0" w:space="0" w:color="auto"/>
                  </w:divBdr>
                </w:div>
                <w:div w:id="1057243493">
                  <w:marLeft w:val="0"/>
                  <w:marRight w:val="0"/>
                  <w:marTop w:val="0"/>
                  <w:marBottom w:val="0"/>
                  <w:divBdr>
                    <w:top w:val="none" w:sz="0" w:space="0" w:color="auto"/>
                    <w:left w:val="none" w:sz="0" w:space="0" w:color="auto"/>
                    <w:bottom w:val="none" w:sz="0" w:space="0" w:color="auto"/>
                    <w:right w:val="none" w:sz="0" w:space="0" w:color="auto"/>
                  </w:divBdr>
                </w:div>
                <w:div w:id="1408108583">
                  <w:marLeft w:val="0"/>
                  <w:marRight w:val="0"/>
                  <w:marTop w:val="0"/>
                  <w:marBottom w:val="0"/>
                  <w:divBdr>
                    <w:top w:val="none" w:sz="0" w:space="0" w:color="auto"/>
                    <w:left w:val="none" w:sz="0" w:space="0" w:color="auto"/>
                    <w:bottom w:val="none" w:sz="0" w:space="0" w:color="auto"/>
                    <w:right w:val="none" w:sz="0" w:space="0" w:color="auto"/>
                  </w:divBdr>
                </w:div>
                <w:div w:id="15336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952611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3519278">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55392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5096821">
      <w:bodyDiv w:val="1"/>
      <w:marLeft w:val="0"/>
      <w:marRight w:val="0"/>
      <w:marTop w:val="0"/>
      <w:marBottom w:val="0"/>
      <w:divBdr>
        <w:top w:val="none" w:sz="0" w:space="0" w:color="auto"/>
        <w:left w:val="none" w:sz="0" w:space="0" w:color="auto"/>
        <w:bottom w:val="none" w:sz="0" w:space="0" w:color="auto"/>
        <w:right w:val="none" w:sz="0" w:space="0" w:color="auto"/>
      </w:divBdr>
    </w:div>
    <w:div w:id="84922544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855546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690202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88262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648081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18268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75942343">
      <w:bodyDiv w:val="1"/>
      <w:marLeft w:val="0"/>
      <w:marRight w:val="0"/>
      <w:marTop w:val="0"/>
      <w:marBottom w:val="0"/>
      <w:divBdr>
        <w:top w:val="none" w:sz="0" w:space="0" w:color="auto"/>
        <w:left w:val="none" w:sz="0" w:space="0" w:color="auto"/>
        <w:bottom w:val="none" w:sz="0" w:space="0" w:color="auto"/>
        <w:right w:val="none" w:sz="0" w:space="0" w:color="auto"/>
      </w:divBdr>
      <w:divsChild>
        <w:div w:id="1951818775">
          <w:marLeft w:val="0"/>
          <w:marRight w:val="0"/>
          <w:marTop w:val="0"/>
          <w:marBottom w:val="0"/>
          <w:divBdr>
            <w:top w:val="none" w:sz="0" w:space="0" w:color="auto"/>
            <w:left w:val="none" w:sz="0" w:space="0" w:color="auto"/>
            <w:bottom w:val="none" w:sz="0" w:space="0" w:color="auto"/>
            <w:right w:val="none" w:sz="0" w:space="0" w:color="auto"/>
          </w:divBdr>
          <w:divsChild>
            <w:div w:id="659894795">
              <w:marLeft w:val="0"/>
              <w:marRight w:val="0"/>
              <w:marTop w:val="0"/>
              <w:marBottom w:val="0"/>
              <w:divBdr>
                <w:top w:val="none" w:sz="0" w:space="0" w:color="auto"/>
                <w:left w:val="none" w:sz="0" w:space="0" w:color="auto"/>
                <w:bottom w:val="none" w:sz="0" w:space="0" w:color="auto"/>
                <w:right w:val="none" w:sz="0" w:space="0" w:color="auto"/>
              </w:divBdr>
              <w:divsChild>
                <w:div w:id="657616114">
                  <w:marLeft w:val="0"/>
                  <w:marRight w:val="0"/>
                  <w:marTop w:val="0"/>
                  <w:marBottom w:val="0"/>
                  <w:divBdr>
                    <w:top w:val="none" w:sz="0" w:space="0" w:color="auto"/>
                    <w:left w:val="none" w:sz="0" w:space="0" w:color="auto"/>
                    <w:bottom w:val="none" w:sz="0" w:space="0" w:color="auto"/>
                    <w:right w:val="none" w:sz="0" w:space="0" w:color="auto"/>
                  </w:divBdr>
                  <w:divsChild>
                    <w:div w:id="447046434">
                      <w:marLeft w:val="0"/>
                      <w:marRight w:val="0"/>
                      <w:marTop w:val="0"/>
                      <w:marBottom w:val="0"/>
                      <w:divBdr>
                        <w:top w:val="none" w:sz="0" w:space="0" w:color="auto"/>
                        <w:left w:val="single" w:sz="12" w:space="4" w:color="0000FF"/>
                        <w:bottom w:val="none" w:sz="0" w:space="0" w:color="auto"/>
                        <w:right w:val="none" w:sz="0" w:space="0" w:color="auto"/>
                      </w:divBdr>
                    </w:div>
                  </w:divsChild>
                </w:div>
              </w:divsChild>
            </w:div>
          </w:divsChild>
        </w:div>
      </w:divsChild>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6800323">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0456731">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71567388">
      <w:bodyDiv w:val="1"/>
      <w:marLeft w:val="0"/>
      <w:marRight w:val="0"/>
      <w:marTop w:val="0"/>
      <w:marBottom w:val="0"/>
      <w:divBdr>
        <w:top w:val="none" w:sz="0" w:space="0" w:color="auto"/>
        <w:left w:val="none" w:sz="0" w:space="0" w:color="auto"/>
        <w:bottom w:val="none" w:sz="0" w:space="0" w:color="auto"/>
        <w:right w:val="none" w:sz="0" w:space="0" w:color="auto"/>
      </w:divBdr>
    </w:div>
    <w:div w:id="168397070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4472005">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6899739">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4372012">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8610033">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2940552">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FD98C-CA83-4B08-84FE-FA3A4E81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15</Pages>
  <Words>3714</Words>
  <Characters>19552</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1901-01-01T05:00:00Z</cp:lastPrinted>
  <dcterms:created xsi:type="dcterms:W3CDTF">2016-03-14T01:45:00Z</dcterms:created>
  <dcterms:modified xsi:type="dcterms:W3CDTF">2016-03-14T01:45:00Z</dcterms:modified>
</cp:coreProperties>
</file>