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DCB2801" w:rsidR="00CA09B2" w:rsidRDefault="009C6869" w:rsidP="00B838A6">
            <w:pPr>
              <w:pStyle w:val="T2"/>
            </w:pPr>
            <w:r>
              <w:t>Resolution</w:t>
            </w:r>
            <w:r w:rsidR="00B838A6">
              <w:t>s</w:t>
            </w:r>
            <w:r>
              <w:t xml:space="preserve"> </w:t>
            </w:r>
            <w:r w:rsidR="00BC5BC9">
              <w:t xml:space="preserve">for </w:t>
            </w:r>
            <w:r w:rsidR="00B838A6">
              <w:t xml:space="preserve">CID 7292 </w:t>
            </w:r>
            <w:r w:rsidR="00BC5BC9">
              <w:t>D5.0</w:t>
            </w:r>
          </w:p>
        </w:tc>
      </w:tr>
      <w:tr w:rsidR="00CA09B2" w14:paraId="02966D81" w14:textId="77777777">
        <w:trPr>
          <w:trHeight w:val="359"/>
          <w:jc w:val="center"/>
        </w:trPr>
        <w:tc>
          <w:tcPr>
            <w:tcW w:w="9576" w:type="dxa"/>
            <w:gridSpan w:val="5"/>
            <w:vAlign w:val="center"/>
          </w:tcPr>
          <w:p w14:paraId="286D4255" w14:textId="2843F546" w:rsidR="00CA09B2" w:rsidRDefault="00CA09B2" w:rsidP="00546C17">
            <w:pPr>
              <w:pStyle w:val="T2"/>
              <w:ind w:left="0"/>
              <w:rPr>
                <w:sz w:val="20"/>
              </w:rPr>
            </w:pPr>
            <w:bookmarkStart w:id="0" w:name="_GoBack"/>
            <w:bookmarkEnd w:id="0"/>
            <w:r>
              <w:rPr>
                <w:sz w:val="20"/>
              </w:rPr>
              <w:t>Date:</w:t>
            </w:r>
            <w:r>
              <w:rPr>
                <w:b w:val="0"/>
                <w:sz w:val="20"/>
              </w:rPr>
              <w:t xml:space="preserve">  </w:t>
            </w:r>
            <w:r w:rsidR="00E75511">
              <w:rPr>
                <w:b w:val="0"/>
                <w:sz w:val="20"/>
              </w:rPr>
              <w:t>201</w:t>
            </w:r>
            <w:r w:rsidR="006832AA">
              <w:rPr>
                <w:b w:val="0"/>
                <w:sz w:val="20"/>
              </w:rPr>
              <w:t>5-</w:t>
            </w:r>
            <w:r w:rsidR="00546C17">
              <w:rPr>
                <w:b w:val="0"/>
                <w:sz w:val="20"/>
              </w:rPr>
              <w:t>11-02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608F4" w:rsidRDefault="00A608F4">
                            <w:pPr>
                              <w:pStyle w:val="T1"/>
                              <w:spacing w:after="120"/>
                            </w:pPr>
                            <w:r>
                              <w:t>Abstract</w:t>
                            </w:r>
                          </w:p>
                          <w:p w14:paraId="42D4533A" w14:textId="3AF862E7" w:rsidR="00A608F4" w:rsidRDefault="00A608F4" w:rsidP="006832AA">
                            <w:pPr>
                              <w:jc w:val="both"/>
                            </w:pPr>
                            <w:r w:rsidRPr="004F4C90">
                              <w:t>Resolutions for a number of CID</w:t>
                            </w:r>
                            <w:r>
                              <w:t xml:space="preserve"> 7292</w:t>
                            </w:r>
                            <w:r w:rsidRPr="004F4C90">
                              <w:t xml:space="preserve"> from D5</w:t>
                            </w:r>
                          </w:p>
                          <w:p w14:paraId="492495FD" w14:textId="77777777" w:rsidR="00A608F4" w:rsidRDefault="00A608F4" w:rsidP="006832AA">
                            <w:pPr>
                              <w:jc w:val="both"/>
                            </w:pPr>
                          </w:p>
                          <w:p w14:paraId="1B9AD431" w14:textId="77777777" w:rsidR="00A608F4" w:rsidRPr="004F4C90" w:rsidRDefault="00A608F4" w:rsidP="006832AA">
                            <w:pPr>
                              <w:jc w:val="both"/>
                            </w:pPr>
                          </w:p>
                          <w:p w14:paraId="66899E20" w14:textId="77777777" w:rsidR="00A608F4" w:rsidRDefault="00A608F4" w:rsidP="006832AA">
                            <w:pPr>
                              <w:jc w:val="both"/>
                              <w:rPr>
                                <w:highlight w:val="green"/>
                              </w:rPr>
                            </w:pPr>
                          </w:p>
                          <w:p w14:paraId="792E16FD" w14:textId="77777777" w:rsidR="00A608F4" w:rsidRDefault="00A608F4" w:rsidP="006832AA">
                            <w:pPr>
                              <w:jc w:val="both"/>
                            </w:pPr>
                            <w:r w:rsidRPr="007E75AC">
                              <w:rPr>
                                <w:highlight w:val="green"/>
                              </w:rPr>
                              <w:t>Green</w:t>
                            </w:r>
                            <w:r>
                              <w:t xml:space="preserve"> indicates material agreed to in the group, </w:t>
                            </w:r>
                          </w:p>
                          <w:p w14:paraId="2199A832" w14:textId="77777777" w:rsidR="00A608F4" w:rsidRPr="00A0482F" w:rsidRDefault="00A608F4"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A608F4" w:rsidRDefault="00A608F4" w:rsidP="006832AA">
                            <w:pPr>
                              <w:jc w:val="both"/>
                            </w:pPr>
                            <w:r w:rsidRPr="00066DE4">
                              <w:rPr>
                                <w:highlight w:val="cyan"/>
                              </w:rPr>
                              <w:t>cyan</w:t>
                            </w:r>
                            <w:r>
                              <w:t xml:space="preserve"> material not to be overlooked.  </w:t>
                            </w:r>
                          </w:p>
                          <w:p w14:paraId="3A97AE21" w14:textId="77777777" w:rsidR="00A608F4" w:rsidRDefault="00A608F4" w:rsidP="006832AA">
                            <w:pPr>
                              <w:jc w:val="both"/>
                            </w:pPr>
                          </w:p>
                          <w:p w14:paraId="722F1938" w14:textId="77777777" w:rsidR="00A608F4" w:rsidRDefault="00A608F4" w:rsidP="006832AA">
                            <w:pPr>
                              <w:jc w:val="both"/>
                            </w:pPr>
                            <w:r>
                              <w:t>The “Final” view should be selected in Word.</w:t>
                            </w:r>
                          </w:p>
                          <w:p w14:paraId="3273BE81" w14:textId="77777777" w:rsidR="00A608F4" w:rsidRDefault="00A608F4" w:rsidP="006832AA">
                            <w:pPr>
                              <w:jc w:val="both"/>
                            </w:pPr>
                          </w:p>
                          <w:p w14:paraId="1D60250B" w14:textId="77777777" w:rsidR="00A608F4" w:rsidRDefault="00A608F4" w:rsidP="006832AA">
                            <w:pPr>
                              <w:jc w:val="both"/>
                            </w:pPr>
                          </w:p>
                          <w:p w14:paraId="4E9EE86F" w14:textId="77777777" w:rsidR="00A608F4" w:rsidRDefault="00A608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A608F4" w:rsidRDefault="00A608F4">
                      <w:pPr>
                        <w:pStyle w:val="T1"/>
                        <w:spacing w:after="120"/>
                      </w:pPr>
                      <w:r>
                        <w:t>Abstract</w:t>
                      </w:r>
                    </w:p>
                    <w:p w14:paraId="42D4533A" w14:textId="3AF862E7" w:rsidR="00A608F4" w:rsidRDefault="00A608F4" w:rsidP="006832AA">
                      <w:pPr>
                        <w:jc w:val="both"/>
                      </w:pPr>
                      <w:r w:rsidRPr="004F4C90">
                        <w:t>Resolutions for a number of CID</w:t>
                      </w:r>
                      <w:r>
                        <w:t xml:space="preserve"> 7292</w:t>
                      </w:r>
                      <w:r w:rsidRPr="004F4C90">
                        <w:t xml:space="preserve"> from D5</w:t>
                      </w:r>
                    </w:p>
                    <w:p w14:paraId="492495FD" w14:textId="77777777" w:rsidR="00A608F4" w:rsidRDefault="00A608F4" w:rsidP="006832AA">
                      <w:pPr>
                        <w:jc w:val="both"/>
                      </w:pPr>
                    </w:p>
                    <w:p w14:paraId="1B9AD431" w14:textId="77777777" w:rsidR="00A608F4" w:rsidRPr="004F4C90" w:rsidRDefault="00A608F4" w:rsidP="006832AA">
                      <w:pPr>
                        <w:jc w:val="both"/>
                      </w:pPr>
                    </w:p>
                    <w:p w14:paraId="66899E20" w14:textId="77777777" w:rsidR="00A608F4" w:rsidRDefault="00A608F4" w:rsidP="006832AA">
                      <w:pPr>
                        <w:jc w:val="both"/>
                        <w:rPr>
                          <w:highlight w:val="green"/>
                        </w:rPr>
                      </w:pPr>
                    </w:p>
                    <w:p w14:paraId="792E16FD" w14:textId="77777777" w:rsidR="00A608F4" w:rsidRDefault="00A608F4" w:rsidP="006832AA">
                      <w:pPr>
                        <w:jc w:val="both"/>
                      </w:pPr>
                      <w:r w:rsidRPr="007E75AC">
                        <w:rPr>
                          <w:highlight w:val="green"/>
                        </w:rPr>
                        <w:t>Green</w:t>
                      </w:r>
                      <w:r>
                        <w:t xml:space="preserve"> indicates material agreed to in the group, </w:t>
                      </w:r>
                    </w:p>
                    <w:p w14:paraId="2199A832" w14:textId="77777777" w:rsidR="00A608F4" w:rsidRPr="00A0482F" w:rsidRDefault="00A608F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A608F4" w:rsidRDefault="00A608F4" w:rsidP="006832AA">
                      <w:pPr>
                        <w:jc w:val="both"/>
                      </w:pPr>
                      <w:proofErr w:type="gramStart"/>
                      <w:r w:rsidRPr="00066DE4">
                        <w:rPr>
                          <w:highlight w:val="cyan"/>
                        </w:rPr>
                        <w:t>cyan</w:t>
                      </w:r>
                      <w:proofErr w:type="gramEnd"/>
                      <w:r>
                        <w:t xml:space="preserve"> material not to be overlooked.  </w:t>
                      </w:r>
                    </w:p>
                    <w:p w14:paraId="3A97AE21" w14:textId="77777777" w:rsidR="00A608F4" w:rsidRDefault="00A608F4" w:rsidP="006832AA">
                      <w:pPr>
                        <w:jc w:val="both"/>
                      </w:pPr>
                    </w:p>
                    <w:p w14:paraId="722F1938" w14:textId="77777777" w:rsidR="00A608F4" w:rsidRDefault="00A608F4" w:rsidP="006832AA">
                      <w:pPr>
                        <w:jc w:val="both"/>
                      </w:pPr>
                      <w:r>
                        <w:t>The “Final” view should be selected in Word.</w:t>
                      </w:r>
                    </w:p>
                    <w:p w14:paraId="3273BE81" w14:textId="77777777" w:rsidR="00A608F4" w:rsidRDefault="00A608F4" w:rsidP="006832AA">
                      <w:pPr>
                        <w:jc w:val="both"/>
                      </w:pPr>
                    </w:p>
                    <w:p w14:paraId="1D60250B" w14:textId="77777777" w:rsidR="00A608F4" w:rsidRDefault="00A608F4" w:rsidP="006832AA">
                      <w:pPr>
                        <w:jc w:val="both"/>
                      </w:pPr>
                    </w:p>
                    <w:p w14:paraId="4E9EE86F" w14:textId="77777777" w:rsidR="00A608F4" w:rsidRDefault="00A608F4">
                      <w:pPr>
                        <w:jc w:val="both"/>
                      </w:pPr>
                    </w:p>
                  </w:txbxContent>
                </v:textbox>
              </v:shape>
            </w:pict>
          </mc:Fallback>
        </mc:AlternateContent>
      </w:r>
    </w:p>
    <w:p w14:paraId="541E20A5" w14:textId="65F6F86E" w:rsidR="00CA09B2" w:rsidRDefault="00CA09B2">
      <w:r>
        <w:br w:type="page"/>
      </w:r>
    </w:p>
    <w:p w14:paraId="562D44C6" w14:textId="6A84BAAF" w:rsidR="004A3357" w:rsidRDefault="00B838A6">
      <w:r w:rsidRPr="00B838A6">
        <w:rPr>
          <w:noProof/>
          <w:lang w:val="en-US"/>
        </w:rPr>
        <w:lastRenderedPageBreak/>
        <w:drawing>
          <wp:inline distT="0" distB="0" distL="0" distR="0" wp14:anchorId="0735A19C" wp14:editId="59CF232C">
            <wp:extent cx="6524625" cy="2114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4625" cy="2114550"/>
                    </a:xfrm>
                    <a:prstGeom prst="rect">
                      <a:avLst/>
                    </a:prstGeom>
                    <a:noFill/>
                    <a:ln>
                      <a:noFill/>
                    </a:ln>
                  </pic:spPr>
                </pic:pic>
              </a:graphicData>
            </a:graphic>
          </wp:inline>
        </w:drawing>
      </w:r>
    </w:p>
    <w:p w14:paraId="7A8546CB" w14:textId="77777777" w:rsidR="00FA2E34" w:rsidRDefault="00FA2E34"/>
    <w:p w14:paraId="65F9C498" w14:textId="77777777" w:rsidR="00FA2E34" w:rsidRDefault="00FA2E34"/>
    <w:p w14:paraId="283FF1F3" w14:textId="65FD2DF0" w:rsidR="004A3357" w:rsidRDefault="004A3357">
      <w:r>
        <w:t>Discussion</w:t>
      </w:r>
    </w:p>
    <w:p w14:paraId="3831B518" w14:textId="77401600" w:rsidR="004A3357" w:rsidRDefault="00330FE1">
      <w:r>
        <w:t>There are no ins</w:t>
      </w:r>
      <w:r w:rsidR="002B53A5">
        <w:t>ta</w:t>
      </w:r>
      <w:r>
        <w:t>nces of “SupportedRate”</w:t>
      </w:r>
    </w:p>
    <w:p w14:paraId="59C6E14E" w14:textId="335471EB" w:rsidR="00330FE1" w:rsidRDefault="00330FE1">
      <w:r>
        <w:t>There are 10 instances of “Supported Rate” or “supported rate”</w:t>
      </w:r>
    </w:p>
    <w:p w14:paraId="552568DF" w14:textId="39702898" w:rsidR="00330FE1" w:rsidRDefault="00330FE1">
      <w:r>
        <w:t xml:space="preserve">All </w:t>
      </w:r>
      <w:r w:rsidR="00627113">
        <w:t xml:space="preserve">but 2 </w:t>
      </w:r>
      <w:r>
        <w:t>of these are in 9.4.2.3</w:t>
      </w:r>
      <w:r w:rsidRPr="00330FE1">
        <w:t xml:space="preserve"> </w:t>
      </w:r>
      <w:r>
        <w:t>Supported Rates and BSS Membership Selectors element AND 9.4.2.13 Extended</w:t>
      </w:r>
      <w:r w:rsidRPr="00330FE1">
        <w:t xml:space="preserve"> </w:t>
      </w:r>
      <w:r>
        <w:t>Supported Rates and B</w:t>
      </w:r>
      <w:r w:rsidR="00627113">
        <w:t>SS Membership Selectors element.  (operational rate se definition and PICS PC27 P2692.55</w:t>
      </w:r>
    </w:p>
    <w:p w14:paraId="0F89EDB0" w14:textId="77777777" w:rsidR="00627113" w:rsidRDefault="00627113"/>
    <w:p w14:paraId="12C7C3E9" w14:textId="6013B79A" w:rsidR="00330FE1" w:rsidRDefault="00330FE1">
      <w:r>
        <w:t xml:space="preserve">There are 169 instances of “Supported Rates” </w:t>
      </w:r>
    </w:p>
    <w:p w14:paraId="6F77818C" w14:textId="77777777" w:rsidR="00627113" w:rsidRDefault="00627113"/>
    <w:p w14:paraId="56B1BDE9" w14:textId="6F295231" w:rsidR="00627113" w:rsidRDefault="00627113">
      <w:r>
        <w:t>There are 14 instances of SupportedRates all in Clause 6.</w:t>
      </w:r>
    </w:p>
    <w:p w14:paraId="14B389A7" w14:textId="77777777" w:rsidR="00330FE1" w:rsidRDefault="00330FE1"/>
    <w:p w14:paraId="3DBE5377" w14:textId="27933357" w:rsidR="00330FE1" w:rsidRDefault="00330FE1">
      <w:r>
        <w:t>“Supported Rates” is a field in the Supported Rates and BSS Membership Selectors element 9.4.2.3 P730.38</w:t>
      </w:r>
    </w:p>
    <w:p w14:paraId="6B757E46" w14:textId="77777777" w:rsidR="00330FE1" w:rsidRPr="00330FE1" w:rsidRDefault="00330FE1">
      <w:pPr>
        <w:rPr>
          <w:sz w:val="24"/>
        </w:rPr>
      </w:pPr>
    </w:p>
    <w:p w14:paraId="19F8E376" w14:textId="77777777" w:rsidR="00330FE1" w:rsidRPr="00330FE1" w:rsidRDefault="00330FE1" w:rsidP="00330FE1">
      <w:pPr>
        <w:autoSpaceDE w:val="0"/>
        <w:autoSpaceDN w:val="0"/>
        <w:adjustRightInd w:val="0"/>
        <w:rPr>
          <w:rFonts w:ascii="Arial-BoldMT" w:hAnsi="Arial-BoldMT" w:cs="Arial-BoldMT"/>
          <w:b/>
          <w:bCs/>
          <w:lang w:val="en-US" w:eastAsia="ja-JP"/>
        </w:rPr>
      </w:pPr>
      <w:r w:rsidRPr="00330FE1">
        <w:rPr>
          <w:rFonts w:ascii="Arial-BoldMT" w:hAnsi="Arial-BoldMT" w:cs="Arial-BoldMT"/>
          <w:b/>
          <w:bCs/>
          <w:lang w:val="en-US" w:eastAsia="ja-JP"/>
        </w:rPr>
        <w:t>9.4.2.3 Supported Rates and BSS Membership Selectors element</w:t>
      </w:r>
    </w:p>
    <w:p w14:paraId="0A797DF4" w14:textId="0C50C8ED" w:rsidR="00330FE1" w:rsidRPr="00330FE1" w:rsidRDefault="00330FE1" w:rsidP="00330FE1">
      <w:pPr>
        <w:autoSpaceDE w:val="0"/>
        <w:autoSpaceDN w:val="0"/>
        <w:adjustRightInd w:val="0"/>
        <w:rPr>
          <w:sz w:val="24"/>
        </w:rPr>
      </w:pPr>
      <w:r w:rsidRPr="00330FE1">
        <w:rPr>
          <w:rFonts w:ascii="TimesNewRomanPSMT" w:hAnsi="TimesNewRomanPSMT" w:cs="TimesNewRomanPSMT"/>
          <w:lang w:val="en-US" w:eastAsia="ja-JP"/>
        </w:rPr>
        <w:t xml:space="preserve">The Supported Rates and BSS Membership Selectors element specifies up to </w:t>
      </w:r>
      <w:r w:rsidRPr="00EC15CF">
        <w:rPr>
          <w:rFonts w:ascii="TimesNewRomanPSMT" w:hAnsi="TimesNewRomanPSMT" w:cs="TimesNewRomanPSMT"/>
          <w:b/>
          <w:lang w:val="en-US" w:eastAsia="ja-JP"/>
        </w:rPr>
        <w:t>eight rates in the OperationalRateSet</w:t>
      </w:r>
      <w:r w:rsidRPr="00330FE1">
        <w:rPr>
          <w:rFonts w:ascii="TimesNewRomanPSMT" w:hAnsi="TimesNewRomanPSMT" w:cs="TimesNewRomanPSMT"/>
          <w:lang w:val="en-US" w:eastAsia="ja-JP"/>
        </w:rPr>
        <w:t xml:space="preserve"> parameter, as described in the MLME-JOIN.request and MLME-START.request primitives, and zero or more BSS membership selectors. The Information field is encoded as 1 to 8 octets, where each octet </w:t>
      </w:r>
      <w:r w:rsidRPr="00330FE1">
        <w:rPr>
          <w:rFonts w:ascii="TimesNewRomanPSMT" w:hAnsi="TimesNewRomanPSMT" w:cs="TimesNewRomanPSMT"/>
          <w:b/>
          <w:lang w:val="en-US" w:eastAsia="ja-JP"/>
        </w:rPr>
        <w:t>describes a single Supported Rate</w:t>
      </w:r>
      <w:r w:rsidRPr="00330FE1">
        <w:rPr>
          <w:rFonts w:ascii="TimesNewRomanPSMT" w:hAnsi="TimesNewRomanPSMT" w:cs="TimesNewRomanPSMT"/>
          <w:lang w:val="en-US" w:eastAsia="ja-JP"/>
        </w:rPr>
        <w:t xml:space="preserve"> or BSS membership selector (see Figure 9-123 (Supported Rates and BSS Membership Selectors element format)).</w:t>
      </w:r>
    </w:p>
    <w:p w14:paraId="239919AD" w14:textId="744F4C4F" w:rsidR="004A3357" w:rsidRDefault="004A3357"/>
    <w:p w14:paraId="1238D95C" w14:textId="777B4F20" w:rsidR="00330FE1" w:rsidRDefault="00330FE1">
      <w:r>
        <w:rPr>
          <w:noProof/>
          <w:lang w:val="en-US"/>
        </w:rPr>
        <w:drawing>
          <wp:inline distT="0" distB="0" distL="0" distR="0" wp14:anchorId="70D1AB9E" wp14:editId="382B7D86">
            <wp:extent cx="6400800" cy="1076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076325"/>
                    </a:xfrm>
                    <a:prstGeom prst="rect">
                      <a:avLst/>
                    </a:prstGeom>
                    <a:noFill/>
                    <a:ln>
                      <a:noFill/>
                    </a:ln>
                  </pic:spPr>
                </pic:pic>
              </a:graphicData>
            </a:graphic>
          </wp:inline>
        </w:drawing>
      </w:r>
    </w:p>
    <w:p w14:paraId="29F746CF" w14:textId="77777777" w:rsidR="00330FE1" w:rsidRDefault="00330FE1"/>
    <w:p w14:paraId="5097807A" w14:textId="3FA8370B" w:rsidR="00330FE1" w:rsidRPr="00330FE1" w:rsidRDefault="00330FE1" w:rsidP="00330FE1">
      <w:pPr>
        <w:autoSpaceDE w:val="0"/>
        <w:autoSpaceDN w:val="0"/>
        <w:adjustRightInd w:val="0"/>
        <w:rPr>
          <w:sz w:val="24"/>
        </w:rPr>
      </w:pPr>
      <w:r w:rsidRPr="00330FE1">
        <w:rPr>
          <w:rFonts w:ascii="TimesNewRomanPSMT" w:hAnsi="TimesNewRomanPSMT" w:cs="TimesNewRomanPSMT"/>
          <w:lang w:val="en-US" w:eastAsia="ja-JP"/>
        </w:rPr>
        <w:t>Within Beacon, Probe Response, Association Response, Reassociation Response, Mesh Peering Open, and</w:t>
      </w:r>
      <w:r>
        <w:rPr>
          <w:rFonts w:ascii="TimesNewRomanPSMT" w:hAnsi="TimesNewRomanPSMT" w:cs="TimesNewRomanPSMT"/>
          <w:lang w:val="en-US" w:eastAsia="ja-JP"/>
        </w:rPr>
        <w:t xml:space="preserve"> </w:t>
      </w:r>
      <w:r w:rsidRPr="00330FE1">
        <w:rPr>
          <w:rFonts w:ascii="TimesNewRomanPSMT" w:hAnsi="TimesNewRomanPSMT" w:cs="TimesNewRomanPSMT"/>
          <w:lang w:val="en-US" w:eastAsia="ja-JP"/>
        </w:rPr>
        <w:t xml:space="preserve">Mesh Peering Confirm frames, </w:t>
      </w:r>
      <w:r w:rsidRPr="00330FE1">
        <w:rPr>
          <w:rFonts w:ascii="TimesNewRomanPSMT" w:hAnsi="TimesNewRomanPSMT" w:cs="TimesNewRomanPSMT"/>
          <w:b/>
          <w:lang w:val="en-US" w:eastAsia="ja-JP"/>
        </w:rPr>
        <w:t>each Supported Rate contained in the BSSBasicRateSet parameter</w:t>
      </w:r>
      <w:r w:rsidRPr="00330FE1">
        <w:rPr>
          <w:rFonts w:ascii="TimesNewRomanPSMT" w:hAnsi="TimesNewRomanPSMT" w:cs="TimesNewRomanPSMT"/>
          <w:lang w:val="en-US" w:eastAsia="ja-JP"/>
        </w:rPr>
        <w:t xml:space="preserve"> is</w:t>
      </w:r>
      <w:r>
        <w:rPr>
          <w:rFonts w:ascii="TimesNewRomanPSMT" w:hAnsi="TimesNewRomanPSMT" w:cs="TimesNewRomanPSMT"/>
          <w:lang w:val="en-US" w:eastAsia="ja-JP"/>
        </w:rPr>
        <w:t xml:space="preserve"> </w:t>
      </w:r>
      <w:r w:rsidRPr="00330FE1">
        <w:rPr>
          <w:rFonts w:ascii="TimesNewRomanPSMT" w:hAnsi="TimesNewRomanPSMT" w:cs="TimesNewRomanPSMT"/>
          <w:lang w:val="en-US" w:eastAsia="ja-JP"/>
        </w:rPr>
        <w:t>encoded as an octet with the MSB (bit 7) set to 1, and bits 6 to 0 are set to the data rate, if necessary rounded</w:t>
      </w:r>
      <w:r>
        <w:rPr>
          <w:rFonts w:ascii="TimesNewRomanPSMT" w:hAnsi="TimesNewRomanPSMT" w:cs="TimesNewRomanPSMT"/>
          <w:lang w:val="en-US" w:eastAsia="ja-JP"/>
        </w:rPr>
        <w:t xml:space="preserve"> </w:t>
      </w:r>
      <w:r w:rsidRPr="00330FE1">
        <w:rPr>
          <w:rFonts w:ascii="TimesNewRomanPSMT" w:hAnsi="TimesNewRomanPSMT" w:cs="TimesNewRomanPSMT"/>
          <w:lang w:val="en-US" w:eastAsia="ja-JP"/>
        </w:rPr>
        <w:t>up to the next 500 kb/s, in units of 500 kb/s.</w:t>
      </w:r>
    </w:p>
    <w:p w14:paraId="5F2899EA" w14:textId="77777777" w:rsidR="00330FE1" w:rsidRDefault="00330FE1"/>
    <w:p w14:paraId="06FC4F7F" w14:textId="6E4E2898" w:rsidR="00627113" w:rsidRDefault="00627113" w:rsidP="00330FE1">
      <w:pPr>
        <w:autoSpaceDE w:val="0"/>
        <w:autoSpaceDN w:val="0"/>
        <w:adjustRightInd w:val="0"/>
        <w:rPr>
          <w:sz w:val="24"/>
        </w:rPr>
      </w:pPr>
      <w:r>
        <w:rPr>
          <w:sz w:val="24"/>
        </w:rPr>
        <w:t>OK so in text I think the concept is clear.</w:t>
      </w:r>
    </w:p>
    <w:p w14:paraId="66F74B61" w14:textId="5D58C107" w:rsidR="002B53A5" w:rsidRDefault="002B53A5" w:rsidP="002B53A5">
      <w:pPr>
        <w:autoSpaceDE w:val="0"/>
        <w:autoSpaceDN w:val="0"/>
        <w:adjustRightInd w:val="0"/>
        <w:rPr>
          <w:sz w:val="24"/>
        </w:rPr>
      </w:pPr>
      <w:r>
        <w:rPr>
          <w:sz w:val="24"/>
        </w:rPr>
        <w:t xml:space="preserve">Operational Rate Set is the complete set of rates that a STA is capable of receiving.  </w:t>
      </w:r>
    </w:p>
    <w:p w14:paraId="3813BE8D" w14:textId="77777777" w:rsidR="002B53A5" w:rsidRDefault="002B53A5" w:rsidP="002B53A5">
      <w:pPr>
        <w:autoSpaceDE w:val="0"/>
        <w:autoSpaceDN w:val="0"/>
        <w:adjustRightInd w:val="0"/>
        <w:rPr>
          <w:sz w:val="24"/>
        </w:rPr>
      </w:pPr>
      <w:r>
        <w:rPr>
          <w:sz w:val="24"/>
        </w:rPr>
        <w:t xml:space="preserve">Supported Rates are the individual rates that the STA is capable of receiving.  </w:t>
      </w:r>
    </w:p>
    <w:p w14:paraId="3ECA038F" w14:textId="77777777" w:rsidR="002B53A5" w:rsidRDefault="002B53A5" w:rsidP="00330FE1">
      <w:pPr>
        <w:autoSpaceDE w:val="0"/>
        <w:autoSpaceDN w:val="0"/>
        <w:adjustRightInd w:val="0"/>
        <w:rPr>
          <w:sz w:val="24"/>
        </w:rPr>
      </w:pPr>
    </w:p>
    <w:p w14:paraId="1F43277A" w14:textId="77777777" w:rsidR="00627113" w:rsidRDefault="00627113" w:rsidP="00330FE1">
      <w:pPr>
        <w:autoSpaceDE w:val="0"/>
        <w:autoSpaceDN w:val="0"/>
        <w:adjustRightInd w:val="0"/>
        <w:rPr>
          <w:sz w:val="24"/>
        </w:rPr>
      </w:pPr>
    </w:p>
    <w:p w14:paraId="47782EAD" w14:textId="6554A231" w:rsidR="00627113" w:rsidRDefault="00627113" w:rsidP="00330FE1">
      <w:pPr>
        <w:autoSpaceDE w:val="0"/>
        <w:autoSpaceDN w:val="0"/>
        <w:adjustRightInd w:val="0"/>
        <w:rPr>
          <w:sz w:val="24"/>
        </w:rPr>
      </w:pPr>
      <w:r>
        <w:rPr>
          <w:sz w:val="24"/>
        </w:rPr>
        <w:lastRenderedPageBreak/>
        <w:t>BACK TO COMMENT</w:t>
      </w:r>
    </w:p>
    <w:p w14:paraId="00350269" w14:textId="77777777" w:rsidR="00EC15CF" w:rsidRDefault="00627113" w:rsidP="00330FE1">
      <w:pPr>
        <w:autoSpaceDE w:val="0"/>
        <w:autoSpaceDN w:val="0"/>
        <w:adjustRightInd w:val="0"/>
        <w:rPr>
          <w:sz w:val="24"/>
        </w:rPr>
      </w:pPr>
      <w:r>
        <w:rPr>
          <w:sz w:val="24"/>
        </w:rPr>
        <w:t xml:space="preserve">This </w:t>
      </w:r>
      <w:r w:rsidR="00EC15CF">
        <w:rPr>
          <w:sz w:val="24"/>
        </w:rPr>
        <w:t>presumeably</w:t>
      </w:r>
      <w:r>
        <w:rPr>
          <w:sz w:val="24"/>
        </w:rPr>
        <w:t xml:space="preserve"> refers to the use of “SupportedRates” in Clause 6.  The first appearance is at P172.60 and then defined at P173.47 </w:t>
      </w:r>
    </w:p>
    <w:p w14:paraId="7916B2E5" w14:textId="77777777" w:rsidR="00EC15CF" w:rsidRDefault="00EC15CF" w:rsidP="00330FE1">
      <w:pPr>
        <w:autoSpaceDE w:val="0"/>
        <w:autoSpaceDN w:val="0"/>
        <w:adjustRightInd w:val="0"/>
        <w:rPr>
          <w:sz w:val="24"/>
        </w:rPr>
      </w:pPr>
    </w:p>
    <w:p w14:paraId="68A38C92" w14:textId="0CAA3743" w:rsidR="00627113" w:rsidRDefault="00627113" w:rsidP="00330FE1">
      <w:pPr>
        <w:autoSpaceDE w:val="0"/>
        <w:autoSpaceDN w:val="0"/>
        <w:adjustRightInd w:val="0"/>
        <w:rPr>
          <w:sz w:val="24"/>
        </w:rPr>
      </w:pPr>
      <w:r>
        <w:rPr>
          <w:sz w:val="24"/>
        </w:rPr>
        <w:t>MLME-ASSOCIATE.confirm</w:t>
      </w:r>
    </w:p>
    <w:p w14:paraId="0CB2DC56" w14:textId="60872DC9" w:rsidR="00627113" w:rsidRDefault="00627113" w:rsidP="00330FE1">
      <w:pPr>
        <w:autoSpaceDE w:val="0"/>
        <w:autoSpaceDN w:val="0"/>
        <w:adjustRightInd w:val="0"/>
        <w:rPr>
          <w:sz w:val="24"/>
        </w:rPr>
      </w:pPr>
      <w:r>
        <w:rPr>
          <w:noProof/>
          <w:sz w:val="24"/>
          <w:lang w:val="en-US"/>
        </w:rPr>
        <w:drawing>
          <wp:inline distT="0" distB="0" distL="0" distR="0" wp14:anchorId="0345240A" wp14:editId="6C49A68C">
            <wp:extent cx="6400800" cy="1171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71575"/>
                    </a:xfrm>
                    <a:prstGeom prst="rect">
                      <a:avLst/>
                    </a:prstGeom>
                    <a:noFill/>
                    <a:ln>
                      <a:noFill/>
                    </a:ln>
                  </pic:spPr>
                </pic:pic>
              </a:graphicData>
            </a:graphic>
          </wp:inline>
        </w:drawing>
      </w:r>
    </w:p>
    <w:p w14:paraId="3CF46BA2" w14:textId="77777777" w:rsidR="00627113" w:rsidRDefault="00627113" w:rsidP="00330FE1">
      <w:pPr>
        <w:autoSpaceDE w:val="0"/>
        <w:autoSpaceDN w:val="0"/>
        <w:adjustRightInd w:val="0"/>
        <w:rPr>
          <w:sz w:val="24"/>
        </w:rPr>
      </w:pPr>
    </w:p>
    <w:p w14:paraId="76D9F430" w14:textId="1578D4F0" w:rsidR="00EC15CF" w:rsidRDefault="00627113" w:rsidP="00330FE1">
      <w:pPr>
        <w:autoSpaceDE w:val="0"/>
        <w:autoSpaceDN w:val="0"/>
        <w:adjustRightInd w:val="0"/>
        <w:rPr>
          <w:sz w:val="24"/>
        </w:rPr>
      </w:pPr>
      <w:r>
        <w:rPr>
          <w:sz w:val="24"/>
        </w:rPr>
        <w:t>And similarly at P17</w:t>
      </w:r>
      <w:r w:rsidR="00EC15CF">
        <w:rPr>
          <w:sz w:val="24"/>
        </w:rPr>
        <w:t>7</w:t>
      </w:r>
      <w:r>
        <w:rPr>
          <w:sz w:val="24"/>
        </w:rPr>
        <w:t>.</w:t>
      </w:r>
      <w:r w:rsidR="00EC15CF">
        <w:rPr>
          <w:sz w:val="24"/>
        </w:rPr>
        <w:t>36</w:t>
      </w:r>
      <w:r>
        <w:rPr>
          <w:sz w:val="24"/>
        </w:rPr>
        <w:t xml:space="preserve"> </w:t>
      </w:r>
    </w:p>
    <w:p w14:paraId="625C0E3D" w14:textId="2279D3D8" w:rsidR="00627113" w:rsidRDefault="00627113" w:rsidP="00330FE1">
      <w:pPr>
        <w:autoSpaceDE w:val="0"/>
        <w:autoSpaceDN w:val="0"/>
        <w:adjustRightInd w:val="0"/>
        <w:rPr>
          <w:sz w:val="24"/>
        </w:rPr>
      </w:pPr>
      <w:r>
        <w:rPr>
          <w:sz w:val="24"/>
        </w:rPr>
        <w:t>MLME-ASSOCIATE.indication</w:t>
      </w:r>
    </w:p>
    <w:p w14:paraId="4854797D" w14:textId="75DF69DA" w:rsidR="00627113" w:rsidRDefault="00627113" w:rsidP="00330FE1">
      <w:pPr>
        <w:autoSpaceDE w:val="0"/>
        <w:autoSpaceDN w:val="0"/>
        <w:adjustRightInd w:val="0"/>
        <w:rPr>
          <w:sz w:val="24"/>
        </w:rPr>
      </w:pPr>
      <w:r>
        <w:rPr>
          <w:noProof/>
          <w:sz w:val="24"/>
          <w:lang w:val="en-US"/>
        </w:rPr>
        <w:drawing>
          <wp:inline distT="0" distB="0" distL="0" distR="0" wp14:anchorId="5BA7CAEE" wp14:editId="6E19FBD7">
            <wp:extent cx="6400800" cy="5486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48640"/>
                    </a:xfrm>
                    <a:prstGeom prst="rect">
                      <a:avLst/>
                    </a:prstGeom>
                    <a:noFill/>
                    <a:ln>
                      <a:noFill/>
                    </a:ln>
                  </pic:spPr>
                </pic:pic>
              </a:graphicData>
            </a:graphic>
          </wp:inline>
        </w:drawing>
      </w:r>
    </w:p>
    <w:p w14:paraId="64C8E8CC" w14:textId="77777777" w:rsidR="00EC15CF" w:rsidRDefault="00EC15CF" w:rsidP="00330FE1">
      <w:pPr>
        <w:autoSpaceDE w:val="0"/>
        <w:autoSpaceDN w:val="0"/>
        <w:adjustRightInd w:val="0"/>
        <w:rPr>
          <w:sz w:val="24"/>
        </w:rPr>
      </w:pPr>
    </w:p>
    <w:p w14:paraId="0A97C3D6" w14:textId="4259A9A7" w:rsidR="00EC15CF" w:rsidRDefault="00EC15CF" w:rsidP="00330FE1">
      <w:pPr>
        <w:autoSpaceDE w:val="0"/>
        <w:autoSpaceDN w:val="0"/>
        <w:adjustRightInd w:val="0"/>
        <w:rPr>
          <w:sz w:val="24"/>
        </w:rPr>
      </w:pPr>
      <w:r>
        <w:rPr>
          <w:sz w:val="24"/>
        </w:rPr>
        <w:t>We have separate CIDs dealing with the Valid Range.</w:t>
      </w:r>
    </w:p>
    <w:p w14:paraId="21187553" w14:textId="77777777" w:rsidR="00EC15CF" w:rsidRDefault="00EC15CF" w:rsidP="00330FE1">
      <w:pPr>
        <w:autoSpaceDE w:val="0"/>
        <w:autoSpaceDN w:val="0"/>
        <w:adjustRightInd w:val="0"/>
        <w:rPr>
          <w:sz w:val="24"/>
        </w:rPr>
      </w:pPr>
    </w:p>
    <w:p w14:paraId="04CE3481" w14:textId="6881F9CB" w:rsidR="00EC15CF" w:rsidRDefault="00EC15CF" w:rsidP="00330FE1">
      <w:pPr>
        <w:autoSpaceDE w:val="0"/>
        <w:autoSpaceDN w:val="0"/>
        <w:adjustRightInd w:val="0"/>
        <w:rPr>
          <w:sz w:val="24"/>
        </w:rPr>
      </w:pPr>
      <w:r>
        <w:rPr>
          <w:sz w:val="24"/>
        </w:rPr>
        <w:t>Let’s look at OperationalRateSet.</w:t>
      </w:r>
    </w:p>
    <w:p w14:paraId="02E85A36" w14:textId="3BBCCC13" w:rsidR="00A608F4" w:rsidRDefault="00A608F4" w:rsidP="00330FE1">
      <w:pPr>
        <w:autoSpaceDE w:val="0"/>
        <w:autoSpaceDN w:val="0"/>
        <w:adjustRightInd w:val="0"/>
        <w:rPr>
          <w:sz w:val="24"/>
        </w:rPr>
      </w:pPr>
      <w:r>
        <w:rPr>
          <w:sz w:val="24"/>
        </w:rPr>
        <w:t>There are 16 instances of “OperationalRateSet”</w:t>
      </w:r>
    </w:p>
    <w:p w14:paraId="00DB94CE" w14:textId="77777777" w:rsidR="00A608F4" w:rsidRDefault="00A608F4" w:rsidP="00330FE1">
      <w:pPr>
        <w:autoSpaceDE w:val="0"/>
        <w:autoSpaceDN w:val="0"/>
        <w:adjustRightInd w:val="0"/>
        <w:rPr>
          <w:sz w:val="24"/>
        </w:rPr>
      </w:pPr>
    </w:p>
    <w:p w14:paraId="7FA438C9" w14:textId="77777777" w:rsidR="00EC15CF" w:rsidRDefault="00EC15CF" w:rsidP="00EC15CF">
      <w:r>
        <w:t>P37.38</w:t>
      </w:r>
    </w:p>
    <w:p w14:paraId="5A23616B" w14:textId="77777777" w:rsidR="00EC15CF" w:rsidRDefault="00EC15CF" w:rsidP="00EC15CF">
      <w:pPr>
        <w:autoSpaceDE w:val="0"/>
        <w:autoSpaceDN w:val="0"/>
        <w:adjustRightInd w:val="0"/>
        <w:rPr>
          <w:rFonts w:ascii="TimesNewRomanPSMT" w:hAnsi="TimesNewRomanPSMT" w:cs="TimesNewRomanPSMT"/>
          <w:lang w:val="en-US" w:eastAsia="ja-JP"/>
        </w:rPr>
      </w:pPr>
      <w:r w:rsidRPr="00330FE1">
        <w:rPr>
          <w:rFonts w:ascii="TimesNewRomanPS-BoldMT" w:hAnsi="TimesNewRomanPS-BoldMT" w:cs="TimesNewRomanPS-BoldMT"/>
          <w:b/>
          <w:bCs/>
          <w:lang w:val="en-US" w:eastAsia="ja-JP"/>
        </w:rPr>
        <w:t xml:space="preserve">operational rate set: </w:t>
      </w:r>
      <w:r w:rsidRPr="00330FE1">
        <w:rPr>
          <w:rFonts w:ascii="TimesNewRomanPSMT" w:hAnsi="TimesNewRomanPSMT" w:cs="TimesNewRomanPSMT"/>
          <w:lang w:val="en-US" w:eastAsia="ja-JP"/>
        </w:rPr>
        <w:t xml:space="preserve">The set of data rates that a STA is capable of receiving. The operational rate set is defined locally by the OperationalRateSet parameter of the MLME-START.request or MLME-JOIN.request primitive. The operational rate set of a peer is defined by the data rates (i.e., excluding the MSB of each </w:t>
      </w:r>
      <w:r w:rsidRPr="00330FE1">
        <w:rPr>
          <w:rFonts w:ascii="TimesNewRomanPSMT" w:hAnsi="TimesNewRomanPSMT" w:cs="TimesNewRomanPSMT"/>
          <w:b/>
          <w:lang w:val="en-US" w:eastAsia="ja-JP"/>
        </w:rPr>
        <w:t>Supported Rate)</w:t>
      </w:r>
      <w:r w:rsidRPr="00330FE1">
        <w:rPr>
          <w:rFonts w:ascii="TimesNewRomanPSMT" w:hAnsi="TimesNewRomanPSMT" w:cs="TimesNewRomanPSMT"/>
          <w:lang w:val="en-US" w:eastAsia="ja-JP"/>
        </w:rPr>
        <w:t xml:space="preserve"> from the peer's </w:t>
      </w:r>
      <w:r w:rsidRPr="00330FE1">
        <w:rPr>
          <w:rFonts w:ascii="TimesNewRomanPSMT" w:hAnsi="TimesNewRomanPSMT" w:cs="TimesNewRomanPSMT"/>
          <w:b/>
          <w:lang w:val="en-US" w:eastAsia="ja-JP"/>
        </w:rPr>
        <w:t>Supported Rates</w:t>
      </w:r>
      <w:r w:rsidRPr="00330FE1">
        <w:rPr>
          <w:rFonts w:ascii="TimesNewRomanPSMT" w:hAnsi="TimesNewRomanPSMT" w:cs="TimesNewRomanPSMT"/>
          <w:lang w:val="en-US" w:eastAsia="ja-JP"/>
        </w:rPr>
        <w:t xml:space="preserve"> and BSS Membership Selectors element and, if present, the </w:t>
      </w:r>
      <w:r w:rsidRPr="00330FE1">
        <w:rPr>
          <w:rFonts w:ascii="TimesNewRomanPSMT" w:hAnsi="TimesNewRomanPSMT" w:cs="TimesNewRomanPSMT"/>
          <w:b/>
          <w:lang w:val="en-US" w:eastAsia="ja-JP"/>
        </w:rPr>
        <w:t>Extended Supported Rates</w:t>
      </w:r>
      <w:r w:rsidRPr="00330FE1">
        <w:rPr>
          <w:rFonts w:ascii="TimesNewRomanPSMT" w:hAnsi="TimesNewRomanPSMT" w:cs="TimesNewRomanPSMT"/>
          <w:lang w:val="en-US" w:eastAsia="ja-JP"/>
        </w:rPr>
        <w:t xml:space="preserve"> and BSS Membership Selectors element.</w:t>
      </w:r>
    </w:p>
    <w:p w14:paraId="28517383" w14:textId="77777777" w:rsidR="00EC15CF" w:rsidRDefault="00EC15CF" w:rsidP="00330FE1">
      <w:pPr>
        <w:autoSpaceDE w:val="0"/>
        <w:autoSpaceDN w:val="0"/>
        <w:adjustRightInd w:val="0"/>
        <w:rPr>
          <w:sz w:val="24"/>
        </w:rPr>
      </w:pPr>
    </w:p>
    <w:p w14:paraId="065E1EC4" w14:textId="5F4F84D0" w:rsidR="00EC15CF" w:rsidRDefault="00EC15CF" w:rsidP="00330FE1">
      <w:pPr>
        <w:autoSpaceDE w:val="0"/>
        <w:autoSpaceDN w:val="0"/>
        <w:adjustRightInd w:val="0"/>
        <w:rPr>
          <w:sz w:val="24"/>
        </w:rPr>
      </w:pPr>
      <w:r>
        <w:rPr>
          <w:sz w:val="24"/>
        </w:rPr>
        <w:t>MLME-JOIN.request P159.30</w:t>
      </w:r>
    </w:p>
    <w:p w14:paraId="124C8BA6" w14:textId="1961FDBA" w:rsidR="00EC15CF" w:rsidRDefault="00EC15CF" w:rsidP="00330FE1">
      <w:pPr>
        <w:autoSpaceDE w:val="0"/>
        <w:autoSpaceDN w:val="0"/>
        <w:adjustRightInd w:val="0"/>
        <w:rPr>
          <w:sz w:val="24"/>
        </w:rPr>
      </w:pPr>
      <w:r>
        <w:rPr>
          <w:noProof/>
          <w:sz w:val="24"/>
          <w:lang w:val="en-US"/>
        </w:rPr>
        <w:drawing>
          <wp:inline distT="0" distB="0" distL="0" distR="0" wp14:anchorId="3BADA656" wp14:editId="421E2443">
            <wp:extent cx="6400800" cy="1554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554480"/>
                    </a:xfrm>
                    <a:prstGeom prst="rect">
                      <a:avLst/>
                    </a:prstGeom>
                    <a:noFill/>
                    <a:ln>
                      <a:noFill/>
                    </a:ln>
                  </pic:spPr>
                </pic:pic>
              </a:graphicData>
            </a:graphic>
          </wp:inline>
        </w:drawing>
      </w:r>
    </w:p>
    <w:p w14:paraId="1B68AF90" w14:textId="77777777" w:rsidR="00A608F4" w:rsidRDefault="00A608F4" w:rsidP="00330FE1">
      <w:pPr>
        <w:autoSpaceDE w:val="0"/>
        <w:autoSpaceDN w:val="0"/>
        <w:adjustRightInd w:val="0"/>
        <w:rPr>
          <w:sz w:val="24"/>
        </w:rPr>
      </w:pPr>
    </w:p>
    <w:p w14:paraId="1A23D6AB" w14:textId="51D15D3E" w:rsidR="00A608F4" w:rsidRDefault="002B53A5" w:rsidP="00330FE1">
      <w:pPr>
        <w:autoSpaceDE w:val="0"/>
        <w:autoSpaceDN w:val="0"/>
        <w:adjustRightInd w:val="0"/>
        <w:rPr>
          <w:sz w:val="24"/>
        </w:rPr>
      </w:pPr>
      <w:r>
        <w:rPr>
          <w:sz w:val="24"/>
        </w:rPr>
        <w:t>On first look</w:t>
      </w:r>
      <w:r w:rsidR="00A608F4">
        <w:rPr>
          <w:sz w:val="24"/>
        </w:rPr>
        <w:t xml:space="preserve">, difficult to see what is the difference?  Both are super sets of the BSSBasicRateSet, both are the set of data rates that the STA can use.  </w:t>
      </w:r>
    </w:p>
    <w:p w14:paraId="54EDC12E" w14:textId="37A1DF60" w:rsidR="00A608F4" w:rsidRDefault="00A608F4" w:rsidP="00330FE1">
      <w:pPr>
        <w:autoSpaceDE w:val="0"/>
        <w:autoSpaceDN w:val="0"/>
        <w:adjustRightInd w:val="0"/>
        <w:rPr>
          <w:sz w:val="24"/>
        </w:rPr>
      </w:pPr>
      <w:r>
        <w:rPr>
          <w:sz w:val="24"/>
        </w:rPr>
        <w:t>As far as I can see the difference is that Supported Rates are those specifically included in the Supported Rates and BSS Membership Selectors element and the Extended Supported Rates and BSS Membership Selectors element</w:t>
      </w:r>
      <w:r w:rsidR="008125B5">
        <w:rPr>
          <w:sz w:val="24"/>
        </w:rPr>
        <w:t xml:space="preserve"> </w:t>
      </w:r>
      <w:r w:rsidR="002B53A5">
        <w:rPr>
          <w:sz w:val="24"/>
        </w:rPr>
        <w:t>BUT</w:t>
      </w:r>
      <w:r w:rsidR="008125B5">
        <w:rPr>
          <w:sz w:val="24"/>
        </w:rPr>
        <w:t xml:space="preserve"> </w:t>
      </w:r>
      <w:r w:rsidR="002B53A5">
        <w:rPr>
          <w:sz w:val="24"/>
        </w:rPr>
        <w:t>the</w:t>
      </w:r>
      <w:r>
        <w:rPr>
          <w:sz w:val="24"/>
        </w:rPr>
        <w:t xml:space="preserve"> OperationalRateSet </w:t>
      </w:r>
      <w:r w:rsidRPr="008125B5">
        <w:rPr>
          <w:b/>
          <w:sz w:val="24"/>
        </w:rPr>
        <w:t>is the combination of them</w:t>
      </w:r>
      <w:r w:rsidR="002B53A5">
        <w:rPr>
          <w:sz w:val="24"/>
        </w:rPr>
        <w:t xml:space="preserve"> i.e. a set.</w:t>
      </w:r>
    </w:p>
    <w:p w14:paraId="4719DB2C" w14:textId="77777777" w:rsidR="00A608F4" w:rsidRDefault="00A608F4" w:rsidP="00330FE1">
      <w:pPr>
        <w:autoSpaceDE w:val="0"/>
        <w:autoSpaceDN w:val="0"/>
        <w:adjustRightInd w:val="0"/>
        <w:rPr>
          <w:sz w:val="24"/>
        </w:rPr>
      </w:pPr>
    </w:p>
    <w:p w14:paraId="20B88AD3" w14:textId="580330E1" w:rsidR="008125B5" w:rsidRPr="002B53A5" w:rsidRDefault="008125B5" w:rsidP="00330FE1">
      <w:pPr>
        <w:autoSpaceDE w:val="0"/>
        <w:autoSpaceDN w:val="0"/>
        <w:adjustRightInd w:val="0"/>
        <w:rPr>
          <w:b/>
          <w:sz w:val="24"/>
        </w:rPr>
      </w:pPr>
      <w:r w:rsidRPr="002B53A5">
        <w:rPr>
          <w:b/>
          <w:sz w:val="24"/>
        </w:rPr>
        <w:t xml:space="preserve">Hence, </w:t>
      </w:r>
      <w:r w:rsidR="002B53A5">
        <w:rPr>
          <w:b/>
          <w:sz w:val="24"/>
        </w:rPr>
        <w:t xml:space="preserve">after all that, </w:t>
      </w:r>
      <w:r w:rsidRPr="002B53A5">
        <w:rPr>
          <w:b/>
          <w:sz w:val="24"/>
        </w:rPr>
        <w:t xml:space="preserve">as in </w:t>
      </w:r>
      <w:r w:rsidRPr="002B53A5">
        <w:rPr>
          <w:b/>
          <w:sz w:val="24"/>
          <w:u w:val="single"/>
        </w:rPr>
        <w:t>each of the MLMEs it is the complete set of rates that is referred to</w:t>
      </w:r>
      <w:r w:rsidRPr="002B53A5">
        <w:rPr>
          <w:b/>
          <w:sz w:val="24"/>
        </w:rPr>
        <w:t xml:space="preserve"> the </w:t>
      </w:r>
      <w:r w:rsidR="00A608F4" w:rsidRPr="002B53A5">
        <w:rPr>
          <w:b/>
          <w:sz w:val="24"/>
        </w:rPr>
        <w:t xml:space="preserve">“SupportedRates” should be replaced by </w:t>
      </w:r>
      <w:r w:rsidRPr="002B53A5">
        <w:rPr>
          <w:b/>
          <w:sz w:val="24"/>
        </w:rPr>
        <w:t>“OperationalRateSet”.</w:t>
      </w:r>
    </w:p>
    <w:p w14:paraId="2A98DB85" w14:textId="746B58A8" w:rsidR="00A608F4" w:rsidRDefault="008125B5" w:rsidP="00330FE1">
      <w:pPr>
        <w:autoSpaceDE w:val="0"/>
        <w:autoSpaceDN w:val="0"/>
        <w:adjustRightInd w:val="0"/>
        <w:rPr>
          <w:sz w:val="24"/>
        </w:rPr>
      </w:pPr>
      <w:r>
        <w:rPr>
          <w:sz w:val="24"/>
        </w:rPr>
        <w:lastRenderedPageBreak/>
        <w:t>Namely in the following:</w:t>
      </w:r>
      <w:r w:rsidR="00A608F4">
        <w:rPr>
          <w:sz w:val="24"/>
        </w:rPr>
        <w:t xml:space="preserve"> </w:t>
      </w:r>
    </w:p>
    <w:p w14:paraId="216642B1" w14:textId="452A3BBB" w:rsidR="00A608F4" w:rsidRDefault="00A608F4" w:rsidP="00330FE1">
      <w:pPr>
        <w:autoSpaceDE w:val="0"/>
        <w:autoSpaceDN w:val="0"/>
        <w:adjustRightInd w:val="0"/>
        <w:rPr>
          <w:sz w:val="24"/>
        </w:rPr>
      </w:pPr>
      <w:r>
        <w:rPr>
          <w:sz w:val="24"/>
        </w:rPr>
        <w:t>MLME-ASSOCIATE.confirm</w:t>
      </w:r>
    </w:p>
    <w:p w14:paraId="00425A8A" w14:textId="42F5852C" w:rsidR="00A608F4" w:rsidRDefault="00A608F4" w:rsidP="00330FE1">
      <w:pPr>
        <w:autoSpaceDE w:val="0"/>
        <w:autoSpaceDN w:val="0"/>
        <w:adjustRightInd w:val="0"/>
        <w:rPr>
          <w:sz w:val="24"/>
        </w:rPr>
      </w:pPr>
      <w:r>
        <w:rPr>
          <w:sz w:val="24"/>
        </w:rPr>
        <w:t>MLMR-ASSOCIATE.indication</w:t>
      </w:r>
    </w:p>
    <w:p w14:paraId="2AE8DC71" w14:textId="425DA707" w:rsidR="00A608F4" w:rsidRDefault="00A608F4" w:rsidP="00A608F4">
      <w:pPr>
        <w:autoSpaceDE w:val="0"/>
        <w:autoSpaceDN w:val="0"/>
        <w:adjustRightInd w:val="0"/>
        <w:rPr>
          <w:sz w:val="24"/>
        </w:rPr>
      </w:pPr>
      <w:r>
        <w:rPr>
          <w:sz w:val="24"/>
        </w:rPr>
        <w:t>MLME-REASSOCIATE.confirm</w:t>
      </w:r>
    </w:p>
    <w:p w14:paraId="592D621E" w14:textId="67B471D9" w:rsidR="00A608F4" w:rsidRDefault="00A608F4" w:rsidP="00A608F4">
      <w:pPr>
        <w:autoSpaceDE w:val="0"/>
        <w:autoSpaceDN w:val="0"/>
        <w:adjustRightInd w:val="0"/>
        <w:rPr>
          <w:sz w:val="24"/>
        </w:rPr>
      </w:pPr>
      <w:r>
        <w:rPr>
          <w:sz w:val="24"/>
        </w:rPr>
        <w:t>MLME-REASSOCIATE.indication</w:t>
      </w:r>
    </w:p>
    <w:p w14:paraId="0C981F4D" w14:textId="020DD517" w:rsidR="00A608F4" w:rsidRDefault="00A608F4" w:rsidP="00A608F4">
      <w:pPr>
        <w:autoSpaceDE w:val="0"/>
        <w:autoSpaceDN w:val="0"/>
        <w:adjustRightInd w:val="0"/>
        <w:rPr>
          <w:sz w:val="24"/>
        </w:rPr>
      </w:pPr>
      <w:r>
        <w:rPr>
          <w:sz w:val="24"/>
        </w:rPr>
        <w:t>MLME-DLS.confirm</w:t>
      </w:r>
    </w:p>
    <w:p w14:paraId="6B940548" w14:textId="70F234CA" w:rsidR="00A608F4" w:rsidRDefault="00A608F4" w:rsidP="00A608F4">
      <w:pPr>
        <w:autoSpaceDE w:val="0"/>
        <w:autoSpaceDN w:val="0"/>
        <w:adjustRightInd w:val="0"/>
        <w:rPr>
          <w:sz w:val="24"/>
        </w:rPr>
      </w:pPr>
      <w:r>
        <w:rPr>
          <w:sz w:val="24"/>
        </w:rPr>
        <w:t>MLME-DLS.indication</w:t>
      </w:r>
    </w:p>
    <w:p w14:paraId="2EE4E59F" w14:textId="0E6CDF7B" w:rsidR="00A608F4" w:rsidRDefault="00A608F4" w:rsidP="00A608F4">
      <w:pPr>
        <w:autoSpaceDE w:val="0"/>
        <w:autoSpaceDN w:val="0"/>
        <w:adjustRightInd w:val="0"/>
        <w:rPr>
          <w:sz w:val="24"/>
        </w:rPr>
      </w:pPr>
      <w:r>
        <w:rPr>
          <w:sz w:val="24"/>
        </w:rPr>
        <w:t>MLME-DLS.response</w:t>
      </w:r>
    </w:p>
    <w:p w14:paraId="5535131A" w14:textId="77777777" w:rsidR="008125B5" w:rsidRDefault="008125B5" w:rsidP="00A608F4">
      <w:pPr>
        <w:autoSpaceDE w:val="0"/>
        <w:autoSpaceDN w:val="0"/>
        <w:adjustRightInd w:val="0"/>
        <w:rPr>
          <w:sz w:val="24"/>
        </w:rPr>
      </w:pPr>
    </w:p>
    <w:p w14:paraId="702A9FD6" w14:textId="433908A2" w:rsidR="008125B5" w:rsidRDefault="008125B5" w:rsidP="00A608F4">
      <w:pPr>
        <w:autoSpaceDE w:val="0"/>
        <w:autoSpaceDN w:val="0"/>
        <w:adjustRightInd w:val="0"/>
        <w:rPr>
          <w:sz w:val="24"/>
        </w:rPr>
      </w:pPr>
      <w:r>
        <w:rPr>
          <w:sz w:val="24"/>
        </w:rPr>
        <w:t>I think that there is no need to change the Descriptions.</w:t>
      </w:r>
    </w:p>
    <w:p w14:paraId="2F30E6AA" w14:textId="77777777" w:rsidR="00A608F4" w:rsidRDefault="00A608F4" w:rsidP="00A608F4">
      <w:pPr>
        <w:autoSpaceDE w:val="0"/>
        <w:autoSpaceDN w:val="0"/>
        <w:adjustRightInd w:val="0"/>
        <w:rPr>
          <w:sz w:val="24"/>
        </w:rPr>
      </w:pPr>
    </w:p>
    <w:p w14:paraId="01C627A3" w14:textId="04499279" w:rsidR="00A608F4" w:rsidRPr="008125B5" w:rsidRDefault="008125B5" w:rsidP="00A608F4">
      <w:pPr>
        <w:autoSpaceDE w:val="0"/>
        <w:autoSpaceDN w:val="0"/>
        <w:adjustRightInd w:val="0"/>
        <w:rPr>
          <w:b/>
          <w:sz w:val="24"/>
        </w:rPr>
      </w:pPr>
      <w:r w:rsidRPr="008125B5">
        <w:rPr>
          <w:b/>
          <w:sz w:val="24"/>
        </w:rPr>
        <w:t>Proposed Resolution</w:t>
      </w:r>
    </w:p>
    <w:p w14:paraId="53231781" w14:textId="25B5F469" w:rsidR="008125B5" w:rsidRDefault="008125B5" w:rsidP="00A608F4">
      <w:pPr>
        <w:autoSpaceDE w:val="0"/>
        <w:autoSpaceDN w:val="0"/>
        <w:adjustRightInd w:val="0"/>
        <w:rPr>
          <w:sz w:val="24"/>
        </w:rPr>
      </w:pPr>
      <w:r>
        <w:rPr>
          <w:sz w:val="24"/>
        </w:rPr>
        <w:t>REVISED</w:t>
      </w:r>
    </w:p>
    <w:p w14:paraId="1584E0EF" w14:textId="0D76FAC3" w:rsidR="008125B5" w:rsidRDefault="008125B5" w:rsidP="00A608F4">
      <w:pPr>
        <w:autoSpaceDE w:val="0"/>
        <w:autoSpaceDN w:val="0"/>
        <w:adjustRightInd w:val="0"/>
        <w:rPr>
          <w:sz w:val="24"/>
        </w:rPr>
      </w:pPr>
      <w:r>
        <w:rPr>
          <w:sz w:val="24"/>
        </w:rPr>
        <w:t>At the following locations replace “SupportedRates” with “OperationalRateSet”</w:t>
      </w:r>
    </w:p>
    <w:p w14:paraId="4017147C" w14:textId="65A004D1" w:rsidR="008125B5" w:rsidRDefault="008125B5" w:rsidP="00A608F4">
      <w:pPr>
        <w:autoSpaceDE w:val="0"/>
        <w:autoSpaceDN w:val="0"/>
        <w:adjustRightInd w:val="0"/>
        <w:rPr>
          <w:sz w:val="24"/>
        </w:rPr>
      </w:pPr>
      <w:r>
        <w:rPr>
          <w:sz w:val="24"/>
        </w:rPr>
        <w:t>P172.61</w:t>
      </w:r>
    </w:p>
    <w:p w14:paraId="5079A446" w14:textId="765C43C3" w:rsidR="008125B5" w:rsidRDefault="008125B5" w:rsidP="00A608F4">
      <w:pPr>
        <w:autoSpaceDE w:val="0"/>
        <w:autoSpaceDN w:val="0"/>
        <w:adjustRightInd w:val="0"/>
        <w:rPr>
          <w:sz w:val="24"/>
        </w:rPr>
      </w:pPr>
      <w:r>
        <w:rPr>
          <w:sz w:val="24"/>
        </w:rPr>
        <w:t>P173.47</w:t>
      </w:r>
    </w:p>
    <w:p w14:paraId="46E5BBA3" w14:textId="46EB05EF" w:rsidR="008125B5" w:rsidRDefault="008125B5" w:rsidP="00A608F4">
      <w:pPr>
        <w:autoSpaceDE w:val="0"/>
        <w:autoSpaceDN w:val="0"/>
        <w:adjustRightInd w:val="0"/>
        <w:rPr>
          <w:sz w:val="24"/>
        </w:rPr>
      </w:pPr>
      <w:r>
        <w:rPr>
          <w:sz w:val="24"/>
        </w:rPr>
        <w:t>P176.61</w:t>
      </w:r>
    </w:p>
    <w:p w14:paraId="4CA09117" w14:textId="1F5C708C" w:rsidR="008125B5" w:rsidRDefault="008125B5" w:rsidP="00A608F4">
      <w:pPr>
        <w:autoSpaceDE w:val="0"/>
        <w:autoSpaceDN w:val="0"/>
        <w:adjustRightInd w:val="0"/>
        <w:rPr>
          <w:sz w:val="24"/>
        </w:rPr>
      </w:pPr>
      <w:r>
        <w:rPr>
          <w:sz w:val="24"/>
        </w:rPr>
        <w:t>P177.36</w:t>
      </w:r>
    </w:p>
    <w:p w14:paraId="414F6EDA" w14:textId="667BE33F" w:rsidR="008125B5" w:rsidRDefault="008125B5" w:rsidP="00A608F4">
      <w:pPr>
        <w:autoSpaceDE w:val="0"/>
        <w:autoSpaceDN w:val="0"/>
        <w:adjustRightInd w:val="0"/>
        <w:rPr>
          <w:sz w:val="24"/>
        </w:rPr>
      </w:pPr>
      <w:r>
        <w:rPr>
          <w:sz w:val="24"/>
        </w:rPr>
        <w:t>P186.24</w:t>
      </w:r>
    </w:p>
    <w:p w14:paraId="38566C0C" w14:textId="0DFF9864" w:rsidR="008125B5" w:rsidRDefault="008125B5" w:rsidP="00A608F4">
      <w:pPr>
        <w:autoSpaceDE w:val="0"/>
        <w:autoSpaceDN w:val="0"/>
        <w:adjustRightInd w:val="0"/>
        <w:rPr>
          <w:sz w:val="24"/>
        </w:rPr>
      </w:pPr>
      <w:r>
        <w:rPr>
          <w:sz w:val="24"/>
        </w:rPr>
        <w:t>P187.29</w:t>
      </w:r>
    </w:p>
    <w:p w14:paraId="39C9CE64" w14:textId="2185E170" w:rsidR="008125B5" w:rsidRDefault="008125B5" w:rsidP="00A608F4">
      <w:pPr>
        <w:autoSpaceDE w:val="0"/>
        <w:autoSpaceDN w:val="0"/>
        <w:adjustRightInd w:val="0"/>
        <w:rPr>
          <w:sz w:val="24"/>
        </w:rPr>
      </w:pPr>
      <w:r>
        <w:rPr>
          <w:sz w:val="24"/>
        </w:rPr>
        <w:t>P190.01</w:t>
      </w:r>
    </w:p>
    <w:p w14:paraId="28264681" w14:textId="39571164" w:rsidR="008125B5" w:rsidRDefault="008125B5" w:rsidP="00A608F4">
      <w:pPr>
        <w:autoSpaceDE w:val="0"/>
        <w:autoSpaceDN w:val="0"/>
        <w:adjustRightInd w:val="0"/>
        <w:rPr>
          <w:sz w:val="24"/>
        </w:rPr>
      </w:pPr>
      <w:r>
        <w:rPr>
          <w:sz w:val="24"/>
        </w:rPr>
        <w:t>P190.50</w:t>
      </w:r>
    </w:p>
    <w:p w14:paraId="5F6B7AE8" w14:textId="0E9E9FAC" w:rsidR="008125B5" w:rsidRDefault="008125B5" w:rsidP="00A608F4">
      <w:pPr>
        <w:autoSpaceDE w:val="0"/>
        <w:autoSpaceDN w:val="0"/>
        <w:adjustRightInd w:val="0"/>
        <w:rPr>
          <w:sz w:val="24"/>
        </w:rPr>
      </w:pPr>
      <w:r>
        <w:rPr>
          <w:sz w:val="24"/>
        </w:rPr>
        <w:t>P246.34</w:t>
      </w:r>
    </w:p>
    <w:p w14:paraId="5C42ED83" w14:textId="654058D7" w:rsidR="008125B5" w:rsidRDefault="008125B5" w:rsidP="00A608F4">
      <w:pPr>
        <w:autoSpaceDE w:val="0"/>
        <w:autoSpaceDN w:val="0"/>
        <w:adjustRightInd w:val="0"/>
        <w:rPr>
          <w:sz w:val="24"/>
        </w:rPr>
      </w:pPr>
      <w:r>
        <w:rPr>
          <w:sz w:val="24"/>
        </w:rPr>
        <w:t>P246.60</w:t>
      </w:r>
    </w:p>
    <w:p w14:paraId="76603E3B" w14:textId="5484CFB9" w:rsidR="008125B5" w:rsidRDefault="008125B5" w:rsidP="00A608F4">
      <w:pPr>
        <w:autoSpaceDE w:val="0"/>
        <w:autoSpaceDN w:val="0"/>
        <w:adjustRightInd w:val="0"/>
        <w:rPr>
          <w:sz w:val="24"/>
        </w:rPr>
      </w:pPr>
      <w:r>
        <w:rPr>
          <w:sz w:val="24"/>
        </w:rPr>
        <w:t>P247.39</w:t>
      </w:r>
    </w:p>
    <w:p w14:paraId="709D103C" w14:textId="0621C4DA" w:rsidR="008125B5" w:rsidRDefault="008125B5" w:rsidP="00A608F4">
      <w:pPr>
        <w:autoSpaceDE w:val="0"/>
        <w:autoSpaceDN w:val="0"/>
        <w:adjustRightInd w:val="0"/>
        <w:rPr>
          <w:sz w:val="24"/>
        </w:rPr>
      </w:pPr>
      <w:r>
        <w:rPr>
          <w:sz w:val="24"/>
        </w:rPr>
        <w:t>P247.58</w:t>
      </w:r>
    </w:p>
    <w:p w14:paraId="58898E19" w14:textId="6EAE7696" w:rsidR="008125B5" w:rsidRDefault="008125B5" w:rsidP="00A608F4">
      <w:pPr>
        <w:autoSpaceDE w:val="0"/>
        <w:autoSpaceDN w:val="0"/>
        <w:adjustRightInd w:val="0"/>
        <w:rPr>
          <w:sz w:val="24"/>
        </w:rPr>
      </w:pPr>
      <w:r>
        <w:rPr>
          <w:sz w:val="24"/>
        </w:rPr>
        <w:t>P248.41</w:t>
      </w:r>
    </w:p>
    <w:p w14:paraId="301D4A0C" w14:textId="79D4EFAF" w:rsidR="008125B5" w:rsidRDefault="008125B5" w:rsidP="00A608F4">
      <w:pPr>
        <w:autoSpaceDE w:val="0"/>
        <w:autoSpaceDN w:val="0"/>
        <w:adjustRightInd w:val="0"/>
        <w:rPr>
          <w:sz w:val="24"/>
        </w:rPr>
      </w:pPr>
      <w:r>
        <w:rPr>
          <w:sz w:val="24"/>
        </w:rPr>
        <w:t>P249.03</w:t>
      </w:r>
    </w:p>
    <w:sectPr w:rsidR="008125B5" w:rsidSect="009E579C">
      <w:headerReference w:type="default" r:id="rId13"/>
      <w:footerReference w:type="defaul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A608F4" w:rsidRDefault="00A608F4">
      <w:r>
        <w:separator/>
      </w:r>
    </w:p>
  </w:endnote>
  <w:endnote w:type="continuationSeparator" w:id="0">
    <w:p w14:paraId="739F1800" w14:textId="77777777" w:rsidR="00A608F4" w:rsidRDefault="00A6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11113600" w:rsidR="00A608F4" w:rsidRDefault="00B10041">
    <w:pPr>
      <w:pStyle w:val="Footer"/>
      <w:tabs>
        <w:tab w:val="clear" w:pos="6480"/>
        <w:tab w:val="center" w:pos="4680"/>
        <w:tab w:val="right" w:pos="9360"/>
      </w:tabs>
    </w:pPr>
    <w:r>
      <w:fldChar w:fldCharType="begin"/>
    </w:r>
    <w:r>
      <w:instrText xml:space="preserve"> SUBJECT  \* MERGEFORMAT </w:instrText>
    </w:r>
    <w:r>
      <w:fldChar w:fldCharType="separate"/>
    </w:r>
    <w:r w:rsidR="00A608F4">
      <w:t>Submission</w:t>
    </w:r>
    <w:r>
      <w:fldChar w:fldCharType="end"/>
    </w:r>
    <w:r w:rsidR="00A608F4">
      <w:tab/>
      <w:t xml:space="preserve">page </w:t>
    </w:r>
    <w:r w:rsidR="00A608F4">
      <w:fldChar w:fldCharType="begin"/>
    </w:r>
    <w:r w:rsidR="00A608F4">
      <w:instrText xml:space="preserve">page </w:instrText>
    </w:r>
    <w:r w:rsidR="00A608F4">
      <w:fldChar w:fldCharType="separate"/>
    </w:r>
    <w:r>
      <w:rPr>
        <w:noProof/>
      </w:rPr>
      <w:t>1</w:t>
    </w:r>
    <w:r w:rsidR="00A608F4">
      <w:rPr>
        <w:noProof/>
      </w:rPr>
      <w:fldChar w:fldCharType="end"/>
    </w:r>
    <w:r w:rsidR="00A608F4">
      <w:tab/>
    </w:r>
    <w:r>
      <w:fldChar w:fldCharType="begin"/>
    </w:r>
    <w:r>
      <w:instrText xml:space="preserve"> COMMENTS  \* MERGEFORMAT </w:instrText>
    </w:r>
    <w:r>
      <w:fldChar w:fldCharType="separate"/>
    </w:r>
    <w:r w:rsidR="00A608F4">
      <w:t>Graham SMIT</w:t>
    </w:r>
    <w:r>
      <w:fldChar w:fldCharType="end"/>
    </w:r>
    <w:r w:rsidR="00A608F4">
      <w:t>H (SR Technologies)</w:t>
    </w:r>
  </w:p>
  <w:p w14:paraId="5B8624E2" w14:textId="77777777" w:rsidR="00A608F4" w:rsidRDefault="00A60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A608F4" w:rsidRDefault="00A608F4">
      <w:r>
        <w:separator/>
      </w:r>
    </w:p>
  </w:footnote>
  <w:footnote w:type="continuationSeparator" w:id="0">
    <w:p w14:paraId="3B63DB7E" w14:textId="77777777" w:rsidR="00A608F4" w:rsidRDefault="00A6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59C78DBA" w:rsidR="00A608F4" w:rsidRDefault="00A608F4" w:rsidP="000240D0">
    <w:pPr>
      <w:pStyle w:val="Header"/>
      <w:tabs>
        <w:tab w:val="clear" w:pos="6480"/>
        <w:tab w:val="center" w:pos="4680"/>
        <w:tab w:val="right" w:pos="9360"/>
      </w:tabs>
    </w:pPr>
    <w:fldSimple w:instr=" KEYWORDS  \* MERGEFORMAT ">
      <w:r>
        <w:t>Mar  2016</w:t>
      </w:r>
    </w:fldSimple>
    <w:r>
      <w:tab/>
    </w:r>
    <w:r>
      <w:tab/>
    </w:r>
    <w:fldSimple w:instr=" TITLE  \* MERGEFORMAT ">
      <w:r>
        <w:t>doc.: IEEE 802.11-16/</w:t>
      </w:r>
    </w:fldSimple>
    <w:r w:rsidR="00B10041">
      <w:t>0304r0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3A5"/>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2DC"/>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0FE1"/>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271D"/>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57"/>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4C90"/>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27113"/>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5B5"/>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8F4"/>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041"/>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8A6"/>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7FD"/>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5C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2E34"/>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80891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957887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26979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446640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3436044">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2699578">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549556">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DF964-DFCF-43B0-8855-DFB69A93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4</Pages>
  <Words>563</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2016-03-03T19:45:00Z</dcterms:created>
  <dcterms:modified xsi:type="dcterms:W3CDTF">2016-03-03T19:45:00Z</dcterms:modified>
</cp:coreProperties>
</file>