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BD599A" w:rsidP="00E62654">
            <w:pPr>
              <w:pStyle w:val="T2"/>
            </w:pPr>
            <w:r>
              <w:t>Resolution for some GEN</w:t>
            </w:r>
            <w:r w:rsidR="00C81CA7">
              <w:t xml:space="preserve"> comments in SB1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3A08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D599A">
              <w:rPr>
                <w:b w:val="0"/>
                <w:sz w:val="24"/>
                <w:szCs w:val="24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9737C3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 w:rsidR="00B35ECE">
        <w:rPr>
          <w:rFonts w:ascii="Times New Roman" w:hAnsi="Times New Roman"/>
          <w:b w:val="0"/>
          <w:i w:val="0"/>
          <w:sz w:val="24"/>
          <w:szCs w:val="24"/>
        </w:rPr>
        <w:t xml:space="preserve"> CID 7109</w:t>
      </w:r>
      <w:r w:rsidR="00051302">
        <w:rPr>
          <w:rFonts w:ascii="Times New Roman" w:hAnsi="Times New Roman"/>
          <w:b w:val="0"/>
          <w:i w:val="0"/>
          <w:sz w:val="24"/>
          <w:szCs w:val="24"/>
        </w:rPr>
        <w:t xml:space="preserve">, 7110, 7356, 7440, </w:t>
      </w:r>
      <w:r w:rsidR="009F3C29">
        <w:rPr>
          <w:rFonts w:ascii="Times New Roman" w:hAnsi="Times New Roman"/>
          <w:b w:val="0"/>
          <w:i w:val="0"/>
          <w:sz w:val="24"/>
          <w:szCs w:val="24"/>
        </w:rPr>
        <w:t xml:space="preserve">7405 and </w:t>
      </w:r>
      <w:r w:rsidR="00051302">
        <w:rPr>
          <w:rFonts w:ascii="Times New Roman" w:hAnsi="Times New Roman"/>
          <w:b w:val="0"/>
          <w:i w:val="0"/>
          <w:sz w:val="24"/>
          <w:szCs w:val="24"/>
        </w:rPr>
        <w:t>7135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B4E61" w:rsidRPr="002B4E61" w:rsidRDefault="002B4E61" w:rsidP="002B4E61">
      <w:pPr>
        <w:rPr>
          <w:sz w:val="24"/>
          <w:szCs w:val="24"/>
        </w:rPr>
      </w:pPr>
      <w:r w:rsidRPr="002B4E61">
        <w:rPr>
          <w:sz w:val="24"/>
          <w:szCs w:val="24"/>
        </w:rPr>
        <w:t xml:space="preserve">R1 – remove CIDs </w:t>
      </w:r>
      <w:r w:rsidR="00044521">
        <w:rPr>
          <w:sz w:val="24"/>
          <w:szCs w:val="24"/>
        </w:rPr>
        <w:t xml:space="preserve">7386, </w:t>
      </w:r>
      <w:r w:rsidR="00064C48">
        <w:rPr>
          <w:sz w:val="24"/>
          <w:szCs w:val="24"/>
        </w:rPr>
        <w:t xml:space="preserve">7422, </w:t>
      </w:r>
      <w:bookmarkStart w:id="0" w:name="_GoBack"/>
      <w:bookmarkEnd w:id="0"/>
      <w:r w:rsidRPr="002B4E61">
        <w:rPr>
          <w:sz w:val="24"/>
          <w:szCs w:val="24"/>
        </w:rPr>
        <w:t>7404 and 7408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B35ECE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7109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B35ECE" w:rsidP="00AA2A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B35ECE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2919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B35ECE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B35ECE" w:rsidP="00D318D9">
            <w:pPr>
              <w:rPr>
                <w:sz w:val="24"/>
                <w:szCs w:val="24"/>
                <w:lang w:val="en-US"/>
              </w:rPr>
            </w:pPr>
            <w:r w:rsidRPr="00B35ECE">
              <w:rPr>
                <w:sz w:val="24"/>
                <w:szCs w:val="24"/>
                <w:lang w:val="en-US"/>
              </w:rPr>
              <w:t>This MIB variable (dot11EstimatedServiceParametersOptionImplemented) is not cited from any group or compliance statement, and therefore there are no conformance requirements on it.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B35ECE" w:rsidP="00C73433">
            <w:pPr>
              <w:rPr>
                <w:sz w:val="24"/>
                <w:szCs w:val="24"/>
                <w:lang w:val="en-US"/>
              </w:rPr>
            </w:pPr>
            <w:r w:rsidRPr="00B35ECE">
              <w:rPr>
                <w:sz w:val="24"/>
                <w:szCs w:val="24"/>
                <w:lang w:val="en-US"/>
              </w:rPr>
              <w:t>Cite it from an appropriate group or conformance statement.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B35ECE" w:rsidRDefault="00B35ECE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dot11EstimatedServiceParametersOptionImplemented belongs to </w:t>
      </w:r>
      <w:r w:rsidRPr="00B35ECE">
        <w:rPr>
          <w:sz w:val="24"/>
          <w:szCs w:val="24"/>
        </w:rPr>
        <w:t>Dot11StationConfigEntry</w:t>
      </w:r>
      <w:r>
        <w:rPr>
          <w:sz w:val="24"/>
          <w:szCs w:val="24"/>
        </w:rPr>
        <w:t>:</w:t>
      </w:r>
    </w:p>
    <w:p w:rsidR="0002013F" w:rsidRDefault="0002013F" w:rsidP="004A513C">
      <w:pPr>
        <w:jc w:val="both"/>
        <w:rPr>
          <w:sz w:val="24"/>
          <w:szCs w:val="24"/>
        </w:rPr>
      </w:pPr>
    </w:p>
    <w:p w:rsidR="00B35ECE" w:rsidRDefault="00B35ECE" w:rsidP="004A513C">
      <w:pPr>
        <w:jc w:val="both"/>
        <w:rPr>
          <w:sz w:val="24"/>
          <w:szCs w:val="24"/>
        </w:rPr>
      </w:pPr>
      <w:r w:rsidRPr="00B35EC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701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CE" w:rsidRDefault="00B35ECE" w:rsidP="004A513C">
      <w:pPr>
        <w:jc w:val="both"/>
        <w:rPr>
          <w:sz w:val="24"/>
          <w:szCs w:val="24"/>
        </w:rPr>
      </w:pPr>
    </w:p>
    <w:p w:rsidR="00B35ECE" w:rsidRDefault="006A346B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commenter points out correctly that this MIB variable is neither cited from an appropriate group nor conformance statement.</w:t>
      </w:r>
    </w:p>
    <w:p w:rsidR="006A346B" w:rsidRDefault="006A346B" w:rsidP="004A513C">
      <w:pPr>
        <w:jc w:val="both"/>
        <w:rPr>
          <w:sz w:val="24"/>
          <w:szCs w:val="24"/>
        </w:rPr>
      </w:pPr>
    </w:p>
    <w:p w:rsidR="006A346B" w:rsidRDefault="006A346B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A suggestion is to include this MIB variable in dot11SMTbase13</w:t>
      </w:r>
      <w:r w:rsidR="0085262E">
        <w:rPr>
          <w:sz w:val="24"/>
          <w:szCs w:val="24"/>
        </w:rPr>
        <w:t xml:space="preserve"> object group</w:t>
      </w:r>
      <w:r>
        <w:rPr>
          <w:sz w:val="24"/>
          <w:szCs w:val="24"/>
        </w:rPr>
        <w:t>:</w:t>
      </w:r>
    </w:p>
    <w:p w:rsidR="006A346B" w:rsidRDefault="006A346B" w:rsidP="004A513C">
      <w:pPr>
        <w:jc w:val="both"/>
        <w:rPr>
          <w:sz w:val="24"/>
          <w:szCs w:val="24"/>
        </w:rPr>
      </w:pPr>
      <w:r w:rsidRPr="006A346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250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CE" w:rsidRDefault="00B35ECE" w:rsidP="004A513C">
      <w:pPr>
        <w:jc w:val="both"/>
        <w:rPr>
          <w:sz w:val="24"/>
          <w:szCs w:val="24"/>
        </w:rPr>
      </w:pPr>
    </w:p>
    <w:p w:rsidR="00C120C7" w:rsidRPr="0086681D" w:rsidRDefault="0086681D" w:rsidP="002C5F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2C5FE4" w:rsidRDefault="002C5FE4" w:rsidP="002C5FE4">
      <w:pPr>
        <w:jc w:val="both"/>
        <w:rPr>
          <w:b/>
          <w:sz w:val="24"/>
          <w:szCs w:val="24"/>
        </w:rPr>
      </w:pPr>
    </w:p>
    <w:p w:rsidR="00AD38E7" w:rsidRPr="001E491B" w:rsidRDefault="00AD38E7" w:rsidP="002C5FE4">
      <w:pPr>
        <w:jc w:val="both"/>
        <w:rPr>
          <w:b/>
          <w:sz w:val="24"/>
          <w:szCs w:val="24"/>
        </w:rPr>
      </w:pPr>
      <w:r w:rsidRPr="00892939">
        <w:rPr>
          <w:b/>
          <w:sz w:val="24"/>
          <w:szCs w:val="24"/>
          <w:highlight w:val="yellow"/>
        </w:rPr>
        <w:t>Revised</w:t>
      </w:r>
    </w:p>
    <w:p w:rsidR="00C120C7" w:rsidRPr="00D7604E" w:rsidRDefault="00046D35" w:rsidP="00C120C7">
      <w:pPr>
        <w:pStyle w:val="Heading3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  <w:highlight w:val="yellow"/>
        </w:rPr>
        <w:t>TGmc Editor: Add “dot11EstimatedServiceParamtetrsOptionImplemented” in line 3361.11.</w:t>
      </w:r>
      <w:r w:rsidR="00AD38E7"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C5613B" w:rsidRDefault="00C5613B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C5613B" w:rsidRDefault="00C5613B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C5613B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5613B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C5613B" w:rsidRPr="001E491B" w:rsidRDefault="00C5613B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7110</w:t>
            </w:r>
          </w:p>
        </w:tc>
        <w:tc>
          <w:tcPr>
            <w:tcW w:w="678" w:type="pct"/>
            <w:shd w:val="clear" w:color="auto" w:fill="auto"/>
          </w:tcPr>
          <w:p w:rsidR="00C5613B" w:rsidRPr="001E491B" w:rsidRDefault="00C5613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62" w:type="pct"/>
            <w:shd w:val="clear" w:color="auto" w:fill="auto"/>
          </w:tcPr>
          <w:p w:rsidR="00C5613B" w:rsidRPr="001E491B" w:rsidRDefault="003E1AB9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2971</w:t>
            </w:r>
          </w:p>
        </w:tc>
        <w:tc>
          <w:tcPr>
            <w:tcW w:w="362" w:type="pct"/>
            <w:shd w:val="clear" w:color="auto" w:fill="auto"/>
          </w:tcPr>
          <w:p w:rsidR="00C5613B" w:rsidRPr="001E491B" w:rsidRDefault="003E1AB9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38" w:type="pct"/>
            <w:shd w:val="clear" w:color="auto" w:fill="auto"/>
          </w:tcPr>
          <w:p w:rsidR="00C5613B" w:rsidRPr="001E491B" w:rsidRDefault="003E1AB9" w:rsidP="00521449">
            <w:pPr>
              <w:rPr>
                <w:sz w:val="24"/>
                <w:szCs w:val="24"/>
                <w:lang w:val="en-US"/>
              </w:rPr>
            </w:pPr>
            <w:r w:rsidRPr="003E1AB9">
              <w:rPr>
                <w:sz w:val="24"/>
                <w:szCs w:val="24"/>
                <w:lang w:val="en-US"/>
              </w:rPr>
              <w:t>This variable (dot11LciCivicInNeighborReport) and the follow 3 are not cited in any group or compliance statement.  This means there is no requirement ever to implement them.</w:t>
            </w:r>
          </w:p>
        </w:tc>
        <w:tc>
          <w:tcPr>
            <w:tcW w:w="1681" w:type="pct"/>
            <w:shd w:val="clear" w:color="auto" w:fill="auto"/>
          </w:tcPr>
          <w:p w:rsidR="00C5613B" w:rsidRPr="001E491B" w:rsidRDefault="003E1AB9" w:rsidP="00521449">
            <w:pPr>
              <w:rPr>
                <w:sz w:val="24"/>
                <w:szCs w:val="24"/>
                <w:lang w:val="en-US"/>
              </w:rPr>
            </w:pPr>
            <w:r w:rsidRPr="003E1AB9">
              <w:rPr>
                <w:sz w:val="24"/>
                <w:szCs w:val="24"/>
                <w:lang w:val="en-US"/>
              </w:rPr>
              <w:t>Add them to an appropriate group or compliance statement.</w:t>
            </w:r>
          </w:p>
        </w:tc>
      </w:tr>
    </w:tbl>
    <w:p w:rsidR="00655D66" w:rsidRDefault="00655D66">
      <w:pPr>
        <w:rPr>
          <w:b/>
          <w:bCs/>
          <w:iCs/>
          <w:sz w:val="24"/>
          <w:szCs w:val="24"/>
          <w:u w:val="single"/>
        </w:rPr>
      </w:pPr>
    </w:p>
    <w:p w:rsidR="003E1AB9" w:rsidRPr="001E491B" w:rsidRDefault="003E1AB9" w:rsidP="003E1AB9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3E1AB9" w:rsidRDefault="003E1AB9" w:rsidP="003E1AB9">
      <w:pPr>
        <w:jc w:val="both"/>
        <w:rPr>
          <w:sz w:val="24"/>
          <w:szCs w:val="24"/>
        </w:rPr>
      </w:pPr>
      <w:r>
        <w:rPr>
          <w:sz w:val="24"/>
          <w:szCs w:val="24"/>
        </w:rPr>
        <w:t>The 4 MIB variables the commenter refer to are:</w:t>
      </w:r>
    </w:p>
    <w:p w:rsidR="003E1AB9" w:rsidRDefault="003E1AB9" w:rsidP="003E1AB9">
      <w:pPr>
        <w:pStyle w:val="ListParagraph"/>
        <w:numPr>
          <w:ilvl w:val="0"/>
          <w:numId w:val="38"/>
        </w:numPr>
        <w:jc w:val="both"/>
      </w:pPr>
      <w:r>
        <w:t>dot11LciCivicInNeighborReport</w:t>
      </w:r>
      <w:r w:rsidR="00853F60">
        <w:t>;</w:t>
      </w:r>
    </w:p>
    <w:p w:rsidR="003E1AB9" w:rsidRDefault="003E1AB9" w:rsidP="003E1AB9">
      <w:pPr>
        <w:pStyle w:val="ListParagraph"/>
        <w:numPr>
          <w:ilvl w:val="0"/>
          <w:numId w:val="38"/>
        </w:numPr>
        <w:jc w:val="both"/>
      </w:pPr>
      <w:r w:rsidRPr="003E1AB9">
        <w:t>dot11RMFineTimingMsmtRangeRepImplemented</w:t>
      </w:r>
      <w:r w:rsidR="00853F60">
        <w:t xml:space="preserve">; </w:t>
      </w:r>
    </w:p>
    <w:p w:rsidR="003E1AB9" w:rsidRDefault="00853F60" w:rsidP="00853F60">
      <w:pPr>
        <w:pStyle w:val="ListParagraph"/>
        <w:numPr>
          <w:ilvl w:val="0"/>
          <w:numId w:val="38"/>
        </w:numPr>
        <w:jc w:val="both"/>
      </w:pPr>
      <w:r>
        <w:t>d</w:t>
      </w:r>
      <w:r w:rsidRPr="00853F60">
        <w:t>ot11RMFineTimingMsmtRangeRepActivated</w:t>
      </w:r>
      <w:r>
        <w:t>; and</w:t>
      </w:r>
    </w:p>
    <w:p w:rsidR="00853F60" w:rsidRDefault="00853F60" w:rsidP="00853F60">
      <w:pPr>
        <w:pStyle w:val="ListParagraph"/>
        <w:numPr>
          <w:ilvl w:val="0"/>
          <w:numId w:val="38"/>
        </w:numPr>
        <w:jc w:val="both"/>
      </w:pPr>
      <w:r w:rsidRPr="00853F60">
        <w:t>dot11FineTimingMsmtInitActivated</w:t>
      </w:r>
      <w:r>
        <w:t>.</w:t>
      </w:r>
    </w:p>
    <w:p w:rsidR="00853F60" w:rsidRDefault="00853F60" w:rsidP="00853F60">
      <w:pPr>
        <w:jc w:val="both"/>
      </w:pPr>
    </w:p>
    <w:p w:rsidR="00853F60" w:rsidRDefault="00853F60" w:rsidP="00853F60">
      <w:pPr>
        <w:jc w:val="both"/>
        <w:rPr>
          <w:sz w:val="24"/>
          <w:szCs w:val="24"/>
        </w:rPr>
      </w:pPr>
      <w:r w:rsidRPr="00853F60">
        <w:rPr>
          <w:sz w:val="24"/>
          <w:szCs w:val="24"/>
        </w:rPr>
        <w:t>These 4 variables are actually already added in the following group, dot11FineTimingMeasurement:</w:t>
      </w:r>
    </w:p>
    <w:p w:rsidR="0002013F" w:rsidRPr="00853F60" w:rsidRDefault="0002013F" w:rsidP="00853F60">
      <w:pPr>
        <w:jc w:val="both"/>
        <w:rPr>
          <w:sz w:val="24"/>
          <w:szCs w:val="24"/>
        </w:rPr>
      </w:pPr>
    </w:p>
    <w:p w:rsidR="00853F60" w:rsidRPr="003E1AB9" w:rsidRDefault="00853F60" w:rsidP="00853F60">
      <w:pPr>
        <w:jc w:val="both"/>
      </w:pPr>
      <w:r w:rsidRPr="00853F60">
        <w:rPr>
          <w:noProof/>
          <w:lang w:val="en-US" w:eastAsia="zh-CN"/>
        </w:rPr>
        <w:drawing>
          <wp:inline distT="0" distB="0" distL="0" distR="0">
            <wp:extent cx="6400800" cy="26935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9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39" w:rsidRDefault="00892939" w:rsidP="0050126B">
      <w:pPr>
        <w:jc w:val="both"/>
        <w:rPr>
          <w:b/>
          <w:sz w:val="24"/>
          <w:szCs w:val="24"/>
        </w:rPr>
      </w:pPr>
    </w:p>
    <w:p w:rsidR="0050126B" w:rsidRPr="0086681D" w:rsidRDefault="0086681D" w:rsidP="0050126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50126B" w:rsidRDefault="0050126B" w:rsidP="0050126B">
      <w:pPr>
        <w:jc w:val="both"/>
        <w:rPr>
          <w:b/>
          <w:sz w:val="24"/>
          <w:szCs w:val="24"/>
        </w:rPr>
      </w:pPr>
    </w:p>
    <w:p w:rsidR="0050126B" w:rsidRPr="001E491B" w:rsidRDefault="0050126B" w:rsidP="0050126B">
      <w:pPr>
        <w:jc w:val="both"/>
        <w:rPr>
          <w:b/>
          <w:sz w:val="24"/>
          <w:szCs w:val="24"/>
        </w:rPr>
      </w:pPr>
      <w:r w:rsidRPr="00892939">
        <w:rPr>
          <w:b/>
          <w:sz w:val="24"/>
          <w:szCs w:val="24"/>
          <w:highlight w:val="yellow"/>
        </w:rPr>
        <w:t>Reject</w:t>
      </w:r>
    </w:p>
    <w:p w:rsidR="003E1AB9" w:rsidRDefault="003E1AB9" w:rsidP="003E1AB9">
      <w:pPr>
        <w:rPr>
          <w:b/>
          <w:bCs/>
          <w:iCs/>
          <w:sz w:val="24"/>
          <w:szCs w:val="24"/>
          <w:u w:val="single"/>
        </w:rPr>
      </w:pPr>
    </w:p>
    <w:p w:rsidR="00892939" w:rsidRDefault="00892939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892939" w:rsidRDefault="00892939" w:rsidP="003E1AB9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892939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92939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892939" w:rsidRPr="001E491B" w:rsidRDefault="00892939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7356</w:t>
            </w:r>
          </w:p>
        </w:tc>
        <w:tc>
          <w:tcPr>
            <w:tcW w:w="678" w:type="pct"/>
            <w:shd w:val="clear" w:color="auto" w:fill="auto"/>
          </w:tcPr>
          <w:p w:rsidR="00892939" w:rsidRPr="001E491B" w:rsidRDefault="00892939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62" w:type="pct"/>
            <w:shd w:val="clear" w:color="auto" w:fill="auto"/>
          </w:tcPr>
          <w:p w:rsidR="00892939" w:rsidRPr="001E491B" w:rsidRDefault="0086681D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3073</w:t>
            </w:r>
          </w:p>
        </w:tc>
        <w:tc>
          <w:tcPr>
            <w:tcW w:w="362" w:type="pct"/>
            <w:shd w:val="clear" w:color="auto" w:fill="auto"/>
          </w:tcPr>
          <w:p w:rsidR="00892939" w:rsidRPr="001E491B" w:rsidRDefault="0086681D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538" w:type="pct"/>
            <w:shd w:val="clear" w:color="auto" w:fill="auto"/>
          </w:tcPr>
          <w:p w:rsidR="00892939" w:rsidRPr="001E491B" w:rsidRDefault="0086681D" w:rsidP="00521449">
            <w:pPr>
              <w:rPr>
                <w:sz w:val="24"/>
                <w:szCs w:val="24"/>
                <w:lang w:val="en-US"/>
              </w:rPr>
            </w:pPr>
            <w:r w:rsidRPr="0086681D">
              <w:rPr>
                <w:sz w:val="24"/>
                <w:szCs w:val="24"/>
                <w:lang w:val="en-US"/>
              </w:rPr>
              <w:t>It says "2(13 + Maximum A-MPDU"</w:t>
            </w:r>
          </w:p>
        </w:tc>
        <w:tc>
          <w:tcPr>
            <w:tcW w:w="1681" w:type="pct"/>
            <w:shd w:val="clear" w:color="auto" w:fill="auto"/>
          </w:tcPr>
          <w:p w:rsidR="00892939" w:rsidRPr="001E491B" w:rsidRDefault="0086681D" w:rsidP="00521449">
            <w:pPr>
              <w:rPr>
                <w:sz w:val="24"/>
                <w:szCs w:val="24"/>
                <w:lang w:val="en-US"/>
              </w:rPr>
            </w:pPr>
            <w:r w:rsidRPr="0086681D">
              <w:rPr>
                <w:sz w:val="24"/>
                <w:szCs w:val="24"/>
                <w:lang w:val="en-US"/>
              </w:rPr>
              <w:t>Add "**" after "2"</w:t>
            </w:r>
          </w:p>
        </w:tc>
      </w:tr>
    </w:tbl>
    <w:p w:rsidR="00892939" w:rsidRDefault="00892939" w:rsidP="003E1AB9">
      <w:pPr>
        <w:rPr>
          <w:b/>
          <w:bCs/>
          <w:iCs/>
          <w:sz w:val="24"/>
          <w:szCs w:val="24"/>
          <w:u w:val="single"/>
        </w:rPr>
      </w:pPr>
    </w:p>
    <w:p w:rsidR="0086681D" w:rsidRPr="001E491B" w:rsidRDefault="0086681D" w:rsidP="0086681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86681D" w:rsidRDefault="003E0107" w:rsidP="0086681D">
      <w:pPr>
        <w:jc w:val="both"/>
        <w:rPr>
          <w:sz w:val="24"/>
          <w:szCs w:val="24"/>
        </w:rPr>
      </w:pPr>
      <w:r>
        <w:rPr>
          <w:sz w:val="24"/>
          <w:szCs w:val="24"/>
        </w:rPr>
        <w:t>Refering to line 3073.51,</w:t>
      </w:r>
    </w:p>
    <w:p w:rsidR="003E0107" w:rsidRDefault="003E0107" w:rsidP="0086681D">
      <w:pPr>
        <w:jc w:val="both"/>
        <w:rPr>
          <w:sz w:val="24"/>
          <w:szCs w:val="24"/>
        </w:rPr>
      </w:pPr>
      <w:r w:rsidRPr="003E010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948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07" w:rsidRDefault="003E0107" w:rsidP="003E0107">
      <w:pPr>
        <w:jc w:val="both"/>
        <w:rPr>
          <w:sz w:val="24"/>
          <w:szCs w:val="24"/>
        </w:rPr>
      </w:pPr>
      <w:r>
        <w:rPr>
          <w:sz w:val="24"/>
          <w:szCs w:val="24"/>
        </w:rPr>
        <w:t>In 9.4.2.56.3, we have</w:t>
      </w:r>
    </w:p>
    <w:p w:rsidR="003E0107" w:rsidRDefault="008D537E" w:rsidP="003E0107">
      <w:pPr>
        <w:jc w:val="both"/>
        <w:rPr>
          <w:sz w:val="24"/>
          <w:szCs w:val="24"/>
        </w:rPr>
      </w:pPr>
      <w:r w:rsidRPr="008D537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8387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7E" w:rsidRPr="0086681D" w:rsidRDefault="008D537E" w:rsidP="008D537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8D537E" w:rsidRDefault="008D537E" w:rsidP="008D537E">
      <w:pPr>
        <w:jc w:val="both"/>
        <w:rPr>
          <w:b/>
          <w:sz w:val="24"/>
          <w:szCs w:val="24"/>
        </w:rPr>
      </w:pPr>
    </w:p>
    <w:p w:rsidR="008D537E" w:rsidRPr="001E491B" w:rsidRDefault="008D537E" w:rsidP="008D53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8D537E" w:rsidRPr="00180157" w:rsidRDefault="008D537E" w:rsidP="008D537E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180157">
        <w:rPr>
          <w:rFonts w:ascii="Times New Roman" w:eastAsia="Calibri" w:hAnsi="Times New Roman"/>
          <w:szCs w:val="24"/>
          <w:highlight w:val="yellow"/>
        </w:rPr>
        <w:t>TGmc Editor: Change “</w:t>
      </w:r>
      <w:r w:rsidRPr="00180157">
        <w:rPr>
          <w:rFonts w:ascii="Times New Roman" w:hAnsi="Times New Roman"/>
          <w:szCs w:val="24"/>
          <w:highlight w:val="yellow"/>
          <w:lang w:val="en-US"/>
        </w:rPr>
        <w:t>2(13 + Maximum A-MPDU” to “2 ** (13 + Maximum A-MPDU”</w:t>
      </w:r>
      <w:r w:rsidRPr="00180157"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8D537E" w:rsidRDefault="008D537E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86681D" w:rsidRDefault="0086681D" w:rsidP="003E1AB9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A665E4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665E4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A665E4" w:rsidRPr="001E491B" w:rsidRDefault="00A665E4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7440</w:t>
            </w:r>
          </w:p>
        </w:tc>
        <w:tc>
          <w:tcPr>
            <w:tcW w:w="678" w:type="pct"/>
            <w:shd w:val="clear" w:color="auto" w:fill="auto"/>
          </w:tcPr>
          <w:p w:rsidR="00A665E4" w:rsidRPr="001E491B" w:rsidRDefault="00A665E4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G.3</w:t>
            </w:r>
          </w:p>
        </w:tc>
        <w:tc>
          <w:tcPr>
            <w:tcW w:w="362" w:type="pct"/>
            <w:shd w:val="clear" w:color="auto" w:fill="auto"/>
          </w:tcPr>
          <w:p w:rsidR="00A665E4" w:rsidRPr="001E491B" w:rsidRDefault="009B2ABC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3403</w:t>
            </w:r>
          </w:p>
        </w:tc>
        <w:tc>
          <w:tcPr>
            <w:tcW w:w="362" w:type="pct"/>
            <w:shd w:val="clear" w:color="auto" w:fill="auto"/>
          </w:tcPr>
          <w:p w:rsidR="00A665E4" w:rsidRPr="001E491B" w:rsidRDefault="009B2ABC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538" w:type="pct"/>
            <w:shd w:val="clear" w:color="auto" w:fill="auto"/>
          </w:tcPr>
          <w:p w:rsidR="00A665E4" w:rsidRPr="001E491B" w:rsidRDefault="009B2ABC" w:rsidP="00521449">
            <w:pPr>
              <w:rPr>
                <w:sz w:val="24"/>
                <w:szCs w:val="24"/>
                <w:lang w:val="en-US"/>
              </w:rPr>
            </w:pPr>
            <w:r w:rsidRPr="009B2ABC">
              <w:rPr>
                <w:sz w:val="24"/>
                <w:szCs w:val="24"/>
                <w:lang w:val="en-US"/>
              </w:rPr>
              <w:t>Doesn't "( [RTS CTS] non-cf-ack-piggybacked-qos-poll-sequence )" need a | at the end?  Otherwise it is effectively prepended to cf-ack-piggybacked-qos-poll-sequence on the next line</w:t>
            </w:r>
          </w:p>
        </w:tc>
        <w:tc>
          <w:tcPr>
            <w:tcW w:w="1681" w:type="pct"/>
            <w:shd w:val="clear" w:color="auto" w:fill="auto"/>
          </w:tcPr>
          <w:p w:rsidR="00A665E4" w:rsidRPr="001E491B" w:rsidRDefault="009B2ABC" w:rsidP="00521449">
            <w:pPr>
              <w:rPr>
                <w:sz w:val="24"/>
                <w:szCs w:val="24"/>
                <w:lang w:val="en-US"/>
              </w:rPr>
            </w:pPr>
            <w:r w:rsidRPr="009B2ABC">
              <w:rPr>
                <w:sz w:val="24"/>
                <w:szCs w:val="24"/>
                <w:lang w:val="en-US"/>
              </w:rPr>
              <w:t>Add a | at the end</w:t>
            </w:r>
          </w:p>
        </w:tc>
      </w:tr>
    </w:tbl>
    <w:p w:rsidR="008D537E" w:rsidRDefault="008D537E" w:rsidP="003E1AB9">
      <w:pPr>
        <w:rPr>
          <w:b/>
          <w:bCs/>
          <w:iCs/>
          <w:sz w:val="24"/>
          <w:szCs w:val="24"/>
          <w:u w:val="single"/>
        </w:rPr>
      </w:pPr>
    </w:p>
    <w:p w:rsidR="009B2ABC" w:rsidRPr="001E491B" w:rsidRDefault="009B2ABC" w:rsidP="009B2ABC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9B2ABC" w:rsidRDefault="009B2ABC" w:rsidP="009B2ABC">
      <w:pPr>
        <w:jc w:val="both"/>
        <w:rPr>
          <w:sz w:val="24"/>
          <w:szCs w:val="24"/>
        </w:rPr>
      </w:pPr>
      <w:r>
        <w:rPr>
          <w:sz w:val="24"/>
          <w:szCs w:val="24"/>
        </w:rPr>
        <w:t>Refering to line 3403.45,</w:t>
      </w:r>
    </w:p>
    <w:p w:rsidR="00350488" w:rsidRDefault="00350488" w:rsidP="009B2ABC">
      <w:pPr>
        <w:jc w:val="both"/>
        <w:rPr>
          <w:sz w:val="24"/>
          <w:szCs w:val="24"/>
        </w:rPr>
      </w:pPr>
    </w:p>
    <w:p w:rsidR="009B2ABC" w:rsidRDefault="00180157" w:rsidP="009B2ABC">
      <w:pPr>
        <w:jc w:val="both"/>
        <w:rPr>
          <w:sz w:val="24"/>
          <w:szCs w:val="24"/>
        </w:rPr>
      </w:pPr>
      <w:r w:rsidRPr="0018015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1839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57" w:rsidRDefault="00180157" w:rsidP="00180157">
      <w:pPr>
        <w:jc w:val="both"/>
        <w:rPr>
          <w:b/>
          <w:i/>
          <w:sz w:val="24"/>
          <w:szCs w:val="24"/>
        </w:rPr>
      </w:pPr>
    </w:p>
    <w:p w:rsidR="00180157" w:rsidRPr="0086681D" w:rsidRDefault="00180157" w:rsidP="0018015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180157" w:rsidRDefault="00180157" w:rsidP="00180157">
      <w:pPr>
        <w:jc w:val="both"/>
        <w:rPr>
          <w:b/>
          <w:sz w:val="24"/>
          <w:szCs w:val="24"/>
        </w:rPr>
      </w:pPr>
    </w:p>
    <w:p w:rsidR="00180157" w:rsidRPr="001E491B" w:rsidRDefault="00180157" w:rsidP="001801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180157" w:rsidRPr="00180157" w:rsidRDefault="00180157" w:rsidP="00180157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180157">
        <w:rPr>
          <w:rFonts w:ascii="Times New Roman" w:eastAsia="Calibri" w:hAnsi="Times New Roman"/>
          <w:szCs w:val="24"/>
          <w:highlight w:val="yellow"/>
        </w:rPr>
        <w:t>TGmc Editor: Add a “|” at the end of the line in lne 3403.45.</w:t>
      </w:r>
    </w:p>
    <w:p w:rsidR="00350488" w:rsidRDefault="00350488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02013F" w:rsidRDefault="0002013F" w:rsidP="003E1AB9">
      <w:pPr>
        <w:rPr>
          <w:bCs/>
          <w:iCs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0E5C0B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E5C0B" w:rsidRPr="001E491B" w:rsidTr="00521449">
        <w:trPr>
          <w:trHeight w:val="656"/>
          <w:jc w:val="center"/>
        </w:trPr>
        <w:tc>
          <w:tcPr>
            <w:tcW w:w="3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7405</w:t>
            </w:r>
          </w:p>
        </w:tc>
        <w:tc>
          <w:tcPr>
            <w:tcW w:w="678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21.2.5.3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2506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38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You need to use 20U if the prim is above the sec</w:t>
            </w:r>
          </w:p>
        </w:tc>
        <w:tc>
          <w:tcPr>
            <w:tcW w:w="16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Change &lt; to &gt;</w:t>
            </w:r>
          </w:p>
        </w:tc>
      </w:tr>
    </w:tbl>
    <w:p w:rsidR="000E5C0B" w:rsidRDefault="000E5C0B" w:rsidP="003E1AB9">
      <w:pPr>
        <w:rPr>
          <w:bCs/>
          <w:iCs/>
          <w:sz w:val="24"/>
          <w:szCs w:val="24"/>
        </w:rPr>
      </w:pPr>
    </w:p>
    <w:p w:rsidR="00C47F0F" w:rsidRPr="001E491B" w:rsidRDefault="00C47F0F" w:rsidP="00C47F0F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523ACB" w:rsidRDefault="00B17C1F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 line</w:t>
      </w:r>
      <w:r w:rsidR="00523ACB">
        <w:rPr>
          <w:bCs/>
          <w:iCs/>
          <w:sz w:val="24"/>
          <w:szCs w:val="24"/>
        </w:rPr>
        <w:t xml:space="preserve"> 2506.13,</w:t>
      </w:r>
    </w:p>
    <w:p w:rsidR="004B268C" w:rsidRDefault="004B268C" w:rsidP="003E1AB9">
      <w:pPr>
        <w:rPr>
          <w:bCs/>
          <w:iCs/>
          <w:sz w:val="24"/>
          <w:szCs w:val="24"/>
        </w:rPr>
      </w:pPr>
    </w:p>
    <w:p w:rsidR="00523ACB" w:rsidRDefault="00523ACB" w:rsidP="003E1AB9">
      <w:pPr>
        <w:rPr>
          <w:bCs/>
          <w:iCs/>
          <w:sz w:val="24"/>
          <w:szCs w:val="24"/>
        </w:rPr>
      </w:pPr>
      <w:r w:rsidRPr="00523ACB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9961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8C" w:rsidRDefault="004B268C" w:rsidP="003E1AB9">
      <w:pPr>
        <w:rPr>
          <w:bCs/>
          <w:iCs/>
          <w:sz w:val="24"/>
          <w:szCs w:val="24"/>
        </w:rPr>
      </w:pPr>
    </w:p>
    <w:p w:rsidR="00D40582" w:rsidRDefault="004B268C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It can be observed that the logic is not correct because, as both commenters point out, one need </w:t>
      </w:r>
      <w:r w:rsidR="003666F4">
        <w:rPr>
          <w:bCs/>
          <w:iCs/>
          <w:sz w:val="24"/>
          <w:szCs w:val="24"/>
        </w:rPr>
        <w:t xml:space="preserve">to use the upper 20 MHz portion of a 40 MHz channel </w:t>
      </w:r>
      <w:r w:rsidR="002950FE">
        <w:rPr>
          <w:bCs/>
          <w:iCs/>
          <w:sz w:val="24"/>
          <w:szCs w:val="24"/>
        </w:rPr>
        <w:t xml:space="preserve">if the </w:t>
      </w:r>
      <w:r w:rsidR="00351ABD">
        <w:rPr>
          <w:bCs/>
          <w:iCs/>
          <w:sz w:val="24"/>
          <w:szCs w:val="24"/>
        </w:rPr>
        <w:t>channel frequency of primary channel is above that of the secondary channel.</w:t>
      </w:r>
    </w:p>
    <w:p w:rsidR="00D30FC1" w:rsidRDefault="00D30FC1" w:rsidP="003E1AB9">
      <w:pPr>
        <w:rPr>
          <w:bCs/>
          <w:iCs/>
          <w:sz w:val="24"/>
          <w:szCs w:val="24"/>
        </w:rPr>
      </w:pPr>
    </w:p>
    <w:p w:rsidR="00E27705" w:rsidRDefault="00B17C1F" w:rsidP="00E277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B17C1F" w:rsidRDefault="00B17C1F" w:rsidP="00E27705">
      <w:pPr>
        <w:jc w:val="both"/>
        <w:rPr>
          <w:b/>
          <w:sz w:val="24"/>
          <w:szCs w:val="24"/>
        </w:rPr>
      </w:pPr>
    </w:p>
    <w:p w:rsidR="00E27705" w:rsidRPr="001E491B" w:rsidRDefault="00E27705" w:rsidP="00E277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 In line 2506.13, change “&lt;” to “&gt;”.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</w:p>
    <w:p w:rsidR="00B17C1F" w:rsidRDefault="00B17C1F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br w:type="page"/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B17C1F" w:rsidRPr="001E491B" w:rsidTr="003C03DE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1F" w:rsidRPr="001E491B" w:rsidRDefault="00B17C1F" w:rsidP="003C03DE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1F" w:rsidRPr="001E491B" w:rsidRDefault="00B17C1F" w:rsidP="003C03DE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1F" w:rsidRPr="001E491B" w:rsidRDefault="00B17C1F" w:rsidP="003C03DE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1F" w:rsidRPr="001E491B" w:rsidRDefault="00B17C1F" w:rsidP="003C03DE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1F" w:rsidRPr="001E491B" w:rsidRDefault="00B17C1F" w:rsidP="003C03DE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1F" w:rsidRPr="001E491B" w:rsidRDefault="00B17C1F" w:rsidP="003C03DE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17C1F" w:rsidRPr="001E491B" w:rsidTr="003C03DE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B17C1F" w:rsidRPr="001E491B" w:rsidRDefault="00B17C1F" w:rsidP="003C03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7135</w:t>
            </w:r>
          </w:p>
        </w:tc>
        <w:tc>
          <w:tcPr>
            <w:tcW w:w="678" w:type="pct"/>
            <w:shd w:val="clear" w:color="auto" w:fill="auto"/>
          </w:tcPr>
          <w:p w:rsidR="00B17C1F" w:rsidRPr="001E491B" w:rsidRDefault="00B17C1F" w:rsidP="003C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21.2.5.2</w:t>
            </w:r>
          </w:p>
        </w:tc>
        <w:tc>
          <w:tcPr>
            <w:tcW w:w="362" w:type="pct"/>
            <w:shd w:val="clear" w:color="auto" w:fill="auto"/>
          </w:tcPr>
          <w:p w:rsidR="00B17C1F" w:rsidRPr="001E491B" w:rsidRDefault="00B17C1F" w:rsidP="003C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2504</w:t>
            </w:r>
          </w:p>
        </w:tc>
        <w:tc>
          <w:tcPr>
            <w:tcW w:w="362" w:type="pct"/>
            <w:shd w:val="clear" w:color="auto" w:fill="auto"/>
          </w:tcPr>
          <w:p w:rsidR="00B17C1F" w:rsidRPr="001E491B" w:rsidRDefault="00B17C1F" w:rsidP="003C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538" w:type="pct"/>
            <w:shd w:val="clear" w:color="auto" w:fill="auto"/>
          </w:tcPr>
          <w:p w:rsidR="00B17C1F" w:rsidRPr="001E491B" w:rsidRDefault="00B17C1F" w:rsidP="003C03DE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I believe the inequality is the wrong way round.</w:t>
            </w:r>
          </w:p>
        </w:tc>
        <w:tc>
          <w:tcPr>
            <w:tcW w:w="1680" w:type="pct"/>
            <w:shd w:val="clear" w:color="auto" w:fill="auto"/>
          </w:tcPr>
          <w:p w:rsidR="00B17C1F" w:rsidRPr="000E5C0B" w:rsidRDefault="00B17C1F" w:rsidP="003C03DE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change "less than" to "greater than" in the inequality on this line.</w:t>
            </w:r>
          </w:p>
          <w:p w:rsidR="00B17C1F" w:rsidRPr="000E5C0B" w:rsidRDefault="00B17C1F" w:rsidP="003C03DE">
            <w:pPr>
              <w:rPr>
                <w:sz w:val="24"/>
                <w:szCs w:val="24"/>
                <w:lang w:val="en-US"/>
              </w:rPr>
            </w:pPr>
          </w:p>
          <w:p w:rsidR="00B17C1F" w:rsidRPr="000E5C0B" w:rsidRDefault="00B17C1F" w:rsidP="003C03DE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Make matching change at 2506.13</w:t>
            </w:r>
          </w:p>
          <w:p w:rsidR="00B17C1F" w:rsidRPr="001E491B" w:rsidRDefault="00B17C1F" w:rsidP="003C03DE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And change the text at 2330.43 to match.</w:t>
            </w:r>
          </w:p>
        </w:tc>
      </w:tr>
    </w:tbl>
    <w:p w:rsidR="00B17C1F" w:rsidRDefault="00B17C1F" w:rsidP="00B17C1F">
      <w:pPr>
        <w:jc w:val="both"/>
        <w:rPr>
          <w:b/>
          <w:i/>
          <w:sz w:val="24"/>
          <w:szCs w:val="24"/>
        </w:rPr>
      </w:pPr>
    </w:p>
    <w:p w:rsidR="00B17C1F" w:rsidRPr="001E491B" w:rsidRDefault="00B17C1F" w:rsidP="00B17C1F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B17C1F" w:rsidRDefault="00B17C1F" w:rsidP="00B17C1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The discussion of this CID is covered by CID 7405 (in this document), and CIDs 7404 and 7408 (in submission 16/0291r0).</w:t>
      </w:r>
    </w:p>
    <w:p w:rsidR="00B17C1F" w:rsidRDefault="00B17C1F" w:rsidP="00B17C1F">
      <w:pPr>
        <w:rPr>
          <w:bCs/>
          <w:iCs/>
          <w:sz w:val="24"/>
          <w:szCs w:val="24"/>
        </w:rPr>
      </w:pPr>
    </w:p>
    <w:p w:rsidR="00B17C1F" w:rsidRDefault="00B17C1F" w:rsidP="00B17C1F">
      <w:pPr>
        <w:jc w:val="both"/>
        <w:rPr>
          <w:b/>
          <w:i/>
          <w:sz w:val="24"/>
          <w:szCs w:val="24"/>
        </w:rPr>
      </w:pPr>
    </w:p>
    <w:p w:rsidR="00B17C1F" w:rsidRPr="0086681D" w:rsidRDefault="00B17C1F" w:rsidP="00B17C1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B17C1F" w:rsidRDefault="00B17C1F" w:rsidP="00B17C1F">
      <w:pPr>
        <w:jc w:val="both"/>
        <w:rPr>
          <w:b/>
          <w:sz w:val="24"/>
          <w:szCs w:val="24"/>
        </w:rPr>
      </w:pPr>
    </w:p>
    <w:p w:rsidR="00B17C1F" w:rsidRPr="001E491B" w:rsidRDefault="00B17C1F" w:rsidP="00B17C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Revised </w:t>
      </w:r>
    </w:p>
    <w:p w:rsidR="00B17C1F" w:rsidRDefault="00B17C1F" w:rsidP="00B17C1F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 </w:t>
      </w:r>
    </w:p>
    <w:p w:rsidR="00B17C1F" w:rsidRDefault="00B17C1F" w:rsidP="00B17C1F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>
        <w:rPr>
          <w:rFonts w:ascii="Times New Roman" w:eastAsia="Calibri" w:hAnsi="Times New Roman"/>
          <w:szCs w:val="24"/>
          <w:highlight w:val="yellow"/>
        </w:rPr>
        <w:t>Follow the resolution of CIDs 7404 and 7048 (in submission 16/0291r0) to:</w:t>
      </w:r>
    </w:p>
    <w:p w:rsidR="00B17C1F" w:rsidRDefault="00B17C1F" w:rsidP="00B17C1F"/>
    <w:p w:rsidR="00B17C1F" w:rsidRDefault="00B17C1F" w:rsidP="00B17C1F">
      <w:pPr>
        <w:pStyle w:val="ListParagraph"/>
        <w:numPr>
          <w:ilvl w:val="0"/>
          <w:numId w:val="39"/>
        </w:numPr>
      </w:pPr>
      <w:r>
        <w:t>Change text on page 2230, starting at line 36 as follows:</w:t>
      </w:r>
    </w:p>
    <w:p w:rsidR="00B17C1F" w:rsidRDefault="00B17C1F" w:rsidP="00B17C1F"/>
    <w:p w:rsidR="00B17C1F" w:rsidRDefault="00B17C1F" w:rsidP="00B17C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19.2.5 Support for NON_HT formats</w:t>
      </w:r>
    </w:p>
    <w:p w:rsidR="00B17C1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In order to transmit a non-HT PPDU, the MAC shall set the CH_BANDWIDTH and CH_OFFSET in the</w:t>
      </w:r>
    </w:p>
    <w:p w:rsidR="00B17C1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TXVECTOR to achieve the required non-HT PPDU format (see Table 19-2 (PPDU format as a function of</w:t>
      </w:r>
    </w:p>
    <w:p w:rsidR="00B17C1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CH_BANDWIDTH and CH_OFFSET parameters)); for 20 MHz bandwidth transmissions in a 40 MHz</w:t>
      </w:r>
    </w:p>
    <w:p w:rsidR="00B17C1F" w:rsidRDefault="00B17C1F" w:rsidP="00B17C1F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20"/>
        </w:rPr>
        <w:t xml:space="preserve">channel, the CH_OFFSET shall be 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>CH_OFF_20U</w:t>
      </w:r>
      <w:r w:rsidRPr="00B31FCF">
        <w:rPr>
          <w:rFonts w:ascii="TimesNewRomanPSMT" w:hAnsi="TimesNewRomanPSMT" w:cs="TimesNewRomanPSMT"/>
          <w:color w:val="FF0000"/>
          <w:sz w:val="20"/>
        </w:rPr>
        <w:t xml:space="preserve"> </w:t>
      </w:r>
      <w:r w:rsidRPr="00B31FCF">
        <w:rPr>
          <w:rFonts w:ascii="TimesNewRomanPSMT" w:hAnsi="TimesNewRomanPSMT" w:cs="TimesNewRomanPSMT"/>
          <w:color w:val="FF0000"/>
          <w:sz w:val="20"/>
          <w:u w:val="single"/>
        </w:rPr>
        <w:t>CH_OFF_20L</w:t>
      </w:r>
      <w:r w:rsidRPr="00B31FCF">
        <w:rPr>
          <w:rFonts w:ascii="TimesNewRomanPSMT" w:hAnsi="TimesNewRomanPSMT" w:cs="TimesNewRomanPSMT"/>
          <w:color w:val="FF0000"/>
          <w:sz w:val="20"/>
        </w:rPr>
        <w:t xml:space="preserve"> </w:t>
      </w:r>
      <w:r>
        <w:rPr>
          <w:rFonts w:ascii="TimesNewRomanPSMT" w:hAnsi="TimesNewRomanPSMT" w:cs="TimesNewRomanPSMT"/>
          <w:sz w:val="20"/>
        </w:rPr>
        <w:t xml:space="preserve">if the SECONDARY_CHANNEL_OFFSET parameter of the PHYCONFIG_VECTOR was SECONDARY_CHANNEL_ABOVE, or </w:t>
      </w:r>
      <w:r>
        <w:rPr>
          <w:rFonts w:ascii="TimesNewRomanPSMT" w:hAnsi="TimesNewRomanPSMT" w:cs="TimesNewRomanPSMT"/>
          <w:strike/>
          <w:color w:val="FF0000"/>
          <w:sz w:val="20"/>
        </w:rPr>
        <w:t>CH_OFF_20L</w:t>
      </w:r>
      <w:r w:rsidRPr="00B31FCF">
        <w:rPr>
          <w:rFonts w:ascii="TimesNewRomanPSMT" w:hAnsi="TimesNewRomanPSMT" w:cs="TimesNewRomanPSMT"/>
          <w:color w:val="FF0000"/>
          <w:sz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u w:val="single"/>
        </w:rPr>
        <w:t>CH_OFF_20U</w:t>
      </w:r>
      <w:r w:rsidRPr="00B31FCF">
        <w:rPr>
          <w:rFonts w:ascii="TimesNewRomanPSMT" w:hAnsi="TimesNewRomanPSMT" w:cs="TimesNewRomanPSMT"/>
          <w:color w:val="FF0000"/>
          <w:sz w:val="20"/>
        </w:rPr>
        <w:t xml:space="preserve"> </w:t>
      </w:r>
      <w:r>
        <w:rPr>
          <w:rFonts w:ascii="TimesNewRomanPSMT" w:hAnsi="TimesNewRomanPSMT" w:cs="TimesNewRomanPSMT"/>
          <w:sz w:val="20"/>
        </w:rPr>
        <w:t>otherwise.</w:t>
      </w:r>
    </w:p>
    <w:p w:rsidR="00B17C1F" w:rsidRDefault="00B17C1F" w:rsidP="00B17C1F"/>
    <w:p w:rsidR="00B17C1F" w:rsidRDefault="00B17C1F" w:rsidP="00B17C1F">
      <w:pPr>
        <w:pStyle w:val="ListParagraph"/>
        <w:numPr>
          <w:ilvl w:val="0"/>
          <w:numId w:val="39"/>
        </w:numPr>
      </w:pPr>
      <w:r>
        <w:t>Change text on page 2504, starting at line 24 as follows:</w:t>
      </w:r>
    </w:p>
    <w:p w:rsidR="00B17C1F" w:rsidRDefault="00B17C1F" w:rsidP="00B17C1F">
      <w:pPr>
        <w:ind w:left="360"/>
      </w:pPr>
    </w:p>
    <w:p w:rsidR="00B17C1F" w:rsidRDefault="00B17C1F" w:rsidP="00B17C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21.2.5.2 Support for NON_HT format when NON_HT_MODULATION is OFDM</w:t>
      </w:r>
    </w:p>
    <w:p w:rsidR="00B17C1F" w:rsidRPr="00B31FC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0"/>
        </w:rPr>
      </w:pPr>
      <w:r>
        <w:rPr>
          <w:rFonts w:ascii="TimesNewRomanPSMT" w:hAnsi="TimesNewRomanPSMT" w:cs="TimesNewRomanPSMT"/>
          <w:sz w:val="20"/>
        </w:rPr>
        <w:t xml:space="preserve">In order to transmit a non-HT PPDU, the MAC shall set the CH_BANDWIDTH 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>and CH_OFFSET in the</w:t>
      </w:r>
    </w:p>
    <w:p w:rsidR="00B17C1F" w:rsidRPr="00B31FC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0"/>
        </w:rPr>
      </w:pPr>
      <w:r w:rsidRPr="00B31FCF">
        <w:rPr>
          <w:rFonts w:ascii="TimesNewRomanPSMT" w:hAnsi="TimesNewRomanPSMT" w:cs="TimesNewRomanPSMT"/>
          <w:strike/>
          <w:color w:val="FF0000"/>
          <w:sz w:val="20"/>
        </w:rPr>
        <w:t xml:space="preserve">TXVECTOR </w:t>
      </w:r>
      <w:r>
        <w:rPr>
          <w:rFonts w:ascii="TimesNewRomanPSMT" w:hAnsi="TimesNewRomanPSMT" w:cs="TimesNewRomanPSMT"/>
          <w:sz w:val="20"/>
        </w:rPr>
        <w:t xml:space="preserve">to achieve the required non-HT PPDU format (see Table 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>19-2</w:t>
      </w:r>
      <w:r w:rsidRPr="00B31FCF">
        <w:rPr>
          <w:rFonts w:ascii="TimesNewRomanPSMT" w:hAnsi="TimesNewRomanPSMT" w:cs="TimesNewRomanPSMT"/>
          <w:color w:val="FF0000"/>
          <w:sz w:val="20"/>
        </w:rPr>
        <w:t xml:space="preserve"> </w:t>
      </w:r>
      <w:r w:rsidRPr="00B31FCF">
        <w:rPr>
          <w:rFonts w:ascii="TimesNewRomanPSMT" w:hAnsi="TimesNewRomanPSMT" w:cs="TimesNewRomanPSMT"/>
          <w:color w:val="FF0000"/>
          <w:sz w:val="20"/>
          <w:u w:val="single"/>
        </w:rPr>
        <w:t>21-7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>(PPDU format as a function of</w:t>
      </w:r>
    </w:p>
    <w:p w:rsidR="00B17C1F" w:rsidRPr="00B31FC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0"/>
        </w:rPr>
      </w:pPr>
      <w:r w:rsidRPr="00B31FCF">
        <w:rPr>
          <w:rFonts w:ascii="TimesNewRomanPSMT" w:hAnsi="TimesNewRomanPSMT" w:cs="TimesNewRomanPSMT"/>
          <w:strike/>
          <w:color w:val="FF0000"/>
          <w:sz w:val="20"/>
        </w:rPr>
        <w:t>CH_BANDWIDTH and CH_OFFSET parameters)</w:t>
      </w:r>
      <w:r>
        <w:rPr>
          <w:rFonts w:ascii="TimesNewRomanPSMT" w:hAnsi="TimesNewRomanPSMT" w:cs="TimesNewRomanPSMT"/>
          <w:sz w:val="20"/>
        </w:rPr>
        <w:t xml:space="preserve">); 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>for 20 MHz bandwidth transmissions in a 40 MHz</w:t>
      </w:r>
    </w:p>
    <w:p w:rsidR="00C451C0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0"/>
        </w:rPr>
      </w:pPr>
      <w:r w:rsidRPr="00B31FCF">
        <w:rPr>
          <w:rFonts w:ascii="TimesNewRomanPSMT" w:hAnsi="TimesNewRomanPSMT" w:cs="TimesNewRomanPSMT"/>
          <w:strike/>
          <w:color w:val="FF0000"/>
          <w:sz w:val="20"/>
        </w:rPr>
        <w:t xml:space="preserve">channel, the CH_OFFSET shall be CH_OFF_20U if </w:t>
      </w:r>
      <w:r w:rsidRPr="00B31FCF">
        <w:rPr>
          <w:rFonts w:ascii="TimesNewRomanPS-ItalicMT" w:hAnsi="TimesNewRomanPS-ItalicMT" w:cs="TimesNewRomanPS-ItalicMT"/>
          <w:i/>
          <w:iCs/>
          <w:strike/>
          <w:color w:val="FF0000"/>
          <w:sz w:val="20"/>
        </w:rPr>
        <w:t>f</w:t>
      </w:r>
      <w:r w:rsidRPr="00B31FCF">
        <w:rPr>
          <w:rFonts w:ascii="TimesNewRomanPSMT" w:hAnsi="TimesNewRomanPSMT" w:cs="TimesNewRomanPSMT"/>
          <w:strike/>
          <w:color w:val="FF0000"/>
          <w:sz w:val="14"/>
          <w:szCs w:val="14"/>
        </w:rPr>
        <w:t>P20</w:t>
      </w:r>
      <w:r w:rsidRPr="00B31FCF">
        <w:rPr>
          <w:rFonts w:ascii="SymbolMT" w:eastAsia="SymbolMT" w:hAnsi="TimesNewRomanPS-ItalicMT" w:cs="SymbolMT"/>
          <w:strike/>
          <w:color w:val="FF0000"/>
          <w:sz w:val="14"/>
          <w:szCs w:val="14"/>
        </w:rPr>
        <w:t>,</w:t>
      </w:r>
      <w:r w:rsidRPr="00B31FCF">
        <w:rPr>
          <w:rFonts w:ascii="TimesNewRomanPSMT" w:hAnsi="TimesNewRomanPSMT" w:cs="TimesNewRomanPSMT"/>
          <w:strike/>
          <w:color w:val="FF0000"/>
          <w:sz w:val="14"/>
          <w:szCs w:val="14"/>
        </w:rPr>
        <w:t xml:space="preserve">idx </w:t>
      </w:r>
      <w:r w:rsidRPr="00B31FCF">
        <w:rPr>
          <w:rFonts w:ascii="SymbolMT" w:eastAsia="SymbolMT" w:hAnsi="TimesNewRomanPS-ItalicMT" w:cs="SymbolMT" w:hint="eastAsia"/>
          <w:strike/>
          <w:color w:val="FF0000"/>
          <w:sz w:val="20"/>
        </w:rPr>
        <w:t>&lt;</w:t>
      </w:r>
      <w:r w:rsidRPr="00B31FCF">
        <w:rPr>
          <w:rFonts w:ascii="SymbolMT" w:eastAsia="SymbolMT" w:hAnsi="TimesNewRomanPS-ItalicMT" w:cs="SymbolMT"/>
          <w:strike/>
          <w:color w:val="FF0000"/>
          <w:sz w:val="20"/>
        </w:rPr>
        <w:t xml:space="preserve"> </w:t>
      </w:r>
      <w:r w:rsidRPr="00B31FCF">
        <w:rPr>
          <w:rFonts w:ascii="TimesNewRomanPS-ItalicMT" w:hAnsi="TimesNewRomanPS-ItalicMT" w:cs="TimesNewRomanPS-ItalicMT"/>
          <w:i/>
          <w:iCs/>
          <w:strike/>
          <w:color w:val="FF0000"/>
          <w:sz w:val="20"/>
        </w:rPr>
        <w:t>f</w:t>
      </w:r>
      <w:r w:rsidRPr="00B31FCF">
        <w:rPr>
          <w:rFonts w:ascii="TimesNewRomanPSMT" w:hAnsi="TimesNewRomanPSMT" w:cs="TimesNewRomanPSMT"/>
          <w:strike/>
          <w:color w:val="FF0000"/>
          <w:sz w:val="14"/>
          <w:szCs w:val="14"/>
        </w:rPr>
        <w:t>S20</w:t>
      </w:r>
      <w:r w:rsidRPr="00B31FCF">
        <w:rPr>
          <w:rFonts w:ascii="SymbolMT" w:eastAsia="SymbolMT" w:hAnsi="TimesNewRomanPS-ItalicMT" w:cs="SymbolMT"/>
          <w:strike/>
          <w:color w:val="FF0000"/>
          <w:sz w:val="14"/>
          <w:szCs w:val="14"/>
        </w:rPr>
        <w:t>,</w:t>
      </w:r>
      <w:r w:rsidRPr="00B31FCF">
        <w:rPr>
          <w:rFonts w:ascii="TimesNewRomanPSMT" w:hAnsi="TimesNewRomanPSMT" w:cs="TimesNewRomanPSMT"/>
          <w:strike/>
          <w:color w:val="FF0000"/>
          <w:sz w:val="14"/>
          <w:szCs w:val="14"/>
        </w:rPr>
        <w:t>idx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 xml:space="preserve">, or CH_OFF_20L otherwise. The quantities </w:t>
      </w:r>
      <w:r w:rsidRPr="00B31FCF">
        <w:rPr>
          <w:rFonts w:ascii="TimesNewRomanPS-ItalicMT" w:hAnsi="TimesNewRomanPS-ItalicMT" w:cs="TimesNewRomanPS-ItalicMT"/>
          <w:i/>
          <w:iCs/>
          <w:strike/>
          <w:color w:val="FF0000"/>
          <w:sz w:val="20"/>
        </w:rPr>
        <w:t>f</w:t>
      </w:r>
      <w:r w:rsidRPr="00B31FCF">
        <w:rPr>
          <w:rFonts w:ascii="TimesNewRomanPSMT" w:hAnsi="TimesNewRomanPSMT" w:cs="TimesNewRomanPSMT"/>
          <w:strike/>
          <w:color w:val="FF0000"/>
          <w:sz w:val="14"/>
          <w:szCs w:val="14"/>
        </w:rPr>
        <w:t>P20,idx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 xml:space="preserve"> and </w:t>
      </w:r>
      <w:r w:rsidRPr="00B31FCF">
        <w:rPr>
          <w:rFonts w:ascii="TimesNewRomanPS-ItalicMT" w:hAnsi="TimesNewRomanPS-ItalicMT" w:cs="TimesNewRomanPS-ItalicMT"/>
          <w:i/>
          <w:iCs/>
          <w:strike/>
          <w:color w:val="FF0000"/>
          <w:sz w:val="20"/>
        </w:rPr>
        <w:t>f</w:t>
      </w:r>
      <w:r w:rsidRPr="00B31FCF">
        <w:rPr>
          <w:rFonts w:ascii="TimesNewRomanPSMT" w:hAnsi="TimesNewRomanPSMT" w:cs="TimesNewRomanPSMT"/>
          <w:strike/>
          <w:color w:val="FF0000"/>
          <w:sz w:val="14"/>
          <w:szCs w:val="14"/>
        </w:rPr>
        <w:t>S20,idx</w:t>
      </w:r>
      <w:r w:rsidRPr="00B31FCF">
        <w:rPr>
          <w:rFonts w:ascii="TimesNewRomanPSMT" w:hAnsi="TimesNewRomanPSMT" w:cs="TimesNewRomanPSMT"/>
          <w:strike/>
          <w:color w:val="FF0000"/>
          <w:sz w:val="20"/>
        </w:rPr>
        <w:t xml:space="preserve"> are defined in 21.3.7.3 (Channel frequencies).</w:t>
      </w:r>
    </w:p>
    <w:p w:rsidR="00B17C1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0"/>
        </w:rPr>
      </w:pPr>
    </w:p>
    <w:p w:rsidR="00B17C1F" w:rsidRDefault="00B17C1F" w:rsidP="00B17C1F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>
        <w:rPr>
          <w:rFonts w:ascii="Times New Roman" w:eastAsia="Calibri" w:hAnsi="Times New Roman"/>
          <w:szCs w:val="24"/>
          <w:highlight w:val="yellow"/>
        </w:rPr>
        <w:t>Then follow the resolution of CID 7405 to change “&lt;” to “&gt;” in line 2506.13.</w:t>
      </w:r>
    </w:p>
    <w:p w:rsidR="00B17C1F" w:rsidRPr="00B17C1F" w:rsidRDefault="00B17C1F" w:rsidP="00B17C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sectPr w:rsidR="00B17C1F" w:rsidRPr="00B17C1F" w:rsidSect="00620EB6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C3" w:rsidRDefault="009737C3">
      <w:r>
        <w:separator/>
      </w:r>
    </w:p>
  </w:endnote>
  <w:endnote w:type="continuationSeparator" w:id="0">
    <w:p w:rsidR="009737C3" w:rsidRDefault="009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F00FF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F60C3">
        <w:t>Submission</w:t>
      </w:r>
    </w:fldSimple>
    <w:r w:rsidR="001F60C3">
      <w:t xml:space="preserve"> </w:t>
    </w:r>
    <w:r w:rsidR="001F60C3">
      <w:tab/>
      <w:t xml:space="preserve">Page </w:t>
    </w:r>
    <w:r w:rsidR="002F2C64">
      <w:fldChar w:fldCharType="begin"/>
    </w:r>
    <w:r w:rsidR="001F60C3">
      <w:instrText xml:space="preserve">page </w:instrText>
    </w:r>
    <w:r w:rsidR="002F2C64">
      <w:fldChar w:fldCharType="separate"/>
    </w:r>
    <w:r w:rsidR="00064C48">
      <w:rPr>
        <w:noProof/>
      </w:rPr>
      <w:t>7</w:t>
    </w:r>
    <w:r w:rsidR="002F2C6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C3" w:rsidRDefault="009737C3">
      <w:r>
        <w:separator/>
      </w:r>
    </w:p>
  </w:footnote>
  <w:footnote w:type="continuationSeparator" w:id="0">
    <w:p w:rsidR="009737C3" w:rsidRDefault="0097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F00FF5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3A0823">
        <w:t>February</w:t>
      </w:r>
      <w:r w:rsidR="001F60C3">
        <w:t xml:space="preserve"> 201</w:t>
      </w:r>
      <w:r w:rsidR="003A0823">
        <w:t>6</w:t>
      </w:r>
    </w:fldSimple>
    <w:r w:rsidR="001F60C3">
      <w:tab/>
    </w:r>
    <w:r w:rsidR="001F60C3">
      <w:tab/>
      <w:t xml:space="preserve">  </w:t>
    </w:r>
    <w:fldSimple w:instr=" TITLE  \* MERGEFORMAT ">
      <w:r w:rsidR="003A0823">
        <w:t>doc.: IEEE 802.11-16</w:t>
      </w:r>
      <w:r w:rsidR="00AD0EE0">
        <w:t>/0286</w:t>
      </w:r>
      <w:r w:rsidR="001F60C3">
        <w:t>r</w:t>
      </w:r>
      <w:r w:rsidR="008F1EF3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60D32"/>
    <w:rsid w:val="00063EA0"/>
    <w:rsid w:val="00064C48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E5C0B"/>
    <w:rsid w:val="000F08FC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32A0"/>
    <w:rsid w:val="00265609"/>
    <w:rsid w:val="002709F7"/>
    <w:rsid w:val="00271282"/>
    <w:rsid w:val="002737FC"/>
    <w:rsid w:val="00275FF6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50FE"/>
    <w:rsid w:val="00295117"/>
    <w:rsid w:val="00297D76"/>
    <w:rsid w:val="002A01F5"/>
    <w:rsid w:val="002A24B1"/>
    <w:rsid w:val="002A3ACC"/>
    <w:rsid w:val="002A5640"/>
    <w:rsid w:val="002B40B1"/>
    <w:rsid w:val="002B4649"/>
    <w:rsid w:val="002B4E61"/>
    <w:rsid w:val="002B5197"/>
    <w:rsid w:val="002B5477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0488"/>
    <w:rsid w:val="00351ABD"/>
    <w:rsid w:val="00352D1C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46B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62E"/>
    <w:rsid w:val="008527EC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599A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1CA7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1878-90C2-4E96-AE5A-9AAB56B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802.11-16/0286r0</vt:lpstr>
    </vt:vector>
  </TitlesOfParts>
  <Company>Huawei Technologies</Company>
  <LinksUpToDate>false</LinksUpToDate>
  <CharactersWithSpaces>4735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802.11-16/0286r1</dc:title>
  <dc:subject>Comment Resolution for CID1014</dc:subject>
  <dc:creator>Edward Au</dc:creator>
  <cp:lastModifiedBy>Edward Au</cp:lastModifiedBy>
  <cp:revision>153</cp:revision>
  <cp:lastPrinted>2011-03-31T18:31:00Z</cp:lastPrinted>
  <dcterms:created xsi:type="dcterms:W3CDTF">2015-12-07T14:37:00Z</dcterms:created>
  <dcterms:modified xsi:type="dcterms:W3CDTF">2016-02-24T13:02:00Z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