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666F62">
            <w:pPr>
              <w:pStyle w:val="T2"/>
            </w:pPr>
            <w:r>
              <w:t xml:space="preserve">Comment Resolution </w:t>
            </w:r>
            <w:r w:rsidR="00B8750A">
              <w:t>f</w:t>
            </w:r>
            <w:r w:rsidR="00A3365A">
              <w:t xml:space="preserve">or </w:t>
            </w:r>
            <w:r w:rsidR="00222194">
              <w:t xml:space="preserve">CIDs </w:t>
            </w:r>
            <w:r w:rsidR="00666F62">
              <w:t>7660</w:t>
            </w:r>
            <w:r w:rsidR="00ED5FAF">
              <w:t xml:space="preserve">, </w:t>
            </w:r>
            <w:r w:rsidR="00666F62">
              <w:t>7661</w:t>
            </w:r>
            <w:r w:rsidR="00ED5FAF">
              <w:t xml:space="preserve"> and 7664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9171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03219E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950843">
        <w:rPr>
          <w:rFonts w:ascii="Times New Roman" w:hAnsi="Times New Roman"/>
          <w:b w:val="0"/>
          <w:i w:val="0"/>
          <w:sz w:val="24"/>
          <w:szCs w:val="24"/>
        </w:rPr>
        <w:t>7660</w:t>
      </w:r>
      <w:r w:rsidR="00ED5FAF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50843">
        <w:rPr>
          <w:rFonts w:ascii="Times New Roman" w:hAnsi="Times New Roman"/>
          <w:b w:val="0"/>
          <w:i w:val="0"/>
          <w:sz w:val="24"/>
          <w:szCs w:val="24"/>
        </w:rPr>
        <w:t>7661</w:t>
      </w:r>
      <w:r w:rsidR="00ED5FAF">
        <w:rPr>
          <w:rFonts w:ascii="Times New Roman" w:hAnsi="Times New Roman"/>
          <w:b w:val="0"/>
          <w:i w:val="0"/>
          <w:sz w:val="24"/>
          <w:szCs w:val="24"/>
        </w:rPr>
        <w:t xml:space="preserve"> and 7664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A56838" w:rsidRPr="00A56838" w:rsidRDefault="00A56838" w:rsidP="00A56838">
      <w:r>
        <w:t>R1 – revised version for CID 7661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319"/>
        <w:gridCol w:w="704"/>
        <w:gridCol w:w="704"/>
        <w:gridCol w:w="2993"/>
        <w:gridCol w:w="3271"/>
      </w:tblGrid>
      <w:tr w:rsidR="00D318D9" w:rsidRPr="001E491B" w:rsidTr="00ED5FAF">
        <w:trPr>
          <w:trHeight w:val="34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D5FAF">
        <w:trPr>
          <w:trHeight w:val="1223"/>
          <w:jc w:val="center"/>
        </w:trPr>
        <w:tc>
          <w:tcPr>
            <w:tcW w:w="379" w:type="pct"/>
            <w:shd w:val="clear" w:color="auto" w:fill="auto"/>
          </w:tcPr>
          <w:p w:rsidR="000476E2" w:rsidRPr="001E491B" w:rsidRDefault="004A513C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7660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4A513C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4A513C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4A513C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4A513C" w:rsidP="00D318D9">
            <w:pPr>
              <w:rPr>
                <w:sz w:val="24"/>
                <w:szCs w:val="24"/>
                <w:lang w:val="en-US"/>
              </w:rPr>
            </w:pPr>
            <w:r w:rsidRPr="004A513C">
              <w:rPr>
                <w:sz w:val="24"/>
                <w:szCs w:val="24"/>
                <w:lang w:val="en-US"/>
              </w:rPr>
              <w:t>Why do only 2 of the cells say "--- See NOTE 2" and "(See NOTE 1)"?</w:t>
            </w:r>
          </w:p>
        </w:tc>
        <w:tc>
          <w:tcPr>
            <w:tcW w:w="1682" w:type="pct"/>
            <w:shd w:val="clear" w:color="auto" w:fill="auto"/>
          </w:tcPr>
          <w:p w:rsidR="000476E2" w:rsidRPr="001E491B" w:rsidRDefault="004A513C" w:rsidP="00C73433">
            <w:pPr>
              <w:rPr>
                <w:sz w:val="24"/>
                <w:szCs w:val="24"/>
                <w:lang w:val="en-US"/>
              </w:rPr>
            </w:pPr>
            <w:r w:rsidRPr="004A513C">
              <w:rPr>
                <w:sz w:val="24"/>
                <w:szCs w:val="24"/>
                <w:lang w:val="en-US"/>
              </w:rPr>
              <w:t>Add "--- See NOTE 2" and "(See NOTE 1)" to all the other cells except the ones saying "Reserved".  Or just delete all of them</w:t>
            </w:r>
          </w:p>
        </w:tc>
      </w:tr>
      <w:tr w:rsidR="00ED5FAF" w:rsidRPr="001E491B" w:rsidTr="00ED5FAF">
        <w:trPr>
          <w:trHeight w:val="122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 w:rsidRPr="00D96F9F">
              <w:rPr>
                <w:sz w:val="24"/>
                <w:szCs w:val="24"/>
                <w:lang w:val="en-US"/>
              </w:rPr>
              <w:t>What about 80 MHz?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AF" w:rsidRPr="001E491B" w:rsidRDefault="00ED5FAF" w:rsidP="005D5CC9">
            <w:pPr>
              <w:rPr>
                <w:sz w:val="24"/>
                <w:szCs w:val="24"/>
                <w:lang w:val="en-US"/>
              </w:rPr>
            </w:pPr>
            <w:r w:rsidRPr="00D96F9F">
              <w:rPr>
                <w:sz w:val="24"/>
                <w:szCs w:val="24"/>
                <w:lang w:val="en-US"/>
              </w:rPr>
              <w:t>Add "80 MHz," before "80+80 MHz"</w:t>
            </w:r>
          </w:p>
        </w:tc>
      </w:tr>
      <w:tr w:rsidR="009B1535" w:rsidRPr="001E491B" w:rsidTr="00ED5FAF">
        <w:trPr>
          <w:trHeight w:val="1223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</w:t>
            </w:r>
            <w:r w:rsidR="00ED5FA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9.4.1.53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9B1535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rPr>
                <w:sz w:val="24"/>
                <w:szCs w:val="24"/>
                <w:lang w:val="en-US"/>
              </w:rPr>
            </w:pPr>
            <w:r w:rsidRPr="00821F2B">
              <w:rPr>
                <w:sz w:val="24"/>
                <w:szCs w:val="24"/>
                <w:lang w:val="en-US"/>
              </w:rPr>
              <w:t xml:space="preserve">It says "Transmitting STA supports 20, 40, 80, and 160 or 80+80 MHz PPDUs at Max VHT NSS." -- </w:t>
            </w:r>
            <w:proofErr w:type="gramStart"/>
            <w:r w:rsidRPr="00821F2B"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821F2B">
              <w:rPr>
                <w:sz w:val="24"/>
                <w:szCs w:val="24"/>
                <w:lang w:val="en-US"/>
              </w:rPr>
              <w:t xml:space="preserve"> does the "or" mean?  For backward compatibility it must be 160 MHz but not 80+80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35" w:rsidRPr="001E491B" w:rsidRDefault="00821F2B" w:rsidP="005D5CC9">
            <w:pPr>
              <w:rPr>
                <w:sz w:val="24"/>
                <w:szCs w:val="24"/>
                <w:lang w:val="en-US"/>
              </w:rPr>
            </w:pPr>
            <w:r w:rsidRPr="00821F2B">
              <w:rPr>
                <w:sz w:val="24"/>
                <w:szCs w:val="24"/>
                <w:lang w:val="en-US"/>
              </w:rPr>
              <w:t>Change to "Transmitting STA supports 20, 40, 80 and 160 MHz PPDUs at Max VHT NSS. Transmitting STA does not support 80+80 MHz PPDUs."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F4B1E" w:rsidRPr="00DF4B1E" w:rsidRDefault="00DF4B1E" w:rsidP="004A513C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General</w:t>
      </w:r>
    </w:p>
    <w:p w:rsidR="00D12B42" w:rsidRDefault="003821D2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ED5FAF">
        <w:rPr>
          <w:sz w:val="24"/>
          <w:szCs w:val="24"/>
        </w:rPr>
        <w:t>here three</w:t>
      </w:r>
      <w:r>
        <w:rPr>
          <w:sz w:val="24"/>
          <w:szCs w:val="24"/>
        </w:rPr>
        <w:t xml:space="preserve"> CIDs are related to Operating Mode field, particularly the contents of the 2-bit Channel Width subfield and the 2-bit Dynamic Extended NSS BW subfield in Table 9-74.</w:t>
      </w:r>
    </w:p>
    <w:p w:rsidR="00CE3729" w:rsidRDefault="00CE3729" w:rsidP="004A513C">
      <w:pPr>
        <w:jc w:val="both"/>
        <w:rPr>
          <w:sz w:val="24"/>
          <w:szCs w:val="24"/>
        </w:rPr>
      </w:pPr>
    </w:p>
    <w:p w:rsidR="00DF4B1E" w:rsidRPr="00DF4B1E" w:rsidRDefault="00DF4B1E" w:rsidP="004A513C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For CID 7660</w:t>
      </w:r>
    </w:p>
    <w:p w:rsidR="00CE3729" w:rsidRDefault="00CE3729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>In the table, there are 4 notes as follows: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1—</w:t>
      </w:r>
      <w:proofErr w:type="gramStart"/>
      <w:r>
        <w:t>A</w:t>
      </w:r>
      <w:proofErr w:type="gramEnd"/>
      <w:r>
        <w:t xml:space="preserve"> transmitting STA refers to the STA transmitting the Channel Width and Dynamic Extended NSS BW </w:t>
      </w:r>
      <w:r w:rsidR="00FA7F33">
        <w:t>subfield</w:t>
      </w:r>
      <w:r>
        <w:t xml:space="preserve"> of the Operating Mode field.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2—Max VHT NSS is defined per MCS in 8.4.2.157.3 (Supported VHT-MCS and NSS Set field)</w:t>
      </w:r>
    </w:p>
    <w:p w:rsid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3—Half Max VHT NSS is equal to one half of Max VHT NSS rounded down to the nearest integer.</w:t>
      </w:r>
    </w:p>
    <w:p w:rsidR="00CE3729" w:rsidRPr="00CE3729" w:rsidRDefault="00CE3729" w:rsidP="00CE3729">
      <w:pPr>
        <w:pStyle w:val="ListParagraph"/>
        <w:numPr>
          <w:ilvl w:val="0"/>
          <w:numId w:val="35"/>
        </w:numPr>
        <w:jc w:val="both"/>
      </w:pPr>
      <w:r>
        <w:t>NOTE 4—</w:t>
      </w:r>
      <w:proofErr w:type="gramStart"/>
      <w:r>
        <w:t>Three</w:t>
      </w:r>
      <w:proofErr w:type="gramEnd"/>
      <w:r>
        <w:t xml:space="preserve"> fourths Max VHT NSS is equal to three fourths of Max VHT NSS rounded down to the nearest integer.</w:t>
      </w:r>
    </w:p>
    <w:p w:rsidR="003821D2" w:rsidRDefault="003821D2" w:rsidP="004A513C">
      <w:pPr>
        <w:jc w:val="both"/>
        <w:rPr>
          <w:sz w:val="24"/>
          <w:szCs w:val="24"/>
        </w:rPr>
      </w:pPr>
    </w:p>
    <w:p w:rsidR="004E3552" w:rsidRDefault="004E3552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NOTE 1, it is related to the definition of a transmitting STA.  In the table, the transmitting STA is actually mentioned in every </w:t>
      </w:r>
      <w:r w:rsidR="00FA7F33">
        <w:rPr>
          <w:sz w:val="24"/>
          <w:szCs w:val="24"/>
        </w:rPr>
        <w:t xml:space="preserve">entry under the column “Meaning” except that the values of the Channel Width subfield and the Dynamic Extended BSS BW subfields are reserved.  </w:t>
      </w:r>
      <w:proofErr w:type="spellStart"/>
      <w:r w:rsidR="00FA7F33">
        <w:rPr>
          <w:sz w:val="24"/>
          <w:szCs w:val="24"/>
        </w:rPr>
        <w:t>Interestly</w:t>
      </w:r>
      <w:proofErr w:type="spellEnd"/>
      <w:r w:rsidR="00FA7F33">
        <w:rPr>
          <w:sz w:val="24"/>
          <w:szCs w:val="24"/>
        </w:rPr>
        <w:t>, NOTE 1 is added only to the first two entries but not all of the remaining entries in the table.</w:t>
      </w:r>
      <w:r w:rsidR="006E41B4">
        <w:rPr>
          <w:sz w:val="24"/>
          <w:szCs w:val="24"/>
        </w:rPr>
        <w:t xml:space="preserve">  Similar situation holds for NOTE 2, i.e., NOTE 2 is added only to the first appearance of Max VHT NSS but not the rest.</w:t>
      </w:r>
    </w:p>
    <w:p w:rsidR="006E41B4" w:rsidRDefault="006E41B4" w:rsidP="004A513C">
      <w:pPr>
        <w:jc w:val="both"/>
        <w:rPr>
          <w:sz w:val="24"/>
          <w:szCs w:val="24"/>
        </w:rPr>
      </w:pPr>
    </w:p>
    <w:p w:rsidR="006E41B4" w:rsidRDefault="006E41B4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related note, NOTE 3 and NOTE 4 are not added in any of the entries under the column “Meaning”.  These two notes are just inserted at the end of the Table.  </w:t>
      </w:r>
      <w:r w:rsidR="001B56A9">
        <w:rPr>
          <w:sz w:val="24"/>
          <w:szCs w:val="24"/>
        </w:rPr>
        <w:t>It implies that there is also an inconsistency of referencing NOTEs in the table.</w:t>
      </w:r>
    </w:p>
    <w:p w:rsidR="001B56A9" w:rsidRDefault="001B56A9" w:rsidP="004A513C">
      <w:pPr>
        <w:jc w:val="both"/>
        <w:rPr>
          <w:sz w:val="24"/>
          <w:szCs w:val="24"/>
        </w:rPr>
      </w:pPr>
    </w:p>
    <w:p w:rsidR="00DA4739" w:rsidRDefault="00DA473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DF4B1E" w:rsidRPr="00DF4B1E" w:rsidRDefault="00DF4B1E" w:rsidP="00DF4B1E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lastRenderedPageBreak/>
        <w:t>For CID 766</w:t>
      </w:r>
      <w:r>
        <w:rPr>
          <w:b/>
          <w:i/>
          <w:sz w:val="24"/>
          <w:szCs w:val="24"/>
          <w:u w:val="single"/>
        </w:rPr>
        <w:t>1</w:t>
      </w:r>
    </w:p>
    <w:p w:rsidR="00DF4B1E" w:rsidRPr="00DA4739" w:rsidRDefault="00DF4B1E" w:rsidP="00DF4B1E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>In the table, different values of the Channel Width subfield indicate the support of different bandwidth operations, namely: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0:  support 20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1:  support 20 MHz and 40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2:  support 20 MHz, 40 MHz, and 80 MHz PPDUs</w:t>
      </w:r>
    </w:p>
    <w:p w:rsidR="00DF4B1E" w:rsidRPr="00DA4739" w:rsidRDefault="00DF4B1E" w:rsidP="00DF4B1E">
      <w:pPr>
        <w:pStyle w:val="ListParagraph"/>
        <w:numPr>
          <w:ilvl w:val="0"/>
          <w:numId w:val="36"/>
        </w:numPr>
        <w:jc w:val="both"/>
      </w:pPr>
      <w:r w:rsidRPr="00DA4739">
        <w:t>Value = 3:  support 20 MHz, 40 MHz, 80 MHz, 160 MHz, 80+80 MHz PPDUs.</w:t>
      </w:r>
    </w:p>
    <w:p w:rsidR="00DF4B1E" w:rsidRPr="00DA4739" w:rsidRDefault="00DF4B1E" w:rsidP="00DF4B1E">
      <w:pPr>
        <w:jc w:val="both"/>
        <w:rPr>
          <w:sz w:val="24"/>
          <w:szCs w:val="24"/>
        </w:rPr>
      </w:pPr>
    </w:p>
    <w:p w:rsidR="00DF4B1E" w:rsidRPr="00DA4739" w:rsidRDefault="00DF4B1E" w:rsidP="00DF4B1E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 xml:space="preserve">In line 716.23, it describes the support of </w:t>
      </w:r>
      <w:r w:rsidR="00ED6B15" w:rsidRPr="00DA4739">
        <w:rPr>
          <w:sz w:val="24"/>
          <w:szCs w:val="24"/>
        </w:rPr>
        <w:t>20 MHz and 40 MHz PPDUs</w:t>
      </w:r>
      <w:r w:rsidRPr="00DA4739">
        <w:rPr>
          <w:sz w:val="24"/>
          <w:szCs w:val="24"/>
        </w:rPr>
        <w:t xml:space="preserve"> when </w:t>
      </w:r>
      <w:r w:rsidR="00DA4739" w:rsidRPr="00DA4739">
        <w:rPr>
          <w:sz w:val="24"/>
          <w:szCs w:val="24"/>
        </w:rPr>
        <w:t xml:space="preserve">the </w:t>
      </w:r>
      <w:r w:rsidRPr="00DA4739">
        <w:rPr>
          <w:sz w:val="24"/>
          <w:szCs w:val="24"/>
        </w:rPr>
        <w:t xml:space="preserve">value of the Channel Width subfield is </w:t>
      </w:r>
      <w:r w:rsidR="00A56838">
        <w:rPr>
          <w:sz w:val="24"/>
          <w:szCs w:val="24"/>
        </w:rPr>
        <w:t>1</w:t>
      </w:r>
      <w:bookmarkStart w:id="0" w:name="_GoBack"/>
      <w:bookmarkEnd w:id="0"/>
      <w:r w:rsidRPr="00DA4739">
        <w:rPr>
          <w:sz w:val="24"/>
          <w:szCs w:val="24"/>
        </w:rPr>
        <w:t xml:space="preserve">.  There is a typo here because </w:t>
      </w:r>
      <w:r w:rsidR="00ED6B15" w:rsidRPr="00DA4739">
        <w:rPr>
          <w:sz w:val="24"/>
          <w:szCs w:val="24"/>
        </w:rPr>
        <w:t>80 MHz PPDUs are not supported by the transmitting STA.</w:t>
      </w:r>
    </w:p>
    <w:p w:rsidR="00DA4739" w:rsidRDefault="00DA4739" w:rsidP="00DF4B1E">
      <w:pPr>
        <w:jc w:val="both"/>
      </w:pPr>
    </w:p>
    <w:p w:rsidR="00DA4739" w:rsidRPr="00DF4B1E" w:rsidRDefault="00DA4739" w:rsidP="00DA4739">
      <w:pPr>
        <w:jc w:val="both"/>
        <w:rPr>
          <w:b/>
          <w:i/>
          <w:sz w:val="24"/>
          <w:szCs w:val="24"/>
          <w:u w:val="single"/>
        </w:rPr>
      </w:pPr>
      <w:r w:rsidRPr="00DF4B1E">
        <w:rPr>
          <w:b/>
          <w:i/>
          <w:sz w:val="24"/>
          <w:szCs w:val="24"/>
          <w:u w:val="single"/>
        </w:rPr>
        <w:t>For CID 766</w:t>
      </w:r>
      <w:r>
        <w:rPr>
          <w:b/>
          <w:i/>
          <w:sz w:val="24"/>
          <w:szCs w:val="24"/>
          <w:u w:val="single"/>
        </w:rPr>
        <w:t>4</w:t>
      </w:r>
    </w:p>
    <w:p w:rsidR="00DA4739" w:rsidRDefault="00DA4739" w:rsidP="00DA4739">
      <w:pPr>
        <w:jc w:val="both"/>
        <w:rPr>
          <w:sz w:val="24"/>
          <w:szCs w:val="24"/>
        </w:rPr>
      </w:pPr>
      <w:r w:rsidRPr="00DA4739">
        <w:rPr>
          <w:sz w:val="24"/>
          <w:szCs w:val="24"/>
        </w:rPr>
        <w:t>When the value the Channel Width subfield is 3, the support of 160 MHz and 80+80 MHz PPDUs is dependent on the value of Supported Channel Width Set subfield of the VHT Capabilities Information field of the STA transmitting the OMN.</w:t>
      </w:r>
      <w:r>
        <w:rPr>
          <w:sz w:val="24"/>
          <w:szCs w:val="24"/>
        </w:rPr>
        <w:t xml:space="preserve">  In particular,</w:t>
      </w:r>
    </w:p>
    <w:p w:rsidR="00DA4739" w:rsidRPr="00DA4739" w:rsidRDefault="00DA4739" w:rsidP="00DA4739">
      <w:pPr>
        <w:pStyle w:val="ListParagraph"/>
        <w:numPr>
          <w:ilvl w:val="0"/>
          <w:numId w:val="37"/>
        </w:numPr>
        <w:jc w:val="both"/>
      </w:pPr>
      <w:r>
        <w:t xml:space="preserve">Value of </w:t>
      </w:r>
      <w:r w:rsidRPr="00DA4739">
        <w:t>Supported Channel Width Set subfield</w:t>
      </w:r>
      <w:r>
        <w:t xml:space="preserve"> = 1: </w:t>
      </w:r>
      <w:r w:rsidRPr="00DA4739">
        <w:t>Transmitting STA</w:t>
      </w:r>
      <w:r>
        <w:t xml:space="preserve"> supports 20, 40, 80, and </w:t>
      </w:r>
      <w:r w:rsidRPr="00DA4739">
        <w:t>160 MHz PPDUs</w:t>
      </w:r>
    </w:p>
    <w:p w:rsidR="00DA4739" w:rsidRPr="00DA4739" w:rsidRDefault="00DA4739" w:rsidP="00DA4739">
      <w:pPr>
        <w:pStyle w:val="ListParagraph"/>
        <w:numPr>
          <w:ilvl w:val="0"/>
          <w:numId w:val="37"/>
        </w:numPr>
        <w:jc w:val="both"/>
      </w:pPr>
      <w:r w:rsidRPr="00DA4739">
        <w:t>Value of Supported Channel Width Set subfield = 2: Transmitting STA supports 20, 40, 80, and 160 or 80+80 MHz PPDUs</w:t>
      </w:r>
    </w:p>
    <w:p w:rsidR="00DA4739" w:rsidRPr="00DA4739" w:rsidRDefault="00DA4739" w:rsidP="00DA4739">
      <w:pPr>
        <w:jc w:val="both"/>
        <w:rPr>
          <w:sz w:val="24"/>
          <w:szCs w:val="24"/>
        </w:rPr>
      </w:pPr>
    </w:p>
    <w:p w:rsidR="00DA4739" w:rsidRPr="00DA4739" w:rsidRDefault="00DA4739" w:rsidP="00DA4739">
      <w:pPr>
        <w:jc w:val="both"/>
        <w:rPr>
          <w:sz w:val="24"/>
          <w:szCs w:val="24"/>
        </w:rPr>
      </w:pPr>
      <w:r>
        <w:rPr>
          <w:sz w:val="24"/>
          <w:szCs w:val="24"/>
        </w:rPr>
        <w:t>It can be observed that the entry in line 716.48 with the corresponding tuple (3</w:t>
      </w:r>
      <w:proofErr w:type="gramStart"/>
      <w:r>
        <w:rPr>
          <w:sz w:val="24"/>
          <w:szCs w:val="24"/>
        </w:rPr>
        <w:t>,1,0</w:t>
      </w:r>
      <w:proofErr w:type="gramEnd"/>
      <w:r>
        <w:rPr>
          <w:sz w:val="24"/>
          <w:szCs w:val="24"/>
        </w:rPr>
        <w:t xml:space="preserve">) has the same meaning with that in line 717.11 with the corresponding tuple (3,2,0).  </w:t>
      </w:r>
      <w:r w:rsidR="008C4FA4">
        <w:rPr>
          <w:sz w:val="24"/>
          <w:szCs w:val="24"/>
        </w:rPr>
        <w:t xml:space="preserve"> Given the value of the Supported Channel Width Set subfield is 1 in line 716.48, the actual meaning of this entry should be the support of 20, 40, 80 and 160 MHz PPDUs by the transmitting STA and the support of 80+80 MHz is excluded.</w:t>
      </w:r>
    </w:p>
    <w:p w:rsidR="00DA4739" w:rsidRPr="00DA4739" w:rsidRDefault="00DA4739" w:rsidP="00DA4739">
      <w:pPr>
        <w:jc w:val="both"/>
        <w:rPr>
          <w:sz w:val="24"/>
          <w:szCs w:val="24"/>
          <w:lang w:val="en-US"/>
        </w:rPr>
      </w:pPr>
    </w:p>
    <w:p w:rsidR="001B56A9" w:rsidRPr="00DA4739" w:rsidRDefault="001B56A9" w:rsidP="004A513C">
      <w:pPr>
        <w:jc w:val="both"/>
        <w:rPr>
          <w:sz w:val="24"/>
          <w:szCs w:val="24"/>
        </w:rPr>
      </w:pPr>
    </w:p>
    <w:p w:rsidR="003821D2" w:rsidRDefault="00B92D6B" w:rsidP="004A513C">
      <w:pPr>
        <w:jc w:val="both"/>
        <w:rPr>
          <w:sz w:val="24"/>
          <w:szCs w:val="24"/>
        </w:rPr>
      </w:pPr>
      <w:r w:rsidRPr="00B92D6B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4869180" cy="6545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D2" w:rsidRDefault="00B92D6B" w:rsidP="004A513C">
      <w:pPr>
        <w:jc w:val="both"/>
        <w:rPr>
          <w:sz w:val="24"/>
          <w:szCs w:val="24"/>
        </w:rPr>
      </w:pPr>
      <w:r w:rsidRPr="00B92D6B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480822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6B" w:rsidRPr="001E491B" w:rsidRDefault="00B92D6B" w:rsidP="004A513C">
      <w:pPr>
        <w:jc w:val="both"/>
        <w:rPr>
          <w:sz w:val="24"/>
          <w:szCs w:val="24"/>
        </w:rPr>
      </w:pPr>
    </w:p>
    <w:p w:rsidR="00D12B42" w:rsidRDefault="00D12B42" w:rsidP="001E491B">
      <w:pPr>
        <w:jc w:val="both"/>
        <w:rPr>
          <w:sz w:val="24"/>
          <w:szCs w:val="24"/>
        </w:rPr>
      </w:pPr>
    </w:p>
    <w:p w:rsidR="001B56A9" w:rsidRDefault="001B56A9" w:rsidP="001E491B">
      <w:pPr>
        <w:jc w:val="both"/>
        <w:rPr>
          <w:sz w:val="24"/>
          <w:szCs w:val="24"/>
        </w:rPr>
      </w:pPr>
    </w:p>
    <w:p w:rsidR="001B56A9" w:rsidRPr="001B56A9" w:rsidRDefault="001B56A9" w:rsidP="001E491B">
      <w:pPr>
        <w:jc w:val="both"/>
        <w:rPr>
          <w:b/>
          <w:sz w:val="24"/>
          <w:szCs w:val="24"/>
        </w:rPr>
      </w:pPr>
      <w:r w:rsidRPr="001B56A9">
        <w:rPr>
          <w:b/>
          <w:sz w:val="24"/>
          <w:szCs w:val="24"/>
        </w:rPr>
        <w:t>Resolution for CID 7660</w:t>
      </w:r>
    </w:p>
    <w:p w:rsidR="001B56A9" w:rsidRPr="001E491B" w:rsidRDefault="001B56A9" w:rsidP="001E491B">
      <w:pPr>
        <w:jc w:val="both"/>
        <w:rPr>
          <w:sz w:val="24"/>
          <w:szCs w:val="24"/>
        </w:rPr>
      </w:pPr>
    </w:p>
    <w:p w:rsidR="00534998" w:rsidRPr="001E491B" w:rsidRDefault="001B56A9" w:rsidP="00534998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534998" w:rsidRPr="001E491B" w:rsidRDefault="00534998" w:rsidP="00534998">
      <w:pPr>
        <w:pStyle w:val="Heading3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1E491B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1E491B">
        <w:rPr>
          <w:rFonts w:ascii="Times New Roman" w:eastAsia="Calibri" w:hAnsi="Times New Roman"/>
          <w:szCs w:val="24"/>
          <w:highlight w:val="yellow"/>
        </w:rPr>
        <w:t xml:space="preserve"> Editor:  </w:t>
      </w:r>
      <w:r w:rsidR="001B56A9" w:rsidRPr="002474BE">
        <w:rPr>
          <w:rFonts w:ascii="Times New Roman" w:hAnsi="Times New Roman"/>
          <w:szCs w:val="24"/>
          <w:highlight w:val="yellow"/>
          <w:lang w:val="en-US"/>
        </w:rPr>
        <w:t>Delete</w:t>
      </w:r>
      <w:r w:rsidR="00CA3B3C" w:rsidRPr="002474BE">
        <w:rPr>
          <w:rFonts w:ascii="Times New Roman" w:hAnsi="Times New Roman"/>
          <w:szCs w:val="24"/>
          <w:highlight w:val="yellow"/>
          <w:lang w:val="en-US"/>
        </w:rPr>
        <w:t xml:space="preserve"> “(SEE NOTE 1) and “</w:t>
      </w:r>
      <w:r w:rsidR="00CA3B3C" w:rsidRPr="002474BE">
        <w:rPr>
          <w:b w:val="0"/>
          <w:highlight w:val="yellow"/>
        </w:rPr>
        <w:t>—</w:t>
      </w:r>
      <w:r w:rsidR="002474BE" w:rsidRPr="002474BE">
        <w:rPr>
          <w:rFonts w:ascii="Times New Roman" w:hAnsi="Times New Roman"/>
          <w:szCs w:val="24"/>
          <w:highlight w:val="yellow"/>
          <w:lang w:val="en-US"/>
        </w:rPr>
        <w:t xml:space="preserve"> </w:t>
      </w:r>
      <w:r w:rsidR="00CA3B3C" w:rsidRPr="002474BE">
        <w:rPr>
          <w:rFonts w:ascii="Times New Roman" w:hAnsi="Times New Roman"/>
          <w:szCs w:val="24"/>
          <w:highlight w:val="yellow"/>
          <w:lang w:val="en-US"/>
        </w:rPr>
        <w:t>SEE NOTE 2”</w:t>
      </w:r>
      <w:r w:rsidR="002474BE" w:rsidRPr="002474BE">
        <w:rPr>
          <w:rFonts w:ascii="Times New Roman" w:hAnsi="Times New Roman"/>
          <w:szCs w:val="24"/>
          <w:highlight w:val="yellow"/>
          <w:lang w:val="en-US"/>
        </w:rPr>
        <w:t xml:space="preserve"> in all entries under the column “Meaning”.</w:t>
      </w:r>
    </w:p>
    <w:p w:rsidR="00534998" w:rsidRPr="001E491B" w:rsidRDefault="00534998" w:rsidP="00534998">
      <w:pPr>
        <w:rPr>
          <w:b/>
          <w:i/>
          <w:sz w:val="24"/>
          <w:szCs w:val="24"/>
          <w:lang w:val="en-US"/>
        </w:rPr>
      </w:pPr>
    </w:p>
    <w:p w:rsidR="00E4079D" w:rsidRDefault="00E4079D">
      <w:pPr>
        <w:rPr>
          <w:i/>
          <w:sz w:val="24"/>
          <w:szCs w:val="24"/>
          <w:u w:val="single"/>
        </w:rPr>
      </w:pPr>
    </w:p>
    <w:p w:rsidR="00E4079D" w:rsidRPr="001B56A9" w:rsidRDefault="00E4079D" w:rsidP="00E407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7661</w:t>
      </w:r>
    </w:p>
    <w:p w:rsidR="00E4079D" w:rsidRPr="001E491B" w:rsidRDefault="00E4079D" w:rsidP="00E4079D">
      <w:pPr>
        <w:jc w:val="both"/>
        <w:rPr>
          <w:sz w:val="24"/>
          <w:szCs w:val="24"/>
        </w:rPr>
      </w:pPr>
    </w:p>
    <w:p w:rsidR="00E4079D" w:rsidRPr="001E491B" w:rsidRDefault="00E4079D" w:rsidP="00E4079D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E4079D" w:rsidRPr="001E491B" w:rsidRDefault="00FE08F4" w:rsidP="00E4079D">
      <w:pPr>
        <w:pStyle w:val="Heading3"/>
        <w:jc w:val="both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Editor:  In line</w:t>
      </w:r>
      <w:r w:rsidR="00C120C7">
        <w:rPr>
          <w:rFonts w:ascii="Times New Roman" w:eastAsia="Calibri" w:hAnsi="Times New Roman"/>
          <w:szCs w:val="24"/>
          <w:highlight w:val="yellow"/>
        </w:rPr>
        <w:t>s</w:t>
      </w:r>
      <w:r>
        <w:rPr>
          <w:rFonts w:ascii="Times New Roman" w:eastAsia="Calibri" w:hAnsi="Times New Roman"/>
          <w:szCs w:val="24"/>
          <w:highlight w:val="yellow"/>
        </w:rPr>
        <w:t xml:space="preserve"> 716.22 and 716.23, repla</w:t>
      </w:r>
      <w:r w:rsidRPr="00241CE3">
        <w:rPr>
          <w:rFonts w:ascii="Times New Roman" w:eastAsia="Calibri" w:hAnsi="Times New Roman"/>
          <w:szCs w:val="24"/>
          <w:highlight w:val="yellow"/>
        </w:rPr>
        <w:t>ce “Transmitting STA does not support 80+80 or 160 MHz PPDUs.” With “Transmitting STA does not support 80, 80+80 or 160 MHz PPDUs”.</w:t>
      </w:r>
    </w:p>
    <w:p w:rsidR="00C120C7" w:rsidRDefault="00C120C7">
      <w:pPr>
        <w:rPr>
          <w:i/>
          <w:sz w:val="24"/>
          <w:szCs w:val="24"/>
          <w:u w:val="single"/>
        </w:rPr>
      </w:pPr>
    </w:p>
    <w:p w:rsidR="00C120C7" w:rsidRDefault="00C120C7">
      <w:pPr>
        <w:rPr>
          <w:i/>
          <w:sz w:val="24"/>
          <w:szCs w:val="24"/>
          <w:u w:val="single"/>
        </w:rPr>
      </w:pPr>
    </w:p>
    <w:p w:rsidR="00C120C7" w:rsidRPr="001B56A9" w:rsidRDefault="00C120C7" w:rsidP="00C12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7664</w:t>
      </w:r>
    </w:p>
    <w:p w:rsidR="00C120C7" w:rsidRPr="001E491B" w:rsidRDefault="00C120C7" w:rsidP="00C120C7">
      <w:pPr>
        <w:jc w:val="both"/>
        <w:rPr>
          <w:sz w:val="24"/>
          <w:szCs w:val="24"/>
        </w:rPr>
      </w:pPr>
    </w:p>
    <w:p w:rsidR="00C120C7" w:rsidRPr="001E491B" w:rsidRDefault="00C120C7" w:rsidP="00C120C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C120C7" w:rsidRPr="00C120C7" w:rsidRDefault="00C120C7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Editor:  In lines </w:t>
      </w:r>
      <w:r w:rsidRPr="00C120C7">
        <w:rPr>
          <w:rFonts w:ascii="Times New Roman" w:eastAsia="Calibri" w:hAnsi="Times New Roman"/>
          <w:szCs w:val="24"/>
          <w:highlight w:val="yellow"/>
        </w:rPr>
        <w:t>716.48 and 716.49, replace “Transmitting STA supports 20, 40, 80, and 160 or 80+80 MHz PPDUs at Max VHT NSS.” with “Transmitting STA supports 20, 40, 80 and 160 MHz PPDUs at Max VHT NSS. Transmitting STA does not support 80+80 MHz PPDUs."</w:t>
      </w:r>
    </w:p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sectPr w:rsidR="00655D6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15" w:rsidRDefault="00991715">
      <w:r>
        <w:separator/>
      </w:r>
    </w:p>
  </w:endnote>
  <w:endnote w:type="continuationSeparator" w:id="0">
    <w:p w:rsidR="00991715" w:rsidRDefault="009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46EA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A56838">
      <w:rPr>
        <w:noProof/>
      </w:rPr>
      <w:t>3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15" w:rsidRDefault="00991715">
      <w:r>
        <w:separator/>
      </w:r>
    </w:p>
  </w:footnote>
  <w:footnote w:type="continuationSeparator" w:id="0">
    <w:p w:rsidR="00991715" w:rsidRDefault="0099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46EAD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3A0823">
        <w:t>February</w:t>
      </w:r>
      <w:r w:rsidR="001F60C3">
        <w:t xml:space="preserve"> 201</w:t>
      </w:r>
      <w:r w:rsidR="003A0823">
        <w:t>6</w:t>
      </w:r>
    </w:fldSimple>
    <w:r w:rsidR="001F60C3">
      <w:tab/>
    </w:r>
    <w:r w:rsidR="001F60C3">
      <w:tab/>
      <w:t xml:space="preserve">  </w:t>
    </w:r>
    <w:fldSimple w:instr=" TITLE  \* MERGEFORMAT ">
      <w:r w:rsidR="003A0823">
        <w:t>doc.: IEEE 802.11-16</w:t>
      </w:r>
      <w:r w:rsidR="001F60C3">
        <w:t>/</w:t>
      </w:r>
      <w:r w:rsidR="00180412">
        <w:t>0263</w:t>
      </w:r>
      <w:r w:rsidR="001F60C3">
        <w:t>r</w:t>
      </w:r>
      <w:r w:rsidR="00A56838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3B20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41B4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715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838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E3729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B1E"/>
    <w:rsid w:val="00DF4C37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867F-0882-4581-8600-AE94C249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802.11-16/0263r0</vt:lpstr>
    </vt:vector>
  </TitlesOfParts>
  <Company>Huawei Technologies</Company>
  <LinksUpToDate>false</LinksUpToDate>
  <CharactersWithSpaces>4697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802.11-16/0263r1</dc:title>
  <dc:subject>Comment Resolution for CID1014</dc:subject>
  <dc:creator>Edward Au</dc:creator>
  <cp:lastModifiedBy>Edward Au</cp:lastModifiedBy>
  <cp:revision>37</cp:revision>
  <cp:lastPrinted>2011-03-31T18:31:00Z</cp:lastPrinted>
  <dcterms:created xsi:type="dcterms:W3CDTF">2015-12-07T14:37:00Z</dcterms:created>
  <dcterms:modified xsi:type="dcterms:W3CDTF">2016-02-22T21:06:00Z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