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255D00B5" w:rsidR="00CA09B2" w:rsidRDefault="00EE31F6" w:rsidP="007D4439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Remaining DEE3 Assigned Comments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9C9EC5F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</w:t>
            </w:r>
            <w:r w:rsidR="00031AAE">
              <w:rPr>
                <w:b w:val="0"/>
                <w:sz w:val="22"/>
              </w:rPr>
              <w:t>20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E31F6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3A2DB853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6A0A298C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22E8D845" w:rsidR="00EE31F6" w:rsidRPr="000F7C19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59BDA4EF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5B6D44CE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031AAE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4F5FD38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2DD13EB8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27FD9BE" w:rsidR="00031AAE" w:rsidRPr="000F7C19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24D3F58D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2B422D6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214DB8" w:rsidRDefault="00214D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477A38C3" w:rsidR="00214DB8" w:rsidRDefault="00214DB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proposes resolutions for the remaining LB212 comments currently assigned to Donald E. Eastlake 3</w:t>
                            </w:r>
                            <w:r w:rsidRPr="00EE31F6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.</w:t>
                            </w:r>
                          </w:p>
                          <w:p w14:paraId="1E5D95B2" w14:textId="77777777" w:rsidR="00214DB8" w:rsidRDefault="00214DB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BC5751" w:rsidRDefault="00BC575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477A38C3" w:rsidR="00BC5751" w:rsidRDefault="00BC5751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proposes resolutions for the remaining LB212 comments currently assigned to Donald E. Eastlake 3</w:t>
                      </w:r>
                      <w:r w:rsidRPr="00EE31F6">
                        <w:rPr>
                          <w:vertAlign w:val="superscript"/>
                        </w:rPr>
                        <w:t>rd</w:t>
                      </w:r>
                      <w:r>
                        <w:t>.</w:t>
                      </w:r>
                    </w:p>
                    <w:p w14:paraId="1E5D95B2" w14:textId="77777777" w:rsidR="00BC5751" w:rsidRDefault="00BC5751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B3FD56" w14:textId="132DA09B" w:rsidR="00D960C2" w:rsidRDefault="00CA09B2" w:rsidP="00851862">
      <w:pPr>
        <w:pStyle w:val="Title"/>
        <w:rPr>
          <w:sz w:val="24"/>
          <w:szCs w:val="24"/>
        </w:rPr>
      </w:pPr>
      <w:r>
        <w:br w:type="page"/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37A5617" w14:textId="2004A6A9" w:rsidR="005C178A" w:rsidRPr="005C178A" w:rsidRDefault="005C178A" w:rsidP="005C178A">
      <w:pPr>
        <w:jc w:val="center"/>
        <w:rPr>
          <w:rFonts w:ascii="Arial" w:hAnsi="Arial"/>
          <w:b/>
          <w:sz w:val="28"/>
          <w:szCs w:val="24"/>
        </w:rPr>
      </w:pPr>
      <w:r w:rsidRPr="005C178A">
        <w:rPr>
          <w:rFonts w:ascii="Arial" w:hAnsi="Arial"/>
          <w:b/>
          <w:sz w:val="28"/>
          <w:szCs w:val="24"/>
        </w:rPr>
        <w:t>Table of Contents</w:t>
      </w:r>
    </w:p>
    <w:p w14:paraId="57457E21" w14:textId="77777777" w:rsidR="005C178A" w:rsidRDefault="005C178A">
      <w:pPr>
        <w:rPr>
          <w:sz w:val="24"/>
          <w:szCs w:val="24"/>
        </w:rPr>
      </w:pPr>
    </w:p>
    <w:p w14:paraId="6D8558FA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noProof/>
        </w:rPr>
        <w:t>CID 50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_Toc314951856 \h </w:instrText>
      </w:r>
      <w:r>
        <w:rPr>
          <w:noProof/>
        </w:rPr>
      </w:r>
      <w:r>
        <w:rPr>
          <w:noProof/>
        </w:rPr>
        <w:fldChar w:fldCharType="separate"/>
      </w:r>
      <w:r w:rsidR="00FC701A">
        <w:rPr>
          <w:noProof/>
        </w:rPr>
        <w:t>2</w:t>
      </w:r>
      <w:r>
        <w:rPr>
          <w:noProof/>
        </w:rPr>
        <w:fldChar w:fldCharType="end"/>
      </w:r>
    </w:p>
    <w:p w14:paraId="2FB36522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62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_Toc314951857 \h </w:instrText>
      </w:r>
      <w:r>
        <w:rPr>
          <w:noProof/>
        </w:rPr>
      </w:r>
      <w:r>
        <w:rPr>
          <w:noProof/>
        </w:rPr>
        <w:fldChar w:fldCharType="separate"/>
      </w:r>
      <w:r w:rsidR="00FC701A">
        <w:rPr>
          <w:noProof/>
        </w:rPr>
        <w:t>2</w:t>
      </w:r>
      <w:r>
        <w:rPr>
          <w:noProof/>
        </w:rPr>
        <w:fldChar w:fldCharType="end"/>
      </w:r>
    </w:p>
    <w:p w14:paraId="103B9C00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134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_Toc314951858 \h </w:instrText>
      </w:r>
      <w:r>
        <w:rPr>
          <w:noProof/>
        </w:rPr>
      </w:r>
      <w:r>
        <w:rPr>
          <w:noProof/>
        </w:rPr>
        <w:fldChar w:fldCharType="separate"/>
      </w:r>
      <w:r w:rsidR="00FC701A">
        <w:rPr>
          <w:noProof/>
        </w:rPr>
        <w:t>2</w:t>
      </w:r>
      <w:r>
        <w:rPr>
          <w:noProof/>
        </w:rPr>
        <w:fldChar w:fldCharType="end"/>
      </w:r>
    </w:p>
    <w:p w14:paraId="59DC6CE3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412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_Toc314951859 \h </w:instrText>
      </w:r>
      <w:r>
        <w:rPr>
          <w:noProof/>
        </w:rPr>
      </w:r>
      <w:r>
        <w:rPr>
          <w:noProof/>
        </w:rPr>
        <w:fldChar w:fldCharType="separate"/>
      </w:r>
      <w:r w:rsidR="00FC701A">
        <w:rPr>
          <w:noProof/>
        </w:rPr>
        <w:t>3</w:t>
      </w:r>
      <w:r>
        <w:rPr>
          <w:noProof/>
        </w:rPr>
        <w:fldChar w:fldCharType="end"/>
      </w:r>
    </w:p>
    <w:p w14:paraId="784A25D7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53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_Toc314951860 \h </w:instrText>
      </w:r>
      <w:r>
        <w:rPr>
          <w:noProof/>
        </w:rPr>
      </w:r>
      <w:r>
        <w:rPr>
          <w:noProof/>
        </w:rPr>
        <w:fldChar w:fldCharType="separate"/>
      </w:r>
      <w:r w:rsidR="00FC701A">
        <w:rPr>
          <w:noProof/>
        </w:rPr>
        <w:t>3</w:t>
      </w:r>
      <w:r>
        <w:rPr>
          <w:noProof/>
        </w:rPr>
        <w:fldChar w:fldCharType="end"/>
      </w:r>
    </w:p>
    <w:p w14:paraId="4F9AA017" w14:textId="77777777" w:rsidR="00991640" w:rsidRDefault="0099164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4.3.18.4 IEEE Std 802.11 components and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_Toc314951861 \h </w:instrText>
      </w:r>
      <w:r>
        <w:rPr>
          <w:noProof/>
        </w:rPr>
      </w:r>
      <w:r>
        <w:rPr>
          <w:noProof/>
        </w:rPr>
        <w:fldChar w:fldCharType="separate"/>
      </w:r>
      <w:r w:rsidR="00FC701A">
        <w:rPr>
          <w:noProof/>
        </w:rPr>
        <w:t>3</w:t>
      </w:r>
      <w:r>
        <w:rPr>
          <w:noProof/>
        </w:rPr>
        <w:fldChar w:fldCharType="end"/>
      </w:r>
    </w:p>
    <w:p w14:paraId="79FC7D46" w14:textId="77777777" w:rsidR="00991640" w:rsidRDefault="0099164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13.2.3 Mesh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_Toc314951862 \h </w:instrText>
      </w:r>
      <w:r>
        <w:rPr>
          <w:noProof/>
        </w:rPr>
      </w:r>
      <w:r>
        <w:rPr>
          <w:noProof/>
        </w:rPr>
        <w:fldChar w:fldCharType="separate"/>
      </w:r>
      <w:r w:rsidR="00FC701A">
        <w:rPr>
          <w:noProof/>
        </w:rPr>
        <w:t>4</w:t>
      </w:r>
      <w:r>
        <w:rPr>
          <w:noProof/>
        </w:rPr>
        <w:fldChar w:fldCharType="end"/>
      </w:r>
    </w:p>
    <w:p w14:paraId="1E299752" w14:textId="14964E0D" w:rsidR="004C5A97" w:rsidRDefault="00991640" w:rsidP="00663CF2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1E6A972A" w14:textId="77777777" w:rsidR="00EE31F6" w:rsidRPr="008E2C71" w:rsidRDefault="00EE31F6" w:rsidP="00EE31F6">
      <w:pPr>
        <w:pStyle w:val="Heading1"/>
      </w:pPr>
      <w:bookmarkStart w:id="0" w:name="_Toc314951856"/>
      <w:r>
        <w:t>CID 50</w:t>
      </w:r>
      <w:bookmarkEnd w:id="0"/>
    </w:p>
    <w:p w14:paraId="7A35DB74" w14:textId="6C31E477" w:rsid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I think that including "DLS/TDLS" in this picture raises some very interesting questions.   In the case of non-GLK, the MAC can simply determine whether any particular MSDU can use a direct link based on</w:t>
      </w:r>
      <w:r>
        <w:rPr>
          <w:rFonts w:ascii="MS Sans Serif" w:hAnsi="MS Sans Serif"/>
          <w:sz w:val="20"/>
          <w:lang w:val="en-US"/>
        </w:rPr>
        <w:t xml:space="preserve"> the RA.   In the case of GLK, </w:t>
      </w:r>
      <w:r w:rsidRPr="00EE31F6">
        <w:rPr>
          <w:rFonts w:ascii="MS Sans Serif" w:hAnsi="MS Sans Serif"/>
          <w:sz w:val="20"/>
          <w:lang w:val="en-US"/>
        </w:rPr>
        <w:t>the MAC cannot determine this.  So it falls to the job of the bridge to select DLS as an apparent port (or set of ports).   This is far from obvious.</w:t>
      </w:r>
    </w:p>
    <w:p w14:paraId="30BC55AD" w14:textId="77777777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</w:p>
    <w:p w14:paraId="0CC8B53A" w14:textId="3EF90D03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Add in clause 4 a description of how DLS/TDLS interacts with bridging.  This might include one or more ports that identify DLS peers.   Confirm that the MAC </w:t>
      </w:r>
      <w:proofErr w:type="spellStart"/>
      <w:r w:rsidRPr="00EE31F6">
        <w:rPr>
          <w:rFonts w:ascii="MS Sans Serif" w:hAnsi="MS Sans Serif"/>
          <w:sz w:val="20"/>
          <w:lang w:val="en-US"/>
        </w:rPr>
        <w:t>unitdata</w:t>
      </w:r>
      <w:proofErr w:type="spellEnd"/>
      <w:r w:rsidRPr="00EE31F6">
        <w:rPr>
          <w:rFonts w:ascii="MS Sans Serif" w:hAnsi="MS Sans Serif"/>
          <w:sz w:val="20"/>
          <w:lang w:val="en-US"/>
        </w:rPr>
        <w:t xml:space="preserve"> SAP supports this functionality - i.e. allows the bridge to select a DLS peer as the immediate</w:t>
      </w:r>
      <w:r>
        <w:rPr>
          <w:rFonts w:ascii="MS Sans Serif" w:hAnsi="MS Sans Serif"/>
          <w:sz w:val="20"/>
          <w:lang w:val="en-US"/>
        </w:rPr>
        <w:t xml:space="preserve"> recipient for a bridged MSDU.</w:t>
      </w:r>
      <w:r w:rsidRPr="00EE31F6">
        <w:rPr>
          <w:rFonts w:ascii="MS Sans Serif" w:hAnsi="MS Sans Serif"/>
          <w:sz w:val="20"/>
          <w:lang w:val="en-US"/>
        </w:rPr>
        <w:br/>
      </w:r>
      <w:r w:rsidRPr="00EE31F6">
        <w:rPr>
          <w:rFonts w:ascii="MS Sans Serif" w:hAnsi="MS Sans Serif"/>
          <w:sz w:val="20"/>
          <w:lang w:val="en-US"/>
        </w:rPr>
        <w:br/>
        <w:t>Alternatively determine that DLS and TDLS</w:t>
      </w:r>
      <w:r>
        <w:rPr>
          <w:rFonts w:ascii="MS Sans Serif" w:hAnsi="MS Sans Serif"/>
          <w:sz w:val="20"/>
          <w:lang w:val="en-US"/>
        </w:rPr>
        <w:t xml:space="preserve"> </w:t>
      </w:r>
      <w:proofErr w:type="gramStart"/>
      <w:r>
        <w:rPr>
          <w:rFonts w:ascii="MS Sans Serif" w:hAnsi="MS Sans Serif"/>
          <w:sz w:val="20"/>
          <w:lang w:val="en-US"/>
        </w:rPr>
        <w:t>is</w:t>
      </w:r>
      <w:proofErr w:type="gramEnd"/>
      <w:r>
        <w:rPr>
          <w:rFonts w:ascii="MS Sans Serif" w:hAnsi="MS Sans Serif"/>
          <w:sz w:val="20"/>
          <w:lang w:val="en-US"/>
        </w:rPr>
        <w:t xml:space="preserve"> not commercially relevant, </w:t>
      </w:r>
      <w:r w:rsidRPr="00EE31F6">
        <w:rPr>
          <w:rFonts w:ascii="MS Sans Serif" w:hAnsi="MS Sans Serif"/>
          <w:sz w:val="20"/>
          <w:lang w:val="en-US"/>
        </w:rPr>
        <w:t>and avoid the complexity of supporting it.</w:t>
      </w:r>
    </w:p>
    <w:p w14:paraId="7F30EFFE" w14:textId="4DF35C5F" w:rsidR="00EE31F6" w:rsidRDefault="00EE31F6" w:rsidP="00EE31F6">
      <w:pPr>
        <w:ind w:firstLine="720"/>
        <w:rPr>
          <w:sz w:val="24"/>
          <w:szCs w:val="24"/>
        </w:rPr>
      </w:pPr>
    </w:p>
    <w:p w14:paraId="1373D10C" w14:textId="1F53B2F1" w:rsidR="00EE31F6" w:rsidRPr="009A2203" w:rsidRDefault="00EE31F6" w:rsidP="00EE31F6">
      <w:r w:rsidRPr="00EE31F6">
        <w:rPr>
          <w:b/>
          <w:sz w:val="24"/>
          <w:szCs w:val="24"/>
        </w:rPr>
        <w:t>Resolution:</w:t>
      </w:r>
      <w:r>
        <w:rPr>
          <w:b/>
          <w:sz w:val="24"/>
          <w:szCs w:val="24"/>
        </w:rPr>
        <w:t xml:space="preserve"> Revise: </w:t>
      </w:r>
      <w:r w:rsidR="009A2203">
        <w:rPr>
          <w:sz w:val="24"/>
          <w:szCs w:val="24"/>
        </w:rPr>
        <w:t>Insert at the end of the last paragraph of 4.3.24.3.1 the following: “The decision which peer STA an M</w:t>
      </w:r>
      <w:r w:rsidR="001F0DEB">
        <w:rPr>
          <w:sz w:val="24"/>
          <w:szCs w:val="24"/>
        </w:rPr>
        <w:t>S</w:t>
      </w:r>
      <w:r w:rsidR="009A2203">
        <w:rPr>
          <w:sz w:val="24"/>
          <w:szCs w:val="24"/>
        </w:rPr>
        <w:t xml:space="preserve">DU is sent to is made by an attached IEEE Std. 802.1Q bridge. This includes such cases as deciding, at a GLK non-AP STA in an </w:t>
      </w:r>
      <w:proofErr w:type="spellStart"/>
      <w:r w:rsidR="009A2203">
        <w:rPr>
          <w:sz w:val="24"/>
          <w:szCs w:val="24"/>
        </w:rPr>
        <w:t>instrastru</w:t>
      </w:r>
      <w:r w:rsidR="001F0DEB">
        <w:rPr>
          <w:sz w:val="24"/>
          <w:szCs w:val="24"/>
        </w:rPr>
        <w:t>cture</w:t>
      </w:r>
      <w:proofErr w:type="spellEnd"/>
      <w:r w:rsidR="001F0DEB">
        <w:rPr>
          <w:sz w:val="24"/>
          <w:szCs w:val="24"/>
        </w:rPr>
        <w:t xml:space="preserve"> BSS, between sending an MS</w:t>
      </w:r>
      <w:r w:rsidR="009A2203">
        <w:rPr>
          <w:sz w:val="24"/>
          <w:szCs w:val="24"/>
        </w:rPr>
        <w:t>DU to its associated</w:t>
      </w:r>
      <w:r w:rsidR="000F782D">
        <w:rPr>
          <w:sz w:val="24"/>
          <w:szCs w:val="24"/>
        </w:rPr>
        <w:t xml:space="preserve"> </w:t>
      </w:r>
      <w:r w:rsidR="009A2203">
        <w:rPr>
          <w:sz w:val="24"/>
          <w:szCs w:val="24"/>
        </w:rPr>
        <w:t xml:space="preserve">AP or over any DLS/TDLS </w:t>
      </w:r>
      <w:r w:rsidR="002E49D8">
        <w:rPr>
          <w:sz w:val="24"/>
          <w:szCs w:val="24"/>
        </w:rPr>
        <w:t>link</w:t>
      </w:r>
      <w:r w:rsidR="009A2203">
        <w:rPr>
          <w:sz w:val="24"/>
          <w:szCs w:val="24"/>
        </w:rPr>
        <w:t xml:space="preserve"> that might exist.”</w:t>
      </w:r>
    </w:p>
    <w:p w14:paraId="23CEFC12" w14:textId="77777777" w:rsidR="00EE31F6" w:rsidRDefault="00EE31F6" w:rsidP="00EE31F6"/>
    <w:p w14:paraId="56A9117C" w14:textId="1A535AF0" w:rsidR="00EE31F6" w:rsidRPr="008E2C71" w:rsidRDefault="00EE31F6" w:rsidP="00EE31F6">
      <w:pPr>
        <w:pStyle w:val="Heading1"/>
      </w:pPr>
      <w:bookmarkStart w:id="1" w:name="_Toc314951857"/>
      <w:r>
        <w:t>CID 62</w:t>
      </w:r>
      <w:bookmarkEnd w:id="1"/>
    </w:p>
    <w:p w14:paraId="1C641392" w14:textId="759671BD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"Editor's Note: We plan to take four address use by 802.11ah int</w:t>
      </w:r>
      <w:r>
        <w:rPr>
          <w:rFonts w:ascii="MS Sans Serif" w:hAnsi="MS Sans Serif"/>
          <w:sz w:val="20"/>
          <w:lang w:val="en-US"/>
        </w:rPr>
        <w:t>o account at a later</w:t>
      </w:r>
      <w:r w:rsidRPr="00EE31F6">
        <w:rPr>
          <w:rFonts w:ascii="MS Sans Serif" w:hAnsi="MS Sans Serif"/>
          <w:sz w:val="20"/>
          <w:lang w:val="en-US"/>
        </w:rPr>
        <w:br/>
        <w:t>date because 802.11ah is not in the 802.11RE</w:t>
      </w:r>
      <w:r>
        <w:rPr>
          <w:rFonts w:ascii="MS Sans Serif" w:hAnsi="MS Sans Serif"/>
          <w:sz w:val="20"/>
          <w:lang w:val="en-US"/>
        </w:rPr>
        <w:t>Vmc D4.0 base for this draft."</w:t>
      </w:r>
      <w:r w:rsidRPr="00EE31F6">
        <w:rPr>
          <w:rFonts w:ascii="MS Sans Serif" w:hAnsi="MS Sans Serif"/>
          <w:sz w:val="20"/>
          <w:lang w:val="en-US"/>
        </w:rPr>
        <w:br/>
      </w:r>
      <w:r w:rsidRPr="00EE31F6">
        <w:rPr>
          <w:rFonts w:ascii="MS Sans Serif" w:hAnsi="MS Sans Serif"/>
          <w:sz w:val="20"/>
          <w:lang w:val="en-US"/>
        </w:rPr>
        <w:br/>
        <w:t xml:space="preserve">This is not the way to handle this.  802.11ah *is* in your </w:t>
      </w:r>
      <w:r w:rsidR="009A2203">
        <w:rPr>
          <w:rFonts w:ascii="MS Sans Serif" w:hAnsi="MS Sans Serif"/>
          <w:sz w:val="20"/>
          <w:lang w:val="en-US"/>
        </w:rPr>
        <w:t xml:space="preserve">baseline, </w:t>
      </w:r>
      <w:r w:rsidRPr="00EE31F6">
        <w:rPr>
          <w:rFonts w:ascii="MS Sans Serif" w:hAnsi="MS Sans Serif"/>
          <w:sz w:val="20"/>
          <w:lang w:val="en-US"/>
        </w:rPr>
        <w:t>and you can propose changes to it to support GLK.</w:t>
      </w:r>
    </w:p>
    <w:p w14:paraId="2F109ECF" w14:textId="0AD457A6" w:rsidR="00EE31F6" w:rsidRPr="00EE31F6" w:rsidRDefault="00EE31F6" w:rsidP="00EE31F6">
      <w:pPr>
        <w:rPr>
          <w:b/>
          <w:sz w:val="24"/>
          <w:szCs w:val="24"/>
        </w:rPr>
      </w:pPr>
    </w:p>
    <w:p w14:paraId="378F6F45" w14:textId="04136E6A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Add </w:t>
      </w:r>
      <w:r>
        <w:rPr>
          <w:rFonts w:ascii="MS Sans Serif" w:hAnsi="MS Sans Serif"/>
          <w:sz w:val="20"/>
          <w:lang w:val="en-US"/>
        </w:rPr>
        <w:t xml:space="preserve">support for 802.11ah features, </w:t>
      </w:r>
      <w:r w:rsidRPr="00EE31F6">
        <w:rPr>
          <w:rFonts w:ascii="MS Sans Serif" w:hAnsi="MS Sans Serif"/>
          <w:sz w:val="20"/>
          <w:lang w:val="en-US"/>
        </w:rPr>
        <w:t>or indica</w:t>
      </w:r>
      <w:r>
        <w:rPr>
          <w:rFonts w:ascii="MS Sans Serif" w:hAnsi="MS Sans Serif"/>
          <w:sz w:val="20"/>
          <w:lang w:val="en-US"/>
        </w:rPr>
        <w:t>te that it cannot support GLK.</w:t>
      </w:r>
      <w:r w:rsidRPr="00EE31F6">
        <w:rPr>
          <w:rFonts w:ascii="MS Sans Serif" w:hAnsi="MS Sans Serif"/>
          <w:sz w:val="20"/>
          <w:lang w:val="en-US"/>
        </w:rPr>
        <w:br/>
      </w:r>
      <w:r w:rsidRPr="00EE31F6">
        <w:rPr>
          <w:rFonts w:ascii="MS Sans Serif" w:hAnsi="MS Sans Serif"/>
          <w:sz w:val="20"/>
          <w:lang w:val="en-US"/>
        </w:rPr>
        <w:br/>
        <w:t>Pay particular attention to the 802.11ah relaying function.</w:t>
      </w:r>
    </w:p>
    <w:p w14:paraId="2BA94018" w14:textId="51512C52" w:rsidR="00EE31F6" w:rsidRPr="00EE31F6" w:rsidRDefault="00EE31F6" w:rsidP="00EE31F6">
      <w:pPr>
        <w:rPr>
          <w:b/>
          <w:sz w:val="24"/>
          <w:szCs w:val="24"/>
        </w:rPr>
      </w:pPr>
    </w:p>
    <w:p w14:paraId="170CAAD8" w14:textId="60310891" w:rsidR="00EE31F6" w:rsidRPr="00E16C98" w:rsidRDefault="00EE31F6" w:rsidP="00EE31F6">
      <w:r w:rsidRPr="00EE31F6">
        <w:rPr>
          <w:b/>
          <w:sz w:val="24"/>
          <w:szCs w:val="24"/>
        </w:rPr>
        <w:t>Resolution:</w:t>
      </w:r>
      <w:r>
        <w:rPr>
          <w:b/>
          <w:sz w:val="24"/>
          <w:szCs w:val="24"/>
        </w:rPr>
        <w:t xml:space="preserve"> </w:t>
      </w:r>
      <w:r w:rsidR="002E49D8">
        <w:rPr>
          <w:b/>
          <w:sz w:val="24"/>
          <w:szCs w:val="24"/>
        </w:rPr>
        <w:t xml:space="preserve">Revise: </w:t>
      </w:r>
      <w:r w:rsidR="00E16C98">
        <w:rPr>
          <w:sz w:val="24"/>
          <w:szCs w:val="24"/>
        </w:rPr>
        <w:t>Insert a new paragraph in 4.3.23.1 as follows: “GLK STAs can be Mesh STAs. All Mesh STAs in a GLK MBSS are Mesh STAs. GLK STAs can support GLK peering through DMG Relays but GLK S1G STAs do not support and cannot use S1G Relays.”</w:t>
      </w:r>
    </w:p>
    <w:p w14:paraId="5C02D6F1" w14:textId="77777777" w:rsidR="00EE31F6" w:rsidRDefault="00EE31F6" w:rsidP="00EE31F6"/>
    <w:p w14:paraId="73FCB769" w14:textId="5D86C0CB" w:rsidR="00EE31F6" w:rsidRPr="008E2C71" w:rsidRDefault="00EE31F6" w:rsidP="00EE31F6">
      <w:pPr>
        <w:pStyle w:val="Heading1"/>
      </w:pPr>
      <w:bookmarkStart w:id="2" w:name="_Toc314951858"/>
      <w:r>
        <w:t>CID 134</w:t>
      </w:r>
      <w:bookmarkEnd w:id="2"/>
    </w:p>
    <w:p w14:paraId="390134EB" w14:textId="7E57DAB8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Figure 4-14c is a useful general overview of the GLK architecture and I think it would be more useful to appear earlier in the text.</w:t>
      </w:r>
    </w:p>
    <w:p w14:paraId="41152B82" w14:textId="159F0FDA" w:rsidR="00EE31F6" w:rsidRPr="00EE31F6" w:rsidRDefault="00EE31F6" w:rsidP="00EE31F6">
      <w:pPr>
        <w:rPr>
          <w:b/>
          <w:sz w:val="24"/>
          <w:szCs w:val="24"/>
        </w:rPr>
      </w:pPr>
    </w:p>
    <w:p w14:paraId="7ECF2106" w14:textId="6B32EF5E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Move Figure 4-14c to clause 4.3.23.1 and re-number as required. Some of the text associated with the Figure may need to be moved and re-written.</w:t>
      </w:r>
    </w:p>
    <w:p w14:paraId="6432F783" w14:textId="565EB496" w:rsidR="00EE31F6" w:rsidRPr="00EE31F6" w:rsidRDefault="00EE31F6" w:rsidP="00EE31F6">
      <w:pPr>
        <w:ind w:firstLine="720"/>
        <w:rPr>
          <w:b/>
          <w:sz w:val="24"/>
          <w:szCs w:val="24"/>
        </w:rPr>
      </w:pPr>
    </w:p>
    <w:p w14:paraId="124E3BE7" w14:textId="084E039A" w:rsidR="00EE31F6" w:rsidRPr="008859FA" w:rsidRDefault="00EE31F6" w:rsidP="00EE31F6">
      <w:r w:rsidRPr="00EE31F6">
        <w:rPr>
          <w:b/>
          <w:sz w:val="24"/>
          <w:szCs w:val="24"/>
        </w:rPr>
        <w:t>Resolution:</w:t>
      </w:r>
      <w:r w:rsidR="008859FA">
        <w:rPr>
          <w:b/>
          <w:sz w:val="24"/>
          <w:szCs w:val="24"/>
        </w:rPr>
        <w:t xml:space="preserve"> Revise: </w:t>
      </w:r>
      <w:r w:rsidR="008859FA">
        <w:rPr>
          <w:sz w:val="24"/>
          <w:szCs w:val="24"/>
        </w:rPr>
        <w:t>Insert at the end of the first paragraph in 4.3.23.1: “For an infrastructure GLK example, see Figure 4-13b (Infrastructure BSS with GLK links).”</w:t>
      </w:r>
    </w:p>
    <w:p w14:paraId="5A9B1134" w14:textId="77777777" w:rsidR="00EE31F6" w:rsidRDefault="00EE31F6" w:rsidP="00EE31F6"/>
    <w:p w14:paraId="09EFD242" w14:textId="0ECB7D46" w:rsidR="00EE31F6" w:rsidRPr="008E2C71" w:rsidRDefault="00EE31F6" w:rsidP="00EE31F6">
      <w:pPr>
        <w:pStyle w:val="Heading1"/>
      </w:pPr>
      <w:bookmarkStart w:id="3" w:name="_Toc314951859"/>
      <w:r>
        <w:t>CID 412</w:t>
      </w:r>
      <w:bookmarkEnd w:id="3"/>
    </w:p>
    <w:p w14:paraId="5061E3B3" w14:textId="5F42571A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"A GLK mesh STA coordinates with the 802.1AC IEEE 802.11 General Link Convergence function":  the text in this paragraph looks more like it belongs in cause 4 than in a normative clause.  Either specify what frames the mesh STA uses or reference the </w:t>
      </w:r>
      <w:proofErr w:type="spellStart"/>
      <w:r w:rsidRPr="00EE31F6">
        <w:rPr>
          <w:rFonts w:ascii="MS Sans Serif" w:hAnsi="MS Sans Serif"/>
          <w:sz w:val="20"/>
          <w:lang w:val="en-US"/>
        </w:rPr>
        <w:t>subclause</w:t>
      </w:r>
      <w:proofErr w:type="spellEnd"/>
      <w:r w:rsidRPr="00EE31F6">
        <w:rPr>
          <w:rFonts w:ascii="MS Sans Serif" w:hAnsi="MS Sans Serif"/>
          <w:sz w:val="20"/>
          <w:lang w:val="en-US"/>
        </w:rPr>
        <w:t xml:space="preserve"> that specifies those communications.</w:t>
      </w:r>
    </w:p>
    <w:p w14:paraId="56692CEF" w14:textId="77777777" w:rsidR="00EE31F6" w:rsidRPr="00EE31F6" w:rsidRDefault="00EE31F6" w:rsidP="00EE31F6">
      <w:pPr>
        <w:rPr>
          <w:b/>
          <w:sz w:val="24"/>
          <w:szCs w:val="24"/>
        </w:rPr>
      </w:pPr>
    </w:p>
    <w:p w14:paraId="3B8449FE" w14:textId="5D175F3A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Reference the clause(s) that specify the frames, elements, etc. used in the coordination with the convergence function.</w:t>
      </w:r>
    </w:p>
    <w:p w14:paraId="1BED9DAD" w14:textId="0F147650" w:rsidR="00EE31F6" w:rsidRPr="00EE31F6" w:rsidRDefault="00EE31F6" w:rsidP="00EE31F6">
      <w:pPr>
        <w:ind w:firstLine="720"/>
        <w:rPr>
          <w:b/>
          <w:sz w:val="24"/>
          <w:szCs w:val="24"/>
        </w:rPr>
      </w:pPr>
    </w:p>
    <w:p w14:paraId="314C4779" w14:textId="1AE33623" w:rsidR="00EE31F6" w:rsidRDefault="00EE31F6" w:rsidP="00EE31F6">
      <w:pPr>
        <w:rPr>
          <w:sz w:val="24"/>
          <w:szCs w:val="24"/>
        </w:rPr>
      </w:pPr>
      <w:r w:rsidRPr="00EE31F6">
        <w:rPr>
          <w:b/>
          <w:sz w:val="24"/>
          <w:szCs w:val="24"/>
        </w:rPr>
        <w:t>Resolution:</w:t>
      </w:r>
      <w:r w:rsidR="00EA4D8E">
        <w:rPr>
          <w:b/>
          <w:sz w:val="24"/>
          <w:szCs w:val="24"/>
        </w:rPr>
        <w:t xml:space="preserve"> Revise: </w:t>
      </w:r>
      <w:r w:rsidR="00EA4D8E">
        <w:rPr>
          <w:sz w:val="24"/>
          <w:szCs w:val="24"/>
        </w:rPr>
        <w:t>Change the paragraph beginning with the cited sentence as follows:</w:t>
      </w:r>
    </w:p>
    <w:p w14:paraId="21C197A4" w14:textId="320854F7" w:rsidR="00EA4D8E" w:rsidRPr="00EA4D8E" w:rsidRDefault="00EA4D8E" w:rsidP="00EE31F6">
      <w:r>
        <w:t>“</w:t>
      </w:r>
      <w:r w:rsidRPr="00EA4D8E">
        <w:t xml:space="preserve">A GLK mesh </w:t>
      </w:r>
      <w:r w:rsidRPr="00EA4D8E">
        <w:rPr>
          <w:strike/>
        </w:rPr>
        <w:t>STA coordinates with the 802.1AC IEEE 802.11 general link convergence function to create</w:t>
      </w:r>
      <w:r w:rsidRPr="00EA4D8E">
        <w:t xml:space="preserve"> </w:t>
      </w:r>
      <w:r>
        <w:rPr>
          <w:u w:val="single"/>
        </w:rPr>
        <w:t xml:space="preserve">gate creates </w:t>
      </w:r>
      <w:r w:rsidRPr="00EA4D8E">
        <w:t xml:space="preserve">a virtual point-to-point LAN to each mesh gate in the MBSS other than itself.  Each of these point-to-point LANs is presented by the convergence function as a unique Internal </w:t>
      </w:r>
      <w:proofErr w:type="spellStart"/>
      <w:r w:rsidRPr="00EA4D8E">
        <w:t>Sublayer</w:t>
      </w:r>
      <w:proofErr w:type="spellEnd"/>
      <w:r w:rsidRPr="00EA4D8E">
        <w:t xml:space="preserve"> Service SAP that is </w:t>
      </w:r>
      <w:r w:rsidRPr="00EA4D8E">
        <w:rPr>
          <w:strike/>
        </w:rPr>
        <w:t>ultimately</w:t>
      </w:r>
      <w:r w:rsidRPr="00EA4D8E">
        <w:t xml:space="preserve"> mapped to an 802.1Q bridge port. Each such SAP is identified by a locally unique </w:t>
      </w:r>
      <w:proofErr w:type="spellStart"/>
      <w:r w:rsidRPr="00EA4D8E">
        <w:t>service_access_point_identifier</w:t>
      </w:r>
      <w:proofErr w:type="spellEnd"/>
      <w:r w:rsidRPr="00EA4D8E">
        <w:rPr>
          <w:strike/>
        </w:rPr>
        <w:t>,</w:t>
      </w:r>
      <w:r w:rsidRPr="00EA4D8E">
        <w:t xml:space="preserve"> generated by the STA</w:t>
      </w:r>
      <w:r>
        <w:t xml:space="preserve"> and the convergence function</w:t>
      </w:r>
      <w:r>
        <w:rPr>
          <w:u w:val="single"/>
        </w:rPr>
        <w:t xml:space="preserve"> (see 5.2.1a (</w:t>
      </w:r>
      <w:r w:rsidRPr="00EA4D8E">
        <w:rPr>
          <w:u w:val="single"/>
        </w:rPr>
        <w:t>GLK MAC data service specification</w:t>
      </w:r>
      <w:r>
        <w:rPr>
          <w:u w:val="single"/>
        </w:rPr>
        <w:t>))</w:t>
      </w:r>
      <w:r w:rsidR="00A6234F">
        <w:t>.”</w:t>
      </w:r>
    </w:p>
    <w:p w14:paraId="04B05177" w14:textId="77777777" w:rsidR="00A6234F" w:rsidRDefault="00A6234F" w:rsidP="00A6234F"/>
    <w:p w14:paraId="7B31EB83" w14:textId="77777777" w:rsidR="00A6234F" w:rsidRPr="008E2C71" w:rsidRDefault="00A6234F" w:rsidP="00A6234F">
      <w:pPr>
        <w:pStyle w:val="Heading1"/>
      </w:pPr>
      <w:bookmarkStart w:id="4" w:name="_Toc314951860"/>
      <w:r>
        <w:t>CID 53</w:t>
      </w:r>
      <w:bookmarkEnd w:id="4"/>
    </w:p>
    <w:p w14:paraId="45250404" w14:textId="77777777" w:rsidR="00A6234F" w:rsidRPr="00EE31F6" w:rsidRDefault="00A6234F" w:rsidP="00A6234F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I do not understand how GLK int</w:t>
      </w:r>
      <w:r>
        <w:rPr>
          <w:rFonts w:ascii="MS Sans Serif" w:hAnsi="MS Sans Serif"/>
          <w:sz w:val="20"/>
          <w:lang w:val="en-US"/>
        </w:rPr>
        <w:t>eracts with Mesh.  For example,</w:t>
      </w:r>
      <w:r w:rsidRPr="00EE31F6">
        <w:rPr>
          <w:rFonts w:ascii="MS Sans Serif" w:hAnsi="MS Sans Serif"/>
          <w:sz w:val="20"/>
          <w:lang w:val="en-US"/>
        </w:rPr>
        <w:t xml:space="preserve"> is GLK a</w:t>
      </w:r>
      <w:r>
        <w:rPr>
          <w:rFonts w:ascii="MS Sans Serif" w:hAnsi="MS Sans Serif"/>
          <w:sz w:val="20"/>
          <w:lang w:val="en-US"/>
        </w:rPr>
        <w:t xml:space="preserve"> property of the mesh pairing, </w:t>
      </w:r>
      <w:r w:rsidRPr="00EE31F6">
        <w:rPr>
          <w:rFonts w:ascii="MS Sans Serif" w:hAnsi="MS Sans Serif"/>
          <w:sz w:val="20"/>
          <w:lang w:val="en-US"/>
        </w:rPr>
        <w:t>requiring all nodes in the</w:t>
      </w:r>
      <w:r>
        <w:rPr>
          <w:rFonts w:ascii="MS Sans Serif" w:hAnsi="MS Sans Serif"/>
          <w:sz w:val="20"/>
          <w:lang w:val="en-US"/>
        </w:rPr>
        <w:t xml:space="preserve"> mesh to support GLK?</w:t>
      </w:r>
      <w:r>
        <w:rPr>
          <w:rFonts w:ascii="MS Sans Serif" w:hAnsi="MS Sans Serif"/>
          <w:sz w:val="20"/>
          <w:lang w:val="en-US"/>
        </w:rPr>
        <w:br/>
      </w:r>
      <w:r>
        <w:rPr>
          <w:rFonts w:ascii="MS Sans Serif" w:hAnsi="MS Sans Serif"/>
          <w:sz w:val="20"/>
          <w:lang w:val="en-US"/>
        </w:rPr>
        <w:br/>
        <w:t xml:space="preserve">If not, </w:t>
      </w:r>
      <w:r w:rsidRPr="00EE31F6">
        <w:rPr>
          <w:rFonts w:ascii="MS Sans Serif" w:hAnsi="MS Sans Serif"/>
          <w:sz w:val="20"/>
          <w:lang w:val="en-US"/>
        </w:rPr>
        <w:t>how can selection of GLK be made if the capabilities of the end node are not known?</w:t>
      </w:r>
    </w:p>
    <w:p w14:paraId="3817D802" w14:textId="77777777" w:rsidR="00A6234F" w:rsidRPr="00EE31F6" w:rsidRDefault="00A6234F" w:rsidP="00A6234F">
      <w:pPr>
        <w:rPr>
          <w:b/>
          <w:sz w:val="24"/>
          <w:szCs w:val="24"/>
        </w:rPr>
      </w:pPr>
    </w:p>
    <w:p w14:paraId="05C6944E" w14:textId="77777777" w:rsidR="00A6234F" w:rsidRPr="00EE31F6" w:rsidRDefault="00A6234F" w:rsidP="00A6234F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Add to clause 4 a description of how GLK works with mesh.  Consider adding in clause 13 </w:t>
      </w:r>
      <w:proofErr w:type="gramStart"/>
      <w:r w:rsidRPr="00EE31F6">
        <w:rPr>
          <w:rFonts w:ascii="MS Sans Serif" w:hAnsi="MS Sans Serif"/>
          <w:sz w:val="20"/>
          <w:lang w:val="en-US"/>
        </w:rPr>
        <w:t>support</w:t>
      </w:r>
      <w:proofErr w:type="gramEnd"/>
      <w:r w:rsidRPr="00EE31F6">
        <w:rPr>
          <w:rFonts w:ascii="MS Sans Serif" w:hAnsi="MS Sans Serif"/>
          <w:sz w:val="20"/>
          <w:lang w:val="en-US"/>
        </w:rPr>
        <w:t xml:space="preserve"> for GLK as part of the set of characteristics that determine if you can pair with a mesh.</w:t>
      </w:r>
    </w:p>
    <w:p w14:paraId="2E342411" w14:textId="77777777" w:rsidR="00A6234F" w:rsidRPr="00EE31F6" w:rsidRDefault="00A6234F" w:rsidP="00A6234F">
      <w:pPr>
        <w:ind w:firstLine="720"/>
        <w:rPr>
          <w:b/>
          <w:sz w:val="24"/>
          <w:szCs w:val="24"/>
        </w:rPr>
      </w:pPr>
    </w:p>
    <w:p w14:paraId="21586EB4" w14:textId="77777777" w:rsidR="00A6234F" w:rsidRPr="00181D29" w:rsidRDefault="00A6234F" w:rsidP="00A6234F">
      <w:r w:rsidRPr="00EE31F6">
        <w:rPr>
          <w:b/>
          <w:sz w:val="24"/>
          <w:szCs w:val="24"/>
        </w:rPr>
        <w:t>Resolution:</w:t>
      </w:r>
      <w:r>
        <w:rPr>
          <w:b/>
          <w:sz w:val="24"/>
          <w:szCs w:val="24"/>
        </w:rPr>
        <w:t xml:space="preserve"> Revise: </w:t>
      </w:r>
      <w:r>
        <w:rPr>
          <w:sz w:val="24"/>
          <w:szCs w:val="24"/>
        </w:rPr>
        <w:t>Revise: Change text as at the bottom of submission 11-16/170.</w:t>
      </w:r>
    </w:p>
    <w:p w14:paraId="5E5CC231" w14:textId="77777777" w:rsidR="00EE31F6" w:rsidRDefault="00EE31F6" w:rsidP="00EE31F6">
      <w:pPr>
        <w:pBdr>
          <w:bottom w:val="single" w:sz="12" w:space="1" w:color="auto"/>
        </w:pBdr>
      </w:pPr>
    </w:p>
    <w:p w14:paraId="36E9DCFC" w14:textId="77777777" w:rsidR="00181D29" w:rsidRDefault="00181D29" w:rsidP="00851862">
      <w:pPr>
        <w:rPr>
          <w:sz w:val="24"/>
          <w:szCs w:val="24"/>
        </w:rPr>
      </w:pPr>
    </w:p>
    <w:p w14:paraId="4A09F840" w14:textId="567EACA0" w:rsidR="00A6234F" w:rsidRDefault="00A6234F" w:rsidP="00A6234F">
      <w:pPr>
        <w:pStyle w:val="Heading2"/>
      </w:pPr>
      <w:bookmarkStart w:id="5" w:name="_Toc314951861"/>
      <w:r>
        <w:t xml:space="preserve">4.3.18.4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 components and mesh BSS</w:t>
      </w:r>
      <w:bookmarkEnd w:id="5"/>
    </w:p>
    <w:p w14:paraId="4AE6802D" w14:textId="77777777" w:rsidR="00A6234F" w:rsidRDefault="00A6234F" w:rsidP="00B80566">
      <w:pPr>
        <w:rPr>
          <w:b/>
          <w:i/>
          <w:sz w:val="24"/>
          <w:szCs w:val="24"/>
        </w:rPr>
      </w:pPr>
    </w:p>
    <w:p w14:paraId="5F372B3C" w14:textId="7B857BAC" w:rsidR="00B80566" w:rsidRPr="00B80566" w:rsidRDefault="00B80566" w:rsidP="00B80566">
      <w:pPr>
        <w:rPr>
          <w:b/>
          <w:i/>
          <w:sz w:val="24"/>
          <w:szCs w:val="24"/>
        </w:rPr>
      </w:pPr>
      <w:r w:rsidRPr="00B80566">
        <w:rPr>
          <w:b/>
          <w:i/>
          <w:sz w:val="24"/>
          <w:szCs w:val="24"/>
        </w:rPr>
        <w:t>Change text as follows:</w:t>
      </w:r>
    </w:p>
    <w:p w14:paraId="46668AD6" w14:textId="77777777" w:rsidR="00B80566" w:rsidRDefault="00B80566" w:rsidP="00B80566">
      <w:pPr>
        <w:rPr>
          <w:sz w:val="24"/>
          <w:szCs w:val="24"/>
        </w:rPr>
      </w:pPr>
    </w:p>
    <w:p w14:paraId="159AF785" w14:textId="0013AC8A" w:rsidR="00B80566" w:rsidRPr="00B80566" w:rsidRDefault="00B80566" w:rsidP="00B80566">
      <w:pPr>
        <w:rPr>
          <w:sz w:val="24"/>
          <w:szCs w:val="24"/>
        </w:rPr>
      </w:pPr>
      <w:r w:rsidRPr="00B80566">
        <w:rPr>
          <w:sz w:val="24"/>
          <w:szCs w:val="24"/>
        </w:rPr>
        <w:t xml:space="preserve">However, instead of existing independently, </w:t>
      </w:r>
      <w:proofErr w:type="gramStart"/>
      <w:r w:rsidRPr="00B80566">
        <w:rPr>
          <w:sz w:val="24"/>
          <w:szCs w:val="24"/>
        </w:rPr>
        <w:t>an</w:t>
      </w:r>
      <w:proofErr w:type="gramEnd"/>
      <w:r w:rsidRPr="00B8056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non-GLK </w:t>
      </w:r>
      <w:r w:rsidRPr="00B80566">
        <w:rPr>
          <w:sz w:val="24"/>
          <w:szCs w:val="24"/>
        </w:rPr>
        <w:t>MBSS might also access the</w:t>
      </w:r>
      <w:r>
        <w:rPr>
          <w:sz w:val="24"/>
          <w:szCs w:val="24"/>
        </w:rPr>
        <w:t xml:space="preserve"> distribution system (DS)</w:t>
      </w:r>
      <w:r>
        <w:rPr>
          <w:sz w:val="24"/>
          <w:szCs w:val="24"/>
          <w:u w:val="single"/>
        </w:rPr>
        <w:t xml:space="preserve"> or a GLK MBSS might access one or more bridged LANs</w:t>
      </w:r>
      <w:r>
        <w:rPr>
          <w:sz w:val="24"/>
          <w:szCs w:val="24"/>
        </w:rPr>
        <w:t xml:space="preserve">. The </w:t>
      </w:r>
      <w:r w:rsidRPr="00B80566">
        <w:rPr>
          <w:sz w:val="24"/>
          <w:szCs w:val="24"/>
        </w:rPr>
        <w:t xml:space="preserve">MBSS interconnects with other BSSs </w:t>
      </w:r>
      <w:r w:rsidRPr="00B80566">
        <w:rPr>
          <w:strike/>
          <w:sz w:val="24"/>
          <w:szCs w:val="24"/>
        </w:rPr>
        <w:t>through the DS</w:t>
      </w:r>
      <w:r>
        <w:rPr>
          <w:strike/>
          <w:sz w:val="24"/>
          <w:szCs w:val="24"/>
          <w:u w:val="single"/>
        </w:rPr>
        <w:t xml:space="preserve"> </w:t>
      </w:r>
      <w:r w:rsidRPr="00B80566">
        <w:rPr>
          <w:sz w:val="24"/>
          <w:szCs w:val="24"/>
          <w:u w:val="single"/>
        </w:rPr>
        <w:t>in this way</w:t>
      </w:r>
      <w:r w:rsidRPr="00B80566">
        <w:rPr>
          <w:sz w:val="24"/>
          <w:szCs w:val="24"/>
        </w:rPr>
        <w:t xml:space="preserve">. Then, mesh STAs can communicate with </w:t>
      </w:r>
      <w:proofErr w:type="spellStart"/>
      <w:r w:rsidRPr="00B80566">
        <w:rPr>
          <w:sz w:val="24"/>
          <w:szCs w:val="24"/>
        </w:rPr>
        <w:t>nonmesh</w:t>
      </w:r>
      <w:proofErr w:type="spellEnd"/>
      <w:r w:rsidRPr="00B80566">
        <w:rPr>
          <w:sz w:val="24"/>
          <w:szCs w:val="24"/>
        </w:rPr>
        <w:t xml:space="preserve"> STAs. Therefore, a logical architectural component is introduced in order to integrate the MBSS with the DS</w:t>
      </w:r>
      <w:r>
        <w:rPr>
          <w:sz w:val="24"/>
          <w:szCs w:val="24"/>
          <w:u w:val="single"/>
        </w:rPr>
        <w:t xml:space="preserve"> or bridged LAN</w:t>
      </w:r>
      <w:r w:rsidRPr="00B8056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— </w:t>
      </w:r>
      <w:r w:rsidRPr="00B80566">
        <w:rPr>
          <w:sz w:val="24"/>
          <w:szCs w:val="24"/>
        </w:rPr>
        <w:t>the mesh gate. Data move between an MBSS and the DS</w:t>
      </w:r>
      <w:r>
        <w:rPr>
          <w:sz w:val="24"/>
          <w:szCs w:val="24"/>
          <w:u w:val="single"/>
        </w:rPr>
        <w:t xml:space="preserve"> or bridged LAN</w:t>
      </w:r>
      <w:r w:rsidRPr="00B80566">
        <w:rPr>
          <w:sz w:val="24"/>
          <w:szCs w:val="24"/>
        </w:rPr>
        <w:t xml:space="preserve"> via one or more mesh gates. Thus, the mesh gate is the </w:t>
      </w:r>
      <w:r w:rsidRPr="00B80566">
        <w:rPr>
          <w:sz w:val="24"/>
          <w:szCs w:val="24"/>
        </w:rPr>
        <w:lastRenderedPageBreak/>
        <w:t xml:space="preserve">logical point at which MSDUs from an MBSS enter </w:t>
      </w:r>
      <w:r>
        <w:rPr>
          <w:sz w:val="24"/>
          <w:szCs w:val="24"/>
          <w:u w:val="single"/>
        </w:rPr>
        <w:t xml:space="preserve">either </w:t>
      </w:r>
      <w:r w:rsidRPr="00B80566">
        <w:rPr>
          <w:sz w:val="24"/>
          <w:szCs w:val="24"/>
        </w:rPr>
        <w:t xml:space="preserve">the </w:t>
      </w:r>
      <w:r w:rsidRPr="00214DB8">
        <w:rPr>
          <w:strike/>
          <w:sz w:val="24"/>
          <w:szCs w:val="24"/>
        </w:rPr>
        <w:t xml:space="preserve">IEEE </w:t>
      </w:r>
      <w:proofErr w:type="spellStart"/>
      <w:proofErr w:type="gramStart"/>
      <w:r w:rsidRPr="00214DB8">
        <w:rPr>
          <w:strike/>
          <w:sz w:val="24"/>
          <w:szCs w:val="24"/>
        </w:rPr>
        <w:t>Std</w:t>
      </w:r>
      <w:proofErr w:type="spellEnd"/>
      <w:proofErr w:type="gramEnd"/>
      <w:r w:rsidRPr="00214DB8">
        <w:rPr>
          <w:strike/>
          <w:sz w:val="24"/>
          <w:szCs w:val="24"/>
        </w:rPr>
        <w:t xml:space="preserve"> 802.11</w:t>
      </w:r>
      <w:r w:rsidRPr="00B80566">
        <w:rPr>
          <w:sz w:val="24"/>
          <w:szCs w:val="24"/>
        </w:rPr>
        <w:t xml:space="preserve"> DS, via the DSAF</w:t>
      </w:r>
      <w:r>
        <w:rPr>
          <w:sz w:val="24"/>
          <w:szCs w:val="24"/>
          <w:u w:val="single"/>
        </w:rPr>
        <w:t>, or a bridged LAN</w:t>
      </w:r>
      <w:r w:rsidRPr="00B80566">
        <w:rPr>
          <w:sz w:val="24"/>
          <w:szCs w:val="24"/>
        </w:rPr>
        <w:t xml:space="preserve">. Once an MBSS contains a mesh gate that connects it to the </w:t>
      </w:r>
      <w:r w:rsidRPr="00214DB8">
        <w:rPr>
          <w:strike/>
          <w:sz w:val="24"/>
          <w:szCs w:val="24"/>
        </w:rPr>
        <w:t xml:space="preserve">IEEE </w:t>
      </w:r>
      <w:proofErr w:type="spellStart"/>
      <w:proofErr w:type="gramStart"/>
      <w:r w:rsidRPr="00214DB8">
        <w:rPr>
          <w:strike/>
          <w:sz w:val="24"/>
          <w:szCs w:val="24"/>
        </w:rPr>
        <w:t>Std</w:t>
      </w:r>
      <w:proofErr w:type="spellEnd"/>
      <w:proofErr w:type="gramEnd"/>
      <w:r w:rsidRPr="00214DB8">
        <w:rPr>
          <w:strike/>
          <w:sz w:val="24"/>
          <w:szCs w:val="24"/>
        </w:rPr>
        <w:t xml:space="preserve"> 802.11</w:t>
      </w:r>
      <w:r w:rsidRPr="00B80566">
        <w:rPr>
          <w:sz w:val="24"/>
          <w:szCs w:val="24"/>
        </w:rPr>
        <w:t xml:space="preserve"> DS</w:t>
      </w:r>
      <w:r>
        <w:rPr>
          <w:sz w:val="24"/>
          <w:szCs w:val="24"/>
          <w:u w:val="single"/>
        </w:rPr>
        <w:t xml:space="preserve"> or bridged LAN</w:t>
      </w:r>
      <w:r w:rsidRPr="00B80566">
        <w:rPr>
          <w:sz w:val="24"/>
          <w:szCs w:val="24"/>
        </w:rPr>
        <w:t xml:space="preserve">, the MBSS can be integrated with other infrastructure BSSs too, given that their APs connect to </w:t>
      </w:r>
      <w:r>
        <w:rPr>
          <w:sz w:val="24"/>
          <w:szCs w:val="24"/>
        </w:rPr>
        <w:t>the same DS</w:t>
      </w:r>
      <w:r w:rsidR="00BC5751">
        <w:rPr>
          <w:sz w:val="24"/>
          <w:szCs w:val="24"/>
          <w:u w:val="single"/>
        </w:rPr>
        <w:t xml:space="preserve"> or bridged LAN</w:t>
      </w:r>
      <w:r>
        <w:rPr>
          <w:sz w:val="24"/>
          <w:szCs w:val="24"/>
        </w:rPr>
        <w:t xml:space="preserve">. Several mesh gates </w:t>
      </w:r>
      <w:r w:rsidRPr="00B80566">
        <w:rPr>
          <w:sz w:val="24"/>
          <w:szCs w:val="24"/>
        </w:rPr>
        <w:t xml:space="preserve">are shown in Figure 4-9 (Example MBSS containing mesh STAs, mesh gates, APs, and portals) connecting different MBSSs to the DS. </w:t>
      </w:r>
    </w:p>
    <w:p w14:paraId="751678F6" w14:textId="77777777" w:rsidR="00B80566" w:rsidRPr="00B80566" w:rsidRDefault="00B80566" w:rsidP="00B80566">
      <w:pPr>
        <w:rPr>
          <w:sz w:val="24"/>
          <w:szCs w:val="24"/>
        </w:rPr>
      </w:pPr>
      <w:bookmarkStart w:id="6" w:name="_GoBack"/>
      <w:bookmarkEnd w:id="6"/>
    </w:p>
    <w:p w14:paraId="28FAC3BC" w14:textId="43B750E3" w:rsidR="00683FA9" w:rsidRDefault="00B80566" w:rsidP="00B80566">
      <w:pPr>
        <w:rPr>
          <w:sz w:val="24"/>
          <w:szCs w:val="24"/>
        </w:rPr>
      </w:pPr>
      <w:r w:rsidRPr="00B80566">
        <w:rPr>
          <w:sz w:val="24"/>
          <w:szCs w:val="24"/>
        </w:rPr>
        <w:t xml:space="preserve">When an MBSS accesses the </w:t>
      </w:r>
      <w:r w:rsidRPr="00214DB8">
        <w:rPr>
          <w:strike/>
          <w:sz w:val="24"/>
          <w:szCs w:val="24"/>
        </w:rPr>
        <w:t xml:space="preserve">IEEE </w:t>
      </w:r>
      <w:proofErr w:type="spellStart"/>
      <w:proofErr w:type="gramStart"/>
      <w:r w:rsidRPr="00214DB8">
        <w:rPr>
          <w:strike/>
          <w:sz w:val="24"/>
          <w:szCs w:val="24"/>
        </w:rPr>
        <w:t>Std</w:t>
      </w:r>
      <w:proofErr w:type="spellEnd"/>
      <w:proofErr w:type="gramEnd"/>
      <w:r w:rsidRPr="00214DB8">
        <w:rPr>
          <w:strike/>
          <w:sz w:val="24"/>
          <w:szCs w:val="24"/>
        </w:rPr>
        <w:t xml:space="preserve"> 802.11</w:t>
      </w:r>
      <w:r w:rsidRPr="00B80566">
        <w:rPr>
          <w:sz w:val="24"/>
          <w:szCs w:val="24"/>
        </w:rPr>
        <w:t xml:space="preserve"> DS</w:t>
      </w:r>
      <w:r w:rsidR="00BC5751">
        <w:rPr>
          <w:sz w:val="24"/>
          <w:szCs w:val="24"/>
          <w:u w:val="single"/>
        </w:rPr>
        <w:t xml:space="preserve"> or a bridged LAN</w:t>
      </w:r>
      <w:r w:rsidRPr="00B80566">
        <w:rPr>
          <w:sz w:val="24"/>
          <w:szCs w:val="24"/>
        </w:rPr>
        <w:t xml:space="preserve"> through its mesh gate, the</w:t>
      </w:r>
      <w:r>
        <w:rPr>
          <w:sz w:val="24"/>
          <w:szCs w:val="24"/>
        </w:rPr>
        <w:t xml:space="preserve"> MBSS can be integrated with a </w:t>
      </w:r>
      <w:r w:rsidRPr="00B80566">
        <w:rPr>
          <w:sz w:val="24"/>
          <w:szCs w:val="24"/>
        </w:rPr>
        <w:t xml:space="preserve">non-IEEE-802.11 LAN. To integrate the </w:t>
      </w:r>
      <w:r w:rsidRPr="00214DB8">
        <w:rPr>
          <w:strike/>
          <w:sz w:val="24"/>
          <w:szCs w:val="24"/>
        </w:rPr>
        <w:t xml:space="preserve">IEEE </w:t>
      </w:r>
      <w:proofErr w:type="spellStart"/>
      <w:proofErr w:type="gramStart"/>
      <w:r w:rsidRPr="00214DB8">
        <w:rPr>
          <w:strike/>
          <w:sz w:val="24"/>
          <w:szCs w:val="24"/>
        </w:rPr>
        <w:t>Std</w:t>
      </w:r>
      <w:proofErr w:type="spellEnd"/>
      <w:proofErr w:type="gramEnd"/>
      <w:r w:rsidRPr="00214DB8">
        <w:rPr>
          <w:strike/>
          <w:sz w:val="24"/>
          <w:szCs w:val="24"/>
        </w:rPr>
        <w:t xml:space="preserve"> 802.11</w:t>
      </w:r>
      <w:r w:rsidRPr="00B80566">
        <w:rPr>
          <w:sz w:val="24"/>
          <w:szCs w:val="24"/>
        </w:rPr>
        <w:t xml:space="preserve"> DS to which this MBSS connects, the DS needs to contain a portal. See 4.3.7 (Integration with non-IEEE </w:t>
      </w:r>
      <w:proofErr w:type="spellStart"/>
      <w:r w:rsidRPr="00B80566">
        <w:rPr>
          <w:sz w:val="24"/>
          <w:szCs w:val="24"/>
        </w:rPr>
        <w:t>Std</w:t>
      </w:r>
      <w:proofErr w:type="spellEnd"/>
      <w:r w:rsidRPr="00B80566">
        <w:rPr>
          <w:sz w:val="24"/>
          <w:szCs w:val="24"/>
        </w:rPr>
        <w:t xml:space="preserve"> 802.11 LANs). Consequently, mesh gate and portal are different entities. The portal integrates the IEEE </w:t>
      </w:r>
      <w:proofErr w:type="spellStart"/>
      <w:proofErr w:type="gramStart"/>
      <w:r w:rsidRPr="00B80566">
        <w:rPr>
          <w:sz w:val="24"/>
          <w:szCs w:val="24"/>
        </w:rPr>
        <w:t>Std</w:t>
      </w:r>
      <w:proofErr w:type="spellEnd"/>
      <w:proofErr w:type="gramEnd"/>
      <w:r w:rsidRPr="00B80566">
        <w:rPr>
          <w:sz w:val="24"/>
          <w:szCs w:val="24"/>
        </w:rPr>
        <w:t xml:space="preserve"> 802.11 architecture with a non-IEEE-802.11 LAN (e.g., a traditional wired LAN), whereas the mesh gate integrates the MBSS with the </w:t>
      </w:r>
      <w:r w:rsidRPr="00214DB8">
        <w:rPr>
          <w:strike/>
          <w:sz w:val="24"/>
          <w:szCs w:val="24"/>
        </w:rPr>
        <w:t xml:space="preserve">IEEE </w:t>
      </w:r>
      <w:proofErr w:type="spellStart"/>
      <w:r w:rsidRPr="00214DB8">
        <w:rPr>
          <w:strike/>
          <w:sz w:val="24"/>
          <w:szCs w:val="24"/>
        </w:rPr>
        <w:t>Std</w:t>
      </w:r>
      <w:proofErr w:type="spellEnd"/>
      <w:r w:rsidRPr="00214DB8">
        <w:rPr>
          <w:strike/>
          <w:sz w:val="24"/>
          <w:szCs w:val="24"/>
        </w:rPr>
        <w:t xml:space="preserve"> 802.11</w:t>
      </w:r>
      <w:r w:rsidRPr="00B80566">
        <w:rPr>
          <w:sz w:val="24"/>
          <w:szCs w:val="24"/>
        </w:rPr>
        <w:t xml:space="preserve"> DS</w:t>
      </w:r>
      <w:r w:rsidR="00BC5751">
        <w:rPr>
          <w:sz w:val="24"/>
          <w:szCs w:val="24"/>
          <w:u w:val="single"/>
        </w:rPr>
        <w:t xml:space="preserve"> or a bridged LAN</w:t>
      </w:r>
      <w:r w:rsidRPr="00B80566">
        <w:rPr>
          <w:sz w:val="24"/>
          <w:szCs w:val="24"/>
        </w:rPr>
        <w:t>.</w:t>
      </w:r>
    </w:p>
    <w:p w14:paraId="2048823B" w14:textId="77777777" w:rsidR="00A0067D" w:rsidRDefault="00A0067D" w:rsidP="00851862">
      <w:pPr>
        <w:rPr>
          <w:sz w:val="24"/>
          <w:szCs w:val="24"/>
        </w:rPr>
      </w:pPr>
    </w:p>
    <w:p w14:paraId="3B6E42F5" w14:textId="0CD7B966" w:rsidR="00991640" w:rsidRDefault="00991640" w:rsidP="00991640">
      <w:pPr>
        <w:pStyle w:val="Heading2"/>
      </w:pPr>
      <w:bookmarkStart w:id="7" w:name="_Toc314951862"/>
      <w:r>
        <w:t>13.2.3 Mesh profile</w:t>
      </w:r>
      <w:bookmarkEnd w:id="7"/>
    </w:p>
    <w:p w14:paraId="100B79C3" w14:textId="77777777" w:rsidR="00991640" w:rsidRDefault="00991640" w:rsidP="00851862">
      <w:pPr>
        <w:rPr>
          <w:sz w:val="24"/>
          <w:szCs w:val="24"/>
        </w:rPr>
      </w:pPr>
    </w:p>
    <w:p w14:paraId="6A015F2F" w14:textId="59D7809F" w:rsidR="00181D29" w:rsidRPr="00683FA9" w:rsidRDefault="00683FA9" w:rsidP="00851862">
      <w:pPr>
        <w:rPr>
          <w:b/>
          <w:i/>
          <w:sz w:val="24"/>
          <w:szCs w:val="24"/>
        </w:rPr>
      </w:pPr>
      <w:r w:rsidRPr="00683FA9">
        <w:rPr>
          <w:b/>
          <w:i/>
          <w:sz w:val="24"/>
          <w:szCs w:val="24"/>
        </w:rPr>
        <w:t xml:space="preserve">Insert a new item in the mesh profile list in </w:t>
      </w:r>
      <w:r>
        <w:rPr>
          <w:b/>
          <w:i/>
          <w:sz w:val="24"/>
          <w:szCs w:val="24"/>
        </w:rPr>
        <w:t>as follows</w:t>
      </w:r>
      <w:r w:rsidRPr="00683FA9">
        <w:rPr>
          <w:b/>
          <w:i/>
          <w:sz w:val="24"/>
          <w:szCs w:val="24"/>
        </w:rPr>
        <w:t>:</w:t>
      </w:r>
    </w:p>
    <w:p w14:paraId="7C25A2A4" w14:textId="77777777" w:rsidR="00683FA9" w:rsidRDefault="00683FA9" w:rsidP="00851862">
      <w:pPr>
        <w:rPr>
          <w:sz w:val="24"/>
          <w:szCs w:val="24"/>
        </w:rPr>
      </w:pPr>
    </w:p>
    <w:p w14:paraId="4F03AC57" w14:textId="6CA92FF0" w:rsidR="00683FA9" w:rsidRPr="00683FA9" w:rsidRDefault="00683FA9" w:rsidP="00683FA9">
      <w:pPr>
        <w:rPr>
          <w:sz w:val="24"/>
          <w:szCs w:val="24"/>
          <w:lang w:val="en-US"/>
        </w:rPr>
      </w:pPr>
      <w:r>
        <w:rPr>
          <w:sz w:val="24"/>
          <w:szCs w:val="24"/>
        </w:rPr>
        <w:t>g) GLK support</w:t>
      </w:r>
      <w:r w:rsidRPr="00683FA9">
        <w:rPr>
          <w:sz w:val="26"/>
          <w:szCs w:val="26"/>
          <w:lang w:val="en-US"/>
        </w:rPr>
        <w:t xml:space="preserve"> </w:t>
      </w:r>
      <w:r w:rsidRPr="00683FA9">
        <w:rPr>
          <w:sz w:val="24"/>
          <w:szCs w:val="24"/>
          <w:lang w:val="en-US"/>
        </w:rPr>
        <w:t xml:space="preserve">— </w:t>
      </w:r>
      <w:r>
        <w:rPr>
          <w:sz w:val="24"/>
          <w:szCs w:val="24"/>
          <w:lang w:val="en-US"/>
        </w:rPr>
        <w:t>specified by dot11GLKImplemented</w:t>
      </w:r>
    </w:p>
    <w:p w14:paraId="1C7CCBDC" w14:textId="54D4E584" w:rsidR="00181D29" w:rsidRPr="00F66407" w:rsidRDefault="00181D29" w:rsidP="00851862">
      <w:pPr>
        <w:rPr>
          <w:sz w:val="24"/>
          <w:szCs w:val="24"/>
        </w:rPr>
      </w:pPr>
    </w:p>
    <w:sectPr w:rsidR="00181D29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214DB8" w:rsidRDefault="00214DB8">
      <w:r>
        <w:separator/>
      </w:r>
    </w:p>
  </w:endnote>
  <w:endnote w:type="continuationSeparator" w:id="0">
    <w:p w14:paraId="7E1C0F78" w14:textId="77777777" w:rsidR="00214DB8" w:rsidRDefault="002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2B5ED9F" w:rsidR="00214DB8" w:rsidRDefault="00214DB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C701A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C701A">
      <w:rPr>
        <w:noProof/>
      </w:rPr>
      <w:t>4</w:t>
    </w:r>
    <w:r>
      <w:fldChar w:fldCharType="end"/>
    </w:r>
    <w:r>
      <w:tab/>
    </w:r>
    <w:fldSimple w:instr=" COMMENTS  \* MERGEFORMAT ">
      <w:r w:rsidR="00FC701A">
        <w:rPr>
          <w:lang w:eastAsia="zh-CN"/>
        </w:rPr>
        <w:t>Donald Eastlake</w:t>
      </w:r>
      <w:r w:rsidR="00FC701A">
        <w:t>, Huawei Technologies</w:t>
      </w:r>
    </w:fldSimple>
  </w:p>
  <w:p w14:paraId="42428B05" w14:textId="77777777" w:rsidR="00214DB8" w:rsidRDefault="00214DB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214DB8" w:rsidRDefault="00214DB8">
      <w:r>
        <w:separator/>
      </w:r>
    </w:p>
  </w:footnote>
  <w:footnote w:type="continuationSeparator" w:id="0">
    <w:p w14:paraId="7AB33B67" w14:textId="77777777" w:rsidR="00214DB8" w:rsidRDefault="00214D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214DB8" w:rsidRDefault="00214DB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fldSimple w:instr=" TITLE  \* MERGEFORMAT ">
      <w:r w:rsidR="00FC701A">
        <w:t>doc.: IEEE 802.11-16/</w:t>
      </w:r>
      <w:r w:rsidR="00FC701A">
        <w:rPr>
          <w:lang w:eastAsia="zh-CN"/>
        </w:rPr>
        <w:t>0170r1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31AAE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0F782D"/>
    <w:rsid w:val="00101E2D"/>
    <w:rsid w:val="001076C4"/>
    <w:rsid w:val="00116274"/>
    <w:rsid w:val="00126B6B"/>
    <w:rsid w:val="00137327"/>
    <w:rsid w:val="00145FD3"/>
    <w:rsid w:val="0015239D"/>
    <w:rsid w:val="001528E3"/>
    <w:rsid w:val="00155197"/>
    <w:rsid w:val="00181D29"/>
    <w:rsid w:val="001A18D6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0DEB"/>
    <w:rsid w:val="001F253E"/>
    <w:rsid w:val="001F4C68"/>
    <w:rsid w:val="00200AA8"/>
    <w:rsid w:val="00203C33"/>
    <w:rsid w:val="00204438"/>
    <w:rsid w:val="00210185"/>
    <w:rsid w:val="00212C3D"/>
    <w:rsid w:val="00214DB8"/>
    <w:rsid w:val="002213B2"/>
    <w:rsid w:val="00223007"/>
    <w:rsid w:val="00223608"/>
    <w:rsid w:val="00230759"/>
    <w:rsid w:val="00236562"/>
    <w:rsid w:val="0023696E"/>
    <w:rsid w:val="00240167"/>
    <w:rsid w:val="00263686"/>
    <w:rsid w:val="00265F6A"/>
    <w:rsid w:val="00281955"/>
    <w:rsid w:val="0029020B"/>
    <w:rsid w:val="002B0727"/>
    <w:rsid w:val="002D44BE"/>
    <w:rsid w:val="002E44E6"/>
    <w:rsid w:val="002E49D8"/>
    <w:rsid w:val="002E7B96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163B"/>
    <w:rsid w:val="003B59F4"/>
    <w:rsid w:val="003D30C8"/>
    <w:rsid w:val="003D60FB"/>
    <w:rsid w:val="003E5989"/>
    <w:rsid w:val="003E735F"/>
    <w:rsid w:val="00407A06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4F62A5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772B2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178A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12BE"/>
    <w:rsid w:val="00683FA9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22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2B41"/>
    <w:rsid w:val="00795910"/>
    <w:rsid w:val="007B05EF"/>
    <w:rsid w:val="007B0875"/>
    <w:rsid w:val="007B3352"/>
    <w:rsid w:val="007C0F83"/>
    <w:rsid w:val="007C26E7"/>
    <w:rsid w:val="007D4439"/>
    <w:rsid w:val="007D56A7"/>
    <w:rsid w:val="007E2E62"/>
    <w:rsid w:val="008001FB"/>
    <w:rsid w:val="00814438"/>
    <w:rsid w:val="00820EE8"/>
    <w:rsid w:val="00831E45"/>
    <w:rsid w:val="008326DB"/>
    <w:rsid w:val="008351A2"/>
    <w:rsid w:val="00835556"/>
    <w:rsid w:val="00836773"/>
    <w:rsid w:val="008422DC"/>
    <w:rsid w:val="00843443"/>
    <w:rsid w:val="00847AEE"/>
    <w:rsid w:val="008515F6"/>
    <w:rsid w:val="00851862"/>
    <w:rsid w:val="008758BD"/>
    <w:rsid w:val="00875ACC"/>
    <w:rsid w:val="008859FA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91640"/>
    <w:rsid w:val="009A2203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67D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6234F"/>
    <w:rsid w:val="00A82622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1BCF"/>
    <w:rsid w:val="00B42A59"/>
    <w:rsid w:val="00B46CD3"/>
    <w:rsid w:val="00B6207D"/>
    <w:rsid w:val="00B6332F"/>
    <w:rsid w:val="00B7092A"/>
    <w:rsid w:val="00B76CC3"/>
    <w:rsid w:val="00B80566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751"/>
    <w:rsid w:val="00BC5A72"/>
    <w:rsid w:val="00BD2272"/>
    <w:rsid w:val="00BD5D1A"/>
    <w:rsid w:val="00BE68C2"/>
    <w:rsid w:val="00BF14C2"/>
    <w:rsid w:val="00BF6B9B"/>
    <w:rsid w:val="00C01810"/>
    <w:rsid w:val="00C033CA"/>
    <w:rsid w:val="00C101F1"/>
    <w:rsid w:val="00C10EA9"/>
    <w:rsid w:val="00C1121F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8AD"/>
    <w:rsid w:val="00DF1D0C"/>
    <w:rsid w:val="00DF2803"/>
    <w:rsid w:val="00E13114"/>
    <w:rsid w:val="00E16C98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4D8E"/>
    <w:rsid w:val="00EA6E5D"/>
    <w:rsid w:val="00EC4B2E"/>
    <w:rsid w:val="00EC557D"/>
    <w:rsid w:val="00ED2928"/>
    <w:rsid w:val="00ED5724"/>
    <w:rsid w:val="00EE31F6"/>
    <w:rsid w:val="00EE67A9"/>
    <w:rsid w:val="00EF2DD6"/>
    <w:rsid w:val="00F14D42"/>
    <w:rsid w:val="00F2036A"/>
    <w:rsid w:val="00F372E7"/>
    <w:rsid w:val="00F376B9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01A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5287</Characters>
  <Application>Microsoft Macintosh Word</Application>
  <DocSecurity>0</DocSecurity>
  <Lines>146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802.11-16/0170r0</vt:lpstr>
    </vt:vector>
  </TitlesOfParts>
  <Manager/>
  <Company>Huawei Technologies</Company>
  <LinksUpToDate>false</LinksUpToDate>
  <CharactersWithSpaces>6318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802.11-16/0170r1</dc:title>
  <dc:subject>Submission</dc:subject>
  <dc:creator>Donald Eastlake, III</dc:creator>
  <cp:keywords>January 2016</cp:keywords>
  <dc:description>Donald Eastlake, Huawei Technologies</dc:description>
  <cp:lastModifiedBy>Donald Eastlake</cp:lastModifiedBy>
  <cp:revision>2</cp:revision>
  <cp:lastPrinted>1901-01-01T05:00:00Z</cp:lastPrinted>
  <dcterms:created xsi:type="dcterms:W3CDTF">2016-01-21T16:26:00Z</dcterms:created>
  <dcterms:modified xsi:type="dcterms:W3CDTF">2016-01-21T16:26:00Z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