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A68E0"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520"/>
      </w:tblGrid>
      <w:tr w:rsidR="00C723BC" w:rsidRPr="00183F4C" w14:paraId="3EA90BCA" w14:textId="77777777" w:rsidTr="00D74DE9">
        <w:trPr>
          <w:trHeight w:val="485"/>
          <w:jc w:val="center"/>
        </w:trPr>
        <w:tc>
          <w:tcPr>
            <w:tcW w:w="9576" w:type="dxa"/>
            <w:gridSpan w:val="5"/>
            <w:vAlign w:val="center"/>
          </w:tcPr>
          <w:p w14:paraId="1B163983" w14:textId="4578AA00" w:rsidR="00C723BC" w:rsidRPr="00183F4C" w:rsidRDefault="00F64FB0" w:rsidP="00F64FB0">
            <w:pPr>
              <w:pStyle w:val="T2"/>
            </w:pPr>
            <w:r>
              <w:rPr>
                <w:lang w:eastAsia="ko-KR"/>
              </w:rPr>
              <w:t xml:space="preserve">SB </w:t>
            </w:r>
            <w:r w:rsidR="00C723BC">
              <w:rPr>
                <w:lang w:eastAsia="ko-KR"/>
              </w:rPr>
              <w:t>Comment</w:t>
            </w:r>
            <w:r w:rsidR="003C1F37">
              <w:rPr>
                <w:lang w:eastAsia="ko-KR"/>
              </w:rPr>
              <w:t>s &amp; pro</w:t>
            </w:r>
            <w:r w:rsidR="00BB4276">
              <w:rPr>
                <w:lang w:eastAsia="ko-KR"/>
              </w:rPr>
              <w:t xml:space="preserve">posed changes to </w:t>
            </w:r>
            <w:r w:rsidR="000E3C11">
              <w:rPr>
                <w:lang w:eastAsia="ko-KR"/>
              </w:rPr>
              <w:t xml:space="preserve">TGah </w:t>
            </w:r>
            <w:r w:rsidR="00BB4276">
              <w:rPr>
                <w:lang w:eastAsia="ko-KR"/>
              </w:rPr>
              <w:t>D5.0</w:t>
            </w:r>
          </w:p>
        </w:tc>
      </w:tr>
      <w:tr w:rsidR="00C723BC" w:rsidRPr="00183F4C" w14:paraId="14FE84B6" w14:textId="77777777" w:rsidTr="00D74DE9">
        <w:trPr>
          <w:trHeight w:val="359"/>
          <w:jc w:val="center"/>
        </w:trPr>
        <w:tc>
          <w:tcPr>
            <w:tcW w:w="9576" w:type="dxa"/>
            <w:gridSpan w:val="5"/>
            <w:vAlign w:val="center"/>
          </w:tcPr>
          <w:p w14:paraId="76361CDF" w14:textId="4A0A6E87" w:rsidR="00C723BC" w:rsidRPr="00183F4C" w:rsidRDefault="00C723BC" w:rsidP="003765EC">
            <w:pPr>
              <w:pStyle w:val="T2"/>
              <w:ind w:left="0"/>
              <w:rPr>
                <w:b w:val="0"/>
                <w:sz w:val="20"/>
              </w:rPr>
            </w:pPr>
            <w:r w:rsidRPr="00183F4C">
              <w:rPr>
                <w:sz w:val="20"/>
              </w:rPr>
              <w:t>Date:</w:t>
            </w:r>
            <w:r w:rsidRPr="00183F4C">
              <w:rPr>
                <w:b w:val="0"/>
                <w:sz w:val="20"/>
              </w:rPr>
              <w:t xml:space="preserve">  201</w:t>
            </w:r>
            <w:r w:rsidR="003765EC">
              <w:rPr>
                <w:b w:val="0"/>
                <w:sz w:val="20"/>
              </w:rPr>
              <w:t>6</w:t>
            </w:r>
            <w:r w:rsidRPr="00183F4C">
              <w:rPr>
                <w:b w:val="0"/>
                <w:sz w:val="20"/>
              </w:rPr>
              <w:t>-</w:t>
            </w:r>
            <w:r w:rsidR="003765EC">
              <w:rPr>
                <w:b w:val="0"/>
                <w:sz w:val="20"/>
              </w:rPr>
              <w:t>01-08</w:t>
            </w:r>
          </w:p>
        </w:tc>
      </w:tr>
      <w:tr w:rsidR="00C723BC" w:rsidRPr="00183F4C" w14:paraId="4675B710" w14:textId="77777777" w:rsidTr="00D74DE9">
        <w:trPr>
          <w:cantSplit/>
          <w:jc w:val="center"/>
        </w:trPr>
        <w:tc>
          <w:tcPr>
            <w:tcW w:w="9576" w:type="dxa"/>
            <w:gridSpan w:val="5"/>
            <w:vAlign w:val="center"/>
          </w:tcPr>
          <w:p w14:paraId="0335EA9A"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7AAAA829" w14:textId="77777777" w:rsidTr="005737ED">
        <w:trPr>
          <w:jc w:val="center"/>
        </w:trPr>
        <w:tc>
          <w:tcPr>
            <w:tcW w:w="1548" w:type="dxa"/>
            <w:vAlign w:val="center"/>
          </w:tcPr>
          <w:p w14:paraId="2CFCC598"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78352E7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B444155"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8B130C" w14:textId="77777777" w:rsidR="00C723BC" w:rsidRPr="00183F4C" w:rsidRDefault="00C723BC" w:rsidP="00D74DE9">
            <w:pPr>
              <w:pStyle w:val="T2"/>
              <w:spacing w:after="0"/>
              <w:ind w:left="0" w:right="0"/>
              <w:jc w:val="left"/>
              <w:rPr>
                <w:sz w:val="20"/>
              </w:rPr>
            </w:pPr>
            <w:r w:rsidRPr="00183F4C">
              <w:rPr>
                <w:sz w:val="20"/>
              </w:rPr>
              <w:t>Phone</w:t>
            </w:r>
          </w:p>
        </w:tc>
        <w:tc>
          <w:tcPr>
            <w:tcW w:w="2520" w:type="dxa"/>
            <w:vAlign w:val="center"/>
          </w:tcPr>
          <w:p w14:paraId="1666A3E8" w14:textId="77777777" w:rsidR="00C723BC" w:rsidRPr="00183F4C" w:rsidRDefault="00C723BC" w:rsidP="00D74DE9">
            <w:pPr>
              <w:pStyle w:val="T2"/>
              <w:spacing w:after="0"/>
              <w:ind w:left="0" w:right="0"/>
              <w:jc w:val="left"/>
              <w:rPr>
                <w:sz w:val="20"/>
              </w:rPr>
            </w:pPr>
            <w:r w:rsidRPr="00183F4C">
              <w:rPr>
                <w:sz w:val="20"/>
              </w:rPr>
              <w:t>email</w:t>
            </w:r>
          </w:p>
        </w:tc>
      </w:tr>
      <w:tr w:rsidR="00C723BC" w:rsidRPr="00183F4C" w14:paraId="148E4A27" w14:textId="77777777" w:rsidTr="005737ED">
        <w:trPr>
          <w:trHeight w:val="359"/>
          <w:jc w:val="center"/>
        </w:trPr>
        <w:tc>
          <w:tcPr>
            <w:tcW w:w="1548" w:type="dxa"/>
            <w:vAlign w:val="center"/>
          </w:tcPr>
          <w:p w14:paraId="00022589" w14:textId="73FE8B9E" w:rsidR="00C723BC" w:rsidRPr="00183F4C" w:rsidRDefault="007D0A2A" w:rsidP="00D74DE9">
            <w:pPr>
              <w:pStyle w:val="T2"/>
              <w:spacing w:after="0"/>
              <w:ind w:left="0" w:right="0"/>
              <w:jc w:val="left"/>
              <w:rPr>
                <w:b w:val="0"/>
                <w:sz w:val="18"/>
                <w:szCs w:val="18"/>
                <w:lang w:eastAsia="ko-KR"/>
              </w:rPr>
            </w:pPr>
            <w:r>
              <w:rPr>
                <w:b w:val="0"/>
                <w:sz w:val="18"/>
                <w:szCs w:val="18"/>
                <w:lang w:eastAsia="ko-KR"/>
              </w:rPr>
              <w:t>Naveen Kakani</w:t>
            </w:r>
          </w:p>
        </w:tc>
        <w:tc>
          <w:tcPr>
            <w:tcW w:w="1440" w:type="dxa"/>
            <w:vAlign w:val="center"/>
          </w:tcPr>
          <w:p w14:paraId="6D6696F7" w14:textId="2907A650" w:rsidR="00C723BC" w:rsidRPr="00183F4C" w:rsidRDefault="00F64FB0" w:rsidP="005737E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3BA634B" w14:textId="29A2E69A" w:rsidR="00C723BC" w:rsidRPr="00183F4C" w:rsidRDefault="00C723BC" w:rsidP="005737ED">
            <w:pPr>
              <w:pStyle w:val="T2"/>
              <w:spacing w:after="0"/>
              <w:ind w:left="0" w:right="0"/>
              <w:jc w:val="left"/>
              <w:rPr>
                <w:b w:val="0"/>
                <w:sz w:val="18"/>
                <w:szCs w:val="18"/>
                <w:lang w:eastAsia="ko-KR"/>
              </w:rPr>
            </w:pPr>
          </w:p>
        </w:tc>
        <w:tc>
          <w:tcPr>
            <w:tcW w:w="1458" w:type="dxa"/>
            <w:vAlign w:val="center"/>
          </w:tcPr>
          <w:p w14:paraId="707FE253" w14:textId="77777777" w:rsidR="00C723BC" w:rsidRPr="00183F4C" w:rsidRDefault="00C723BC" w:rsidP="00D74DE9">
            <w:pPr>
              <w:pStyle w:val="T2"/>
              <w:spacing w:after="0"/>
              <w:ind w:left="0" w:right="0"/>
              <w:jc w:val="left"/>
              <w:rPr>
                <w:b w:val="0"/>
                <w:sz w:val="18"/>
                <w:szCs w:val="18"/>
                <w:lang w:eastAsia="ko-KR"/>
              </w:rPr>
            </w:pPr>
          </w:p>
        </w:tc>
        <w:tc>
          <w:tcPr>
            <w:tcW w:w="2520" w:type="dxa"/>
            <w:vAlign w:val="center"/>
          </w:tcPr>
          <w:p w14:paraId="751A7F30" w14:textId="55CDDCBB" w:rsidR="00C723BC" w:rsidRPr="00183F4C" w:rsidRDefault="003765EC" w:rsidP="005737ED">
            <w:pPr>
              <w:pStyle w:val="T2"/>
              <w:spacing w:after="0"/>
              <w:ind w:left="0" w:right="0"/>
              <w:jc w:val="left"/>
              <w:rPr>
                <w:b w:val="0"/>
                <w:sz w:val="18"/>
                <w:szCs w:val="18"/>
                <w:lang w:eastAsia="ko-KR"/>
              </w:rPr>
            </w:pPr>
            <w:r>
              <w:rPr>
                <w:b w:val="0"/>
                <w:sz w:val="18"/>
                <w:szCs w:val="18"/>
                <w:lang w:eastAsia="ko-KR"/>
              </w:rPr>
              <w:t>nkakani@qca.qualcomm.com</w:t>
            </w:r>
          </w:p>
        </w:tc>
      </w:tr>
      <w:tr w:rsidR="00B10867" w:rsidRPr="00183F4C" w14:paraId="440A6A1F" w14:textId="77777777" w:rsidTr="005737ED">
        <w:trPr>
          <w:trHeight w:val="359"/>
          <w:jc w:val="center"/>
        </w:trPr>
        <w:tc>
          <w:tcPr>
            <w:tcW w:w="1548" w:type="dxa"/>
            <w:vAlign w:val="center"/>
          </w:tcPr>
          <w:p w14:paraId="47670BBF" w14:textId="0C83B77F" w:rsidR="00B10867" w:rsidRDefault="007D0A2A" w:rsidP="00BD0E84">
            <w:pPr>
              <w:pStyle w:val="T2"/>
              <w:spacing w:after="0"/>
              <w:ind w:left="0" w:right="0"/>
              <w:jc w:val="left"/>
              <w:rPr>
                <w:b w:val="0"/>
                <w:sz w:val="18"/>
                <w:szCs w:val="18"/>
                <w:lang w:eastAsia="ko-KR"/>
              </w:rPr>
            </w:pPr>
            <w:r>
              <w:rPr>
                <w:b w:val="0"/>
                <w:sz w:val="18"/>
                <w:szCs w:val="18"/>
                <w:lang w:eastAsia="ko-KR"/>
              </w:rPr>
              <w:t xml:space="preserve">Alfred </w:t>
            </w:r>
            <w:r w:rsidRPr="007D0A2A">
              <w:rPr>
                <w:b w:val="0"/>
                <w:sz w:val="18"/>
                <w:szCs w:val="18"/>
                <w:lang w:eastAsia="ko-KR"/>
              </w:rPr>
              <w:t>Asterjadhi</w:t>
            </w:r>
          </w:p>
        </w:tc>
        <w:tc>
          <w:tcPr>
            <w:tcW w:w="1440" w:type="dxa"/>
            <w:vAlign w:val="center"/>
          </w:tcPr>
          <w:p w14:paraId="573A693D" w14:textId="6C510112" w:rsidR="00B10867" w:rsidRDefault="00B10867" w:rsidP="00222D38">
            <w:pPr>
              <w:pStyle w:val="T2"/>
              <w:spacing w:after="0"/>
              <w:ind w:left="0" w:right="0"/>
              <w:jc w:val="left"/>
              <w:rPr>
                <w:b w:val="0"/>
                <w:sz w:val="18"/>
                <w:szCs w:val="18"/>
                <w:lang w:eastAsia="ko-KR"/>
              </w:rPr>
            </w:pPr>
            <w:r>
              <w:rPr>
                <w:b w:val="0"/>
                <w:sz w:val="18"/>
                <w:szCs w:val="18"/>
                <w:lang w:eastAsia="ko-KR"/>
              </w:rPr>
              <w:t>Qualcomm</w:t>
            </w:r>
            <w:r w:rsidR="000874C3">
              <w:rPr>
                <w:b w:val="0"/>
                <w:sz w:val="18"/>
                <w:szCs w:val="18"/>
                <w:lang w:eastAsia="ko-KR"/>
              </w:rPr>
              <w:t xml:space="preserve"> Inc.</w:t>
            </w:r>
          </w:p>
        </w:tc>
        <w:tc>
          <w:tcPr>
            <w:tcW w:w="2610" w:type="dxa"/>
            <w:vAlign w:val="center"/>
          </w:tcPr>
          <w:p w14:paraId="76E4349B" w14:textId="77777777" w:rsidR="00B10867" w:rsidRPr="002C60AE" w:rsidRDefault="00B10867" w:rsidP="00222D38">
            <w:pPr>
              <w:pStyle w:val="T2"/>
              <w:spacing w:after="0"/>
              <w:ind w:left="0" w:right="0"/>
              <w:jc w:val="left"/>
              <w:rPr>
                <w:b w:val="0"/>
                <w:sz w:val="18"/>
                <w:szCs w:val="18"/>
                <w:lang w:eastAsia="ko-KR"/>
              </w:rPr>
            </w:pPr>
          </w:p>
        </w:tc>
        <w:tc>
          <w:tcPr>
            <w:tcW w:w="1458" w:type="dxa"/>
            <w:vAlign w:val="center"/>
          </w:tcPr>
          <w:p w14:paraId="2BC30A48" w14:textId="77777777" w:rsidR="00B10867" w:rsidRPr="002C60AE" w:rsidRDefault="00B10867" w:rsidP="00222D38">
            <w:pPr>
              <w:pStyle w:val="T2"/>
              <w:spacing w:after="0"/>
              <w:ind w:left="0" w:right="0"/>
              <w:jc w:val="left"/>
              <w:rPr>
                <w:b w:val="0"/>
                <w:sz w:val="18"/>
                <w:szCs w:val="18"/>
                <w:lang w:eastAsia="ko-KR"/>
              </w:rPr>
            </w:pPr>
          </w:p>
        </w:tc>
        <w:tc>
          <w:tcPr>
            <w:tcW w:w="2520" w:type="dxa"/>
            <w:vAlign w:val="center"/>
          </w:tcPr>
          <w:p w14:paraId="746E3C40" w14:textId="141D1463" w:rsidR="00B10867" w:rsidRDefault="00B10867" w:rsidP="00222D38">
            <w:pPr>
              <w:pStyle w:val="T2"/>
              <w:spacing w:after="0"/>
              <w:ind w:left="0" w:right="0"/>
              <w:jc w:val="left"/>
              <w:rPr>
                <w:b w:val="0"/>
                <w:sz w:val="18"/>
                <w:szCs w:val="18"/>
                <w:lang w:eastAsia="ko-KR"/>
              </w:rPr>
            </w:pPr>
            <w:r w:rsidRPr="00B10867">
              <w:rPr>
                <w:b w:val="0"/>
                <w:sz w:val="18"/>
                <w:szCs w:val="18"/>
                <w:lang w:eastAsia="ko-KR"/>
              </w:rPr>
              <w:t>aasterja@qti.qualcomm.com</w:t>
            </w:r>
          </w:p>
        </w:tc>
      </w:tr>
    </w:tbl>
    <w:p w14:paraId="6EF42FF7" w14:textId="77777777" w:rsidR="003E4403" w:rsidRDefault="003E4403">
      <w:pPr>
        <w:pStyle w:val="T1"/>
        <w:spacing w:after="120"/>
        <w:rPr>
          <w:sz w:val="22"/>
        </w:rPr>
      </w:pPr>
    </w:p>
    <w:p w14:paraId="28E102EE" w14:textId="77777777" w:rsidR="003E4403" w:rsidRDefault="003E4403">
      <w:pPr>
        <w:pStyle w:val="T1"/>
        <w:spacing w:after="120"/>
        <w:rPr>
          <w:sz w:val="22"/>
        </w:rPr>
      </w:pPr>
    </w:p>
    <w:p w14:paraId="5B3A2306" w14:textId="77777777" w:rsidR="003E4403" w:rsidRPr="00D204B7" w:rsidRDefault="003E4403" w:rsidP="003E4403">
      <w:pPr>
        <w:pStyle w:val="T1"/>
        <w:spacing w:after="120"/>
        <w:rPr>
          <w:szCs w:val="28"/>
        </w:rPr>
      </w:pPr>
      <w:r w:rsidRPr="00D204B7">
        <w:rPr>
          <w:szCs w:val="28"/>
        </w:rPr>
        <w:t>Abstract</w:t>
      </w:r>
    </w:p>
    <w:p w14:paraId="605E90B8" w14:textId="7A0A261E" w:rsidR="003E4403" w:rsidRPr="00D204B7" w:rsidRDefault="003E4403" w:rsidP="003C1F37">
      <w:pPr>
        <w:jc w:val="both"/>
        <w:rPr>
          <w:color w:val="FF0000"/>
          <w:sz w:val="24"/>
          <w:szCs w:val="24"/>
        </w:rPr>
      </w:pPr>
      <w:r w:rsidRPr="00D204B7">
        <w:rPr>
          <w:sz w:val="24"/>
          <w:szCs w:val="24"/>
          <w:lang w:eastAsia="ko-KR"/>
        </w:rPr>
        <w:t xml:space="preserve">This submission </w:t>
      </w:r>
      <w:r w:rsidR="003C1F37" w:rsidRPr="00D204B7">
        <w:rPr>
          <w:sz w:val="24"/>
          <w:szCs w:val="24"/>
          <w:lang w:eastAsia="ko-KR"/>
        </w:rPr>
        <w:t xml:space="preserve">includes </w:t>
      </w:r>
      <w:r w:rsidR="003765EC">
        <w:rPr>
          <w:sz w:val="24"/>
          <w:szCs w:val="24"/>
          <w:lang w:eastAsia="ko-KR"/>
        </w:rPr>
        <w:t xml:space="preserve">resolutions for the </w:t>
      </w:r>
      <w:r w:rsidR="003C1F37" w:rsidRPr="00D204B7">
        <w:rPr>
          <w:sz w:val="24"/>
          <w:szCs w:val="24"/>
          <w:lang w:eastAsia="ko-KR"/>
        </w:rPr>
        <w:t xml:space="preserve">comments </w:t>
      </w:r>
      <w:r w:rsidR="003765EC">
        <w:rPr>
          <w:sz w:val="24"/>
          <w:szCs w:val="24"/>
          <w:lang w:eastAsia="ko-KR"/>
        </w:rPr>
        <w:t xml:space="preserve">below </w:t>
      </w:r>
      <w:r w:rsidR="003C1F37" w:rsidRPr="00D204B7">
        <w:rPr>
          <w:sz w:val="24"/>
          <w:szCs w:val="24"/>
          <w:lang w:eastAsia="ko-KR"/>
        </w:rPr>
        <w:t xml:space="preserve">and </w:t>
      </w:r>
      <w:r w:rsidRPr="00D204B7">
        <w:rPr>
          <w:sz w:val="24"/>
          <w:szCs w:val="24"/>
          <w:lang w:eastAsia="ko-KR"/>
        </w:rPr>
        <w:t>proposes</w:t>
      </w:r>
      <w:r w:rsidR="003C1F37" w:rsidRPr="00D204B7">
        <w:rPr>
          <w:sz w:val="24"/>
          <w:szCs w:val="24"/>
          <w:lang w:eastAsia="ko-KR"/>
        </w:rPr>
        <w:t xml:space="preserve"> changes to </w:t>
      </w:r>
      <w:r w:rsidRPr="00D204B7">
        <w:rPr>
          <w:sz w:val="24"/>
          <w:szCs w:val="24"/>
          <w:lang w:eastAsia="ko-KR"/>
        </w:rPr>
        <w:t xml:space="preserve">TGah Draft </w:t>
      </w:r>
      <w:r w:rsidR="00F64FB0">
        <w:rPr>
          <w:sz w:val="24"/>
          <w:szCs w:val="24"/>
          <w:lang w:eastAsia="ko-KR"/>
        </w:rPr>
        <w:t>for SB.</w:t>
      </w:r>
      <w:r w:rsidR="00B32DDC" w:rsidRPr="00D204B7">
        <w:rPr>
          <w:sz w:val="24"/>
          <w:szCs w:val="24"/>
          <w:lang w:eastAsia="ko-KR"/>
        </w:rPr>
        <w:t xml:space="preserve"> </w:t>
      </w:r>
    </w:p>
    <w:p w14:paraId="26E2C022" w14:textId="77777777" w:rsidR="003E4403" w:rsidRPr="003765EC" w:rsidRDefault="003E4403" w:rsidP="003E4403">
      <w:pPr>
        <w:jc w:val="both"/>
        <w:rPr>
          <w:sz w:val="24"/>
          <w:szCs w:val="24"/>
        </w:rPr>
      </w:pPr>
    </w:p>
    <w:p w14:paraId="08D60916" w14:textId="77777777" w:rsidR="003765EC" w:rsidRPr="003765EC" w:rsidRDefault="003765EC" w:rsidP="003765EC">
      <w:pPr>
        <w:rPr>
          <w:sz w:val="24"/>
          <w:szCs w:val="24"/>
        </w:rPr>
      </w:pPr>
      <w:r w:rsidRPr="003765EC">
        <w:rPr>
          <w:sz w:val="24"/>
          <w:szCs w:val="24"/>
        </w:rPr>
        <w:t>Resolution for CIDs: 8194, 8195, 8196, 8444, 8448, 8464, 8469, 8470</w:t>
      </w:r>
    </w:p>
    <w:p w14:paraId="63F1914C" w14:textId="77777777" w:rsidR="003E4403" w:rsidRPr="00D204B7" w:rsidRDefault="003E4403" w:rsidP="003E4403">
      <w:pPr>
        <w:jc w:val="both"/>
        <w:rPr>
          <w:sz w:val="24"/>
          <w:szCs w:val="24"/>
        </w:rPr>
      </w:pPr>
    </w:p>
    <w:p w14:paraId="1FA1758C" w14:textId="77777777" w:rsidR="00493F4F" w:rsidRDefault="00493F4F" w:rsidP="003E4403">
      <w:pPr>
        <w:jc w:val="both"/>
      </w:pPr>
    </w:p>
    <w:p w14:paraId="10272CB7" w14:textId="77777777" w:rsidR="003E4403" w:rsidRDefault="003E4403">
      <w:pPr>
        <w:pStyle w:val="T1"/>
        <w:spacing w:after="120"/>
        <w:rPr>
          <w:sz w:val="22"/>
        </w:rPr>
      </w:pPr>
    </w:p>
    <w:p w14:paraId="49EB2C71" w14:textId="77777777" w:rsidR="003E4403" w:rsidRPr="003E4403" w:rsidRDefault="00FB08EB" w:rsidP="00FB08EB">
      <w:pPr>
        <w:pStyle w:val="T1"/>
        <w:tabs>
          <w:tab w:val="left" w:pos="6878"/>
        </w:tabs>
        <w:spacing w:after="120"/>
        <w:jc w:val="left"/>
        <w:rPr>
          <w:b w:val="0"/>
          <w:sz w:val="22"/>
        </w:rPr>
      </w:pPr>
      <w:r>
        <w:rPr>
          <w:b w:val="0"/>
          <w:sz w:val="22"/>
        </w:rPr>
        <w:tab/>
      </w:r>
    </w:p>
    <w:p w14:paraId="5E14BB39" w14:textId="77777777" w:rsidR="005E768D" w:rsidRPr="004D2D75" w:rsidRDefault="005E768D">
      <w:pPr>
        <w:pStyle w:val="T1"/>
        <w:spacing w:after="120"/>
        <w:rPr>
          <w:sz w:val="22"/>
        </w:rPr>
      </w:pPr>
    </w:p>
    <w:p w14:paraId="5C5F612E" w14:textId="77777777" w:rsidR="005E768D" w:rsidRPr="004D2D75" w:rsidRDefault="005E768D" w:rsidP="005E768D"/>
    <w:p w14:paraId="52201BFE" w14:textId="77777777" w:rsidR="005E768D" w:rsidRPr="004D2D75" w:rsidRDefault="005E768D"/>
    <w:p w14:paraId="34DEC9E6" w14:textId="77777777" w:rsidR="00DC0CA2" w:rsidRDefault="005E768D" w:rsidP="00F2637D">
      <w:r w:rsidRPr="004D2D75">
        <w:br w:type="page"/>
      </w:r>
    </w:p>
    <w:p w14:paraId="61F4423C" w14:textId="77777777" w:rsidR="00DC0CA2" w:rsidRDefault="00DC0CA2" w:rsidP="00F2637D"/>
    <w:p w14:paraId="729DF526" w14:textId="77777777" w:rsidR="005A4504" w:rsidRPr="00EE11B8" w:rsidRDefault="005A4504" w:rsidP="005A4504">
      <w:pPr>
        <w:rPr>
          <w:szCs w:val="22"/>
          <w:lang w:eastAsia="ko-KR"/>
        </w:rPr>
      </w:pPr>
    </w:p>
    <w:tbl>
      <w:tblPr>
        <w:tblStyle w:val="TableGrid"/>
        <w:tblW w:w="9935" w:type="dxa"/>
        <w:tblLayout w:type="fixed"/>
        <w:tblLook w:val="04A0" w:firstRow="1" w:lastRow="0" w:firstColumn="1" w:lastColumn="0" w:noHBand="0" w:noVBand="1"/>
      </w:tblPr>
      <w:tblGrid>
        <w:gridCol w:w="782"/>
        <w:gridCol w:w="1104"/>
        <w:gridCol w:w="595"/>
        <w:gridCol w:w="1104"/>
        <w:gridCol w:w="2549"/>
        <w:gridCol w:w="1714"/>
        <w:gridCol w:w="2087"/>
      </w:tblGrid>
      <w:tr w:rsidR="00FF32B1" w:rsidRPr="00D204B7" w14:paraId="66D9A01B" w14:textId="77777777" w:rsidTr="00244372">
        <w:trPr>
          <w:trHeight w:val="392"/>
        </w:trPr>
        <w:tc>
          <w:tcPr>
            <w:tcW w:w="782" w:type="dxa"/>
          </w:tcPr>
          <w:p w14:paraId="30D2AE96"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CID</w:t>
            </w:r>
          </w:p>
        </w:tc>
        <w:tc>
          <w:tcPr>
            <w:tcW w:w="1104" w:type="dxa"/>
          </w:tcPr>
          <w:p w14:paraId="1D808D08"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Commenter</w:t>
            </w:r>
          </w:p>
        </w:tc>
        <w:tc>
          <w:tcPr>
            <w:tcW w:w="595" w:type="dxa"/>
          </w:tcPr>
          <w:p w14:paraId="67AF2BE5"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P.L</w:t>
            </w:r>
          </w:p>
        </w:tc>
        <w:tc>
          <w:tcPr>
            <w:tcW w:w="1104" w:type="dxa"/>
          </w:tcPr>
          <w:p w14:paraId="4633CEAD"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Clause</w:t>
            </w:r>
          </w:p>
        </w:tc>
        <w:tc>
          <w:tcPr>
            <w:tcW w:w="2549" w:type="dxa"/>
          </w:tcPr>
          <w:p w14:paraId="4C8C9E8F"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Comment</w:t>
            </w:r>
          </w:p>
        </w:tc>
        <w:tc>
          <w:tcPr>
            <w:tcW w:w="1714" w:type="dxa"/>
          </w:tcPr>
          <w:p w14:paraId="49ABBA60"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Proposed Change</w:t>
            </w:r>
          </w:p>
        </w:tc>
        <w:tc>
          <w:tcPr>
            <w:tcW w:w="2087" w:type="dxa"/>
          </w:tcPr>
          <w:p w14:paraId="5C19DA54" w14:textId="77777777" w:rsidR="000D4A8F" w:rsidRPr="00D204B7" w:rsidRDefault="000D4A8F" w:rsidP="00D74DE9">
            <w:pPr>
              <w:autoSpaceDE w:val="0"/>
              <w:autoSpaceDN w:val="0"/>
              <w:adjustRightInd w:val="0"/>
              <w:jc w:val="center"/>
              <w:rPr>
                <w:b/>
                <w:bCs/>
                <w:sz w:val="16"/>
                <w:szCs w:val="16"/>
                <w:lang w:eastAsia="ko-KR"/>
              </w:rPr>
            </w:pPr>
            <w:r w:rsidRPr="00D204B7">
              <w:rPr>
                <w:b/>
                <w:bCs/>
                <w:sz w:val="16"/>
                <w:szCs w:val="16"/>
                <w:lang w:eastAsia="ko-KR"/>
              </w:rPr>
              <w:t>Resolution</w:t>
            </w:r>
          </w:p>
        </w:tc>
      </w:tr>
      <w:tr w:rsidR="004E2191" w:rsidRPr="00D204B7" w14:paraId="6D550140" w14:textId="77777777" w:rsidTr="00244372">
        <w:trPr>
          <w:trHeight w:val="1737"/>
        </w:trPr>
        <w:tc>
          <w:tcPr>
            <w:tcW w:w="782" w:type="dxa"/>
          </w:tcPr>
          <w:p w14:paraId="45E0129C" w14:textId="0B56BFC0" w:rsidR="004E2191" w:rsidRPr="00D204B7" w:rsidRDefault="00920383">
            <w:pPr>
              <w:jc w:val="right"/>
              <w:rPr>
                <w:color w:val="000000"/>
                <w:sz w:val="16"/>
                <w:szCs w:val="16"/>
              </w:rPr>
            </w:pPr>
            <w:r>
              <w:rPr>
                <w:color w:val="000000"/>
                <w:sz w:val="16"/>
                <w:szCs w:val="16"/>
              </w:rPr>
              <w:t>8194</w:t>
            </w:r>
          </w:p>
        </w:tc>
        <w:tc>
          <w:tcPr>
            <w:tcW w:w="1104" w:type="dxa"/>
          </w:tcPr>
          <w:p w14:paraId="4036CC9A" w14:textId="23F94F15" w:rsidR="004E2191" w:rsidRPr="00D204B7" w:rsidRDefault="00920383">
            <w:pPr>
              <w:rPr>
                <w:color w:val="000000"/>
                <w:sz w:val="16"/>
                <w:szCs w:val="16"/>
              </w:rPr>
            </w:pPr>
            <w:r w:rsidRPr="00920383">
              <w:rPr>
                <w:color w:val="000000"/>
                <w:sz w:val="16"/>
                <w:szCs w:val="16"/>
              </w:rPr>
              <w:t>ZHENG, SHOUKANG</w:t>
            </w:r>
          </w:p>
        </w:tc>
        <w:tc>
          <w:tcPr>
            <w:tcW w:w="595" w:type="dxa"/>
          </w:tcPr>
          <w:p w14:paraId="1154194C" w14:textId="11FF687B" w:rsidR="004E2191" w:rsidRPr="00D204B7" w:rsidRDefault="00920383">
            <w:pPr>
              <w:rPr>
                <w:color w:val="000000"/>
                <w:sz w:val="16"/>
                <w:szCs w:val="16"/>
              </w:rPr>
            </w:pPr>
            <w:r>
              <w:rPr>
                <w:color w:val="000000"/>
                <w:sz w:val="16"/>
                <w:szCs w:val="16"/>
              </w:rPr>
              <w:t>241.20</w:t>
            </w:r>
          </w:p>
        </w:tc>
        <w:tc>
          <w:tcPr>
            <w:tcW w:w="1104" w:type="dxa"/>
          </w:tcPr>
          <w:p w14:paraId="625B3AEB" w14:textId="215E6C52" w:rsidR="004E2191" w:rsidRPr="00D204B7" w:rsidRDefault="00920383">
            <w:pPr>
              <w:rPr>
                <w:color w:val="000000"/>
                <w:sz w:val="16"/>
                <w:szCs w:val="16"/>
              </w:rPr>
            </w:pPr>
            <w:r w:rsidRPr="00920383">
              <w:rPr>
                <w:color w:val="000000"/>
                <w:sz w:val="16"/>
                <w:szCs w:val="16"/>
              </w:rPr>
              <w:t>9.3.2.4a.1</w:t>
            </w:r>
          </w:p>
        </w:tc>
        <w:tc>
          <w:tcPr>
            <w:tcW w:w="2549" w:type="dxa"/>
          </w:tcPr>
          <w:p w14:paraId="60F0400E" w14:textId="4C047C67" w:rsidR="004E2191" w:rsidRPr="00D204B7" w:rsidRDefault="00920383" w:rsidP="004C13EF">
            <w:pPr>
              <w:rPr>
                <w:color w:val="000000"/>
                <w:sz w:val="16"/>
                <w:szCs w:val="16"/>
              </w:rPr>
            </w:pPr>
            <w:r w:rsidRPr="00920383">
              <w:rPr>
                <w:color w:val="000000"/>
                <w:sz w:val="16"/>
                <w:szCs w:val="16"/>
              </w:rPr>
              <w:t>For the case that the received PPDU is a non-member PPDU and contains a Duration field for NAV setting but the Duration field value is smaller than the RID counter at the end of the PSDU that is carried in the received PPDU, the text is not correct for the case that the NAV counter is smaller than the RID counter.</w:t>
            </w:r>
          </w:p>
        </w:tc>
        <w:tc>
          <w:tcPr>
            <w:tcW w:w="1714" w:type="dxa"/>
          </w:tcPr>
          <w:p w14:paraId="6C379101" w14:textId="77777777" w:rsidR="00920383" w:rsidRPr="00920383" w:rsidRDefault="00920383" w:rsidP="00920383">
            <w:pPr>
              <w:rPr>
                <w:color w:val="FF0000"/>
                <w:sz w:val="16"/>
                <w:szCs w:val="16"/>
              </w:rPr>
            </w:pPr>
            <w:r w:rsidRPr="00920383">
              <w:rPr>
                <w:color w:val="FF0000"/>
                <w:sz w:val="16"/>
                <w:szCs w:val="16"/>
              </w:rPr>
              <w:t>If the RID counter is reloaded or updated upon the receipt of a valid S1G PPDU, then the RID counter shall start to count down at the end of the received S1G PPDU. The RID counter shall be reset for the following cases:</w:t>
            </w:r>
          </w:p>
          <w:p w14:paraId="2AC2C136" w14:textId="77777777" w:rsidR="00920383" w:rsidRPr="00920383" w:rsidRDefault="00920383" w:rsidP="00920383">
            <w:pPr>
              <w:rPr>
                <w:color w:val="FF0000"/>
                <w:sz w:val="16"/>
                <w:szCs w:val="16"/>
              </w:rPr>
            </w:pPr>
            <w:r w:rsidRPr="00920383">
              <w:rPr>
                <w:color w:val="FF0000"/>
                <w:sz w:val="16"/>
                <w:szCs w:val="16"/>
              </w:rPr>
              <w:t>1. the PPDU is a member PPDU and contains a valid nonzero Duration field</w:t>
            </w:r>
          </w:p>
          <w:p w14:paraId="0C7AF330" w14:textId="77777777" w:rsidR="00920383" w:rsidRPr="00920383" w:rsidRDefault="00920383" w:rsidP="00920383">
            <w:pPr>
              <w:rPr>
                <w:color w:val="FF0000"/>
                <w:sz w:val="16"/>
                <w:szCs w:val="16"/>
              </w:rPr>
            </w:pPr>
            <w:r w:rsidRPr="00920383">
              <w:rPr>
                <w:color w:val="FF0000"/>
                <w:sz w:val="16"/>
                <w:szCs w:val="16"/>
              </w:rPr>
              <w:t>2. the PPDU is a nonmember PPDU from which the RID counter is obtained and contains a valid nonzero Duration filed</w:t>
            </w:r>
          </w:p>
          <w:p w14:paraId="63D01F40" w14:textId="77777777" w:rsidR="00920383" w:rsidRPr="00920383" w:rsidRDefault="00920383" w:rsidP="00920383">
            <w:pPr>
              <w:rPr>
                <w:color w:val="FF0000"/>
                <w:sz w:val="16"/>
                <w:szCs w:val="16"/>
              </w:rPr>
            </w:pPr>
            <w:r w:rsidRPr="00920383">
              <w:rPr>
                <w:color w:val="FF0000"/>
                <w:sz w:val="16"/>
                <w:szCs w:val="16"/>
              </w:rPr>
              <w:t>3. the PPDU is a nonmember PPDU from which the RID counter is not obtained and contains a valid nonzero Duration field that is larger than the RID counter at the time that is going to count down</w:t>
            </w:r>
          </w:p>
          <w:p w14:paraId="2D790E17" w14:textId="424BB789" w:rsidR="004C13EF" w:rsidRPr="00616817" w:rsidRDefault="00920383" w:rsidP="00920383">
            <w:pPr>
              <w:rPr>
                <w:color w:val="FF0000"/>
                <w:sz w:val="16"/>
                <w:szCs w:val="16"/>
              </w:rPr>
            </w:pPr>
            <w:r w:rsidRPr="00920383">
              <w:rPr>
                <w:color w:val="FF0000"/>
                <w:sz w:val="16"/>
                <w:szCs w:val="16"/>
              </w:rPr>
              <w:t>4. the PPDU is intended to the S1G STA</w:t>
            </w:r>
          </w:p>
          <w:p w14:paraId="7BD64E7F" w14:textId="0F889F9A" w:rsidR="004E2191" w:rsidRPr="00D204B7" w:rsidRDefault="004E2191">
            <w:pPr>
              <w:rPr>
                <w:color w:val="000000"/>
                <w:sz w:val="16"/>
                <w:szCs w:val="16"/>
              </w:rPr>
            </w:pPr>
          </w:p>
        </w:tc>
        <w:tc>
          <w:tcPr>
            <w:tcW w:w="2087" w:type="dxa"/>
          </w:tcPr>
          <w:p w14:paraId="3F364094" w14:textId="77777777" w:rsidR="00920383" w:rsidRDefault="00920383" w:rsidP="004C13EF">
            <w:pPr>
              <w:rPr>
                <w:rStyle w:val="SC10323600"/>
                <w:sz w:val="16"/>
                <w:szCs w:val="16"/>
              </w:rPr>
            </w:pPr>
            <w:r>
              <w:rPr>
                <w:rStyle w:val="SC10323600"/>
                <w:sz w:val="16"/>
                <w:szCs w:val="16"/>
              </w:rPr>
              <w:t>Reject.</w:t>
            </w:r>
          </w:p>
          <w:p w14:paraId="173048F6" w14:textId="77777777" w:rsidR="00920383" w:rsidRDefault="00920383" w:rsidP="004C13EF">
            <w:pPr>
              <w:rPr>
                <w:rStyle w:val="SC10323600"/>
                <w:sz w:val="16"/>
                <w:szCs w:val="16"/>
              </w:rPr>
            </w:pPr>
          </w:p>
          <w:p w14:paraId="195858D7" w14:textId="4D833FE0" w:rsidR="002E7548" w:rsidRPr="00920383" w:rsidRDefault="00920383" w:rsidP="004C13EF">
            <w:pPr>
              <w:rPr>
                <w:b/>
                <w:bCs/>
                <w:color w:val="000000"/>
                <w:sz w:val="16"/>
                <w:szCs w:val="16"/>
              </w:rPr>
            </w:pPr>
            <w:r w:rsidRPr="00920383">
              <w:rPr>
                <w:rStyle w:val="SC10323600"/>
                <w:sz w:val="16"/>
                <w:szCs w:val="16"/>
              </w:rPr>
              <w:t>The text refers to updating the NAV and if RID counter will start or not. There is nothing that is updating RID. The relevant text is on Page 240, line 50. “An S1G STA that receives a member PPDU shall reset and update its RID counter as defined in 9.3.2.4a.2 (RID update) when the PHY-RX-START.indication primitive corresponding to that PPDU is received. An S1G STA that receives a nonmember PPDU shall not reset the RID counter and shall update the RID counter, i.e., set it to a new value (as defined in 9.3.2.4a.2 (RID update)) that is not less than the value that the RID counter will have at the instant of time that corresponds to the end of the received PPDU. “</w:t>
            </w:r>
          </w:p>
        </w:tc>
      </w:tr>
    </w:tbl>
    <w:p w14:paraId="53535E19" w14:textId="1F583D31" w:rsidR="00410704" w:rsidRPr="004E2191" w:rsidRDefault="00410704" w:rsidP="00410704">
      <w:pPr>
        <w:pStyle w:val="Default"/>
        <w:rPr>
          <w:sz w:val="20"/>
        </w:rPr>
      </w:pPr>
    </w:p>
    <w:p w14:paraId="6162CF00" w14:textId="5E2326EF" w:rsidR="00AE6F01" w:rsidRPr="004C13EF" w:rsidRDefault="00F56CE8" w:rsidP="004C13EF">
      <w:pPr>
        <w:pStyle w:val="Default"/>
        <w:rPr>
          <w:b/>
        </w:rPr>
      </w:pPr>
      <w:r>
        <w:rPr>
          <w:b/>
        </w:rPr>
        <w:t>Discussion</w:t>
      </w:r>
      <w:r w:rsidRPr="00F56CE8">
        <w:rPr>
          <w:b/>
        </w:rPr>
        <w:t>:</w:t>
      </w:r>
      <w:r w:rsidR="004C13EF">
        <w:rPr>
          <w:b/>
        </w:rPr>
        <w:t xml:space="preserve"> </w:t>
      </w:r>
      <w:r w:rsidR="00244372">
        <w:rPr>
          <w:b/>
        </w:rPr>
        <w:t>None.</w:t>
      </w:r>
    </w:p>
    <w:p w14:paraId="26AC26EA" w14:textId="77777777" w:rsidR="00AE6F01" w:rsidRDefault="00AE6F01" w:rsidP="00E44A96">
      <w:pPr>
        <w:jc w:val="both"/>
        <w:rPr>
          <w:rFonts w:ascii="Calibri" w:hAnsi="Calibri"/>
          <w:color w:val="000000"/>
          <w:sz w:val="24"/>
          <w:szCs w:val="24"/>
        </w:rPr>
      </w:pPr>
    </w:p>
    <w:tbl>
      <w:tblPr>
        <w:tblStyle w:val="TableGrid"/>
        <w:tblW w:w="10034" w:type="dxa"/>
        <w:tblLayout w:type="fixed"/>
        <w:tblLook w:val="04A0" w:firstRow="1" w:lastRow="0" w:firstColumn="1" w:lastColumn="0" w:noHBand="0" w:noVBand="1"/>
      </w:tblPr>
      <w:tblGrid>
        <w:gridCol w:w="1047"/>
        <w:gridCol w:w="858"/>
        <w:gridCol w:w="858"/>
        <w:gridCol w:w="1035"/>
        <w:gridCol w:w="2610"/>
        <w:gridCol w:w="2070"/>
        <w:gridCol w:w="1556"/>
      </w:tblGrid>
      <w:tr w:rsidR="00AE6F01" w:rsidRPr="00D204B7" w14:paraId="091BA14A" w14:textId="77777777" w:rsidTr="00C8176F">
        <w:trPr>
          <w:trHeight w:val="373"/>
        </w:trPr>
        <w:tc>
          <w:tcPr>
            <w:tcW w:w="1047" w:type="dxa"/>
          </w:tcPr>
          <w:p w14:paraId="355DB8C6"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67864EA2"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26837A5D"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1CFA0FA3"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4036AF7D"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0CF72EFF"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Proposed Change</w:t>
            </w:r>
          </w:p>
        </w:tc>
        <w:tc>
          <w:tcPr>
            <w:tcW w:w="1556" w:type="dxa"/>
          </w:tcPr>
          <w:p w14:paraId="01D2A549" w14:textId="77777777" w:rsidR="00AE6F01" w:rsidRPr="00D204B7" w:rsidRDefault="00AE6F01" w:rsidP="00BC5BF4">
            <w:pPr>
              <w:autoSpaceDE w:val="0"/>
              <w:autoSpaceDN w:val="0"/>
              <w:adjustRightInd w:val="0"/>
              <w:jc w:val="center"/>
              <w:rPr>
                <w:b/>
                <w:bCs/>
                <w:sz w:val="16"/>
                <w:szCs w:val="16"/>
                <w:lang w:eastAsia="ko-KR"/>
              </w:rPr>
            </w:pPr>
            <w:r w:rsidRPr="00D204B7">
              <w:rPr>
                <w:b/>
                <w:bCs/>
                <w:sz w:val="16"/>
                <w:szCs w:val="16"/>
                <w:lang w:eastAsia="ko-KR"/>
              </w:rPr>
              <w:t>Resolution</w:t>
            </w:r>
          </w:p>
        </w:tc>
      </w:tr>
      <w:tr w:rsidR="00AE6F01" w:rsidRPr="00292483" w14:paraId="65E51A29" w14:textId="77777777" w:rsidTr="00C8176F">
        <w:trPr>
          <w:trHeight w:val="1683"/>
        </w:trPr>
        <w:tc>
          <w:tcPr>
            <w:tcW w:w="1047" w:type="dxa"/>
          </w:tcPr>
          <w:p w14:paraId="0407371B" w14:textId="69292D71" w:rsidR="00292483" w:rsidRPr="00A37B98" w:rsidRDefault="00920383" w:rsidP="002A71D9">
            <w:pPr>
              <w:rPr>
                <w:color w:val="000000"/>
                <w:sz w:val="16"/>
                <w:szCs w:val="16"/>
              </w:rPr>
            </w:pPr>
            <w:r>
              <w:rPr>
                <w:color w:val="000000"/>
                <w:sz w:val="16"/>
                <w:szCs w:val="16"/>
              </w:rPr>
              <w:t>8195</w:t>
            </w:r>
          </w:p>
        </w:tc>
        <w:tc>
          <w:tcPr>
            <w:tcW w:w="858" w:type="dxa"/>
          </w:tcPr>
          <w:p w14:paraId="23D9B927" w14:textId="58E2A0FD" w:rsidR="00AE6F01" w:rsidRPr="00A37B98" w:rsidRDefault="00920383" w:rsidP="00BC5BF4">
            <w:pPr>
              <w:rPr>
                <w:strike/>
                <w:color w:val="000000"/>
                <w:sz w:val="16"/>
                <w:szCs w:val="16"/>
              </w:rPr>
            </w:pPr>
            <w:r w:rsidRPr="00920383">
              <w:rPr>
                <w:color w:val="000000"/>
                <w:sz w:val="16"/>
                <w:szCs w:val="16"/>
              </w:rPr>
              <w:t>ZHENG, SHOUKANG</w:t>
            </w:r>
          </w:p>
        </w:tc>
        <w:tc>
          <w:tcPr>
            <w:tcW w:w="858" w:type="dxa"/>
          </w:tcPr>
          <w:p w14:paraId="72A0DA25" w14:textId="7EB618C4" w:rsidR="00292483" w:rsidRPr="00A37B98" w:rsidRDefault="00920383" w:rsidP="00BC5BF4">
            <w:pPr>
              <w:rPr>
                <w:color w:val="000000"/>
                <w:sz w:val="16"/>
                <w:szCs w:val="16"/>
              </w:rPr>
            </w:pPr>
            <w:r>
              <w:rPr>
                <w:color w:val="000000"/>
                <w:sz w:val="16"/>
                <w:szCs w:val="16"/>
              </w:rPr>
              <w:t>240,55</w:t>
            </w:r>
          </w:p>
        </w:tc>
        <w:tc>
          <w:tcPr>
            <w:tcW w:w="1035" w:type="dxa"/>
          </w:tcPr>
          <w:p w14:paraId="1FDDB39B" w14:textId="5E0F4F21" w:rsidR="00292483" w:rsidRPr="00A37B98" w:rsidRDefault="00920383" w:rsidP="00BC5BF4">
            <w:pPr>
              <w:rPr>
                <w:color w:val="000000"/>
                <w:sz w:val="16"/>
                <w:szCs w:val="16"/>
              </w:rPr>
            </w:pPr>
            <w:r w:rsidRPr="00920383">
              <w:rPr>
                <w:color w:val="000000"/>
                <w:sz w:val="16"/>
                <w:szCs w:val="16"/>
              </w:rPr>
              <w:t>9.3.2.4a.1</w:t>
            </w:r>
          </w:p>
        </w:tc>
        <w:tc>
          <w:tcPr>
            <w:tcW w:w="2610" w:type="dxa"/>
          </w:tcPr>
          <w:p w14:paraId="17400605" w14:textId="008AA864" w:rsidR="00AE6F01" w:rsidRPr="00A37B98" w:rsidRDefault="00920383" w:rsidP="00BC5BF4">
            <w:pPr>
              <w:rPr>
                <w:color w:val="000000"/>
                <w:sz w:val="16"/>
                <w:szCs w:val="16"/>
              </w:rPr>
            </w:pPr>
            <w:r w:rsidRPr="00920383">
              <w:rPr>
                <w:color w:val="000000"/>
                <w:sz w:val="16"/>
                <w:szCs w:val="16"/>
              </w:rPr>
              <w:t>The text of "will have at the instant of time that corresponds to the end of the received PPDU" is not appropriate as it implies the old RID counter still continues to count down, which is not necessary. The RID counter value to be compared can be obtained upon the receipt of PHY-RXSTART.indication primitive.</w:t>
            </w:r>
          </w:p>
        </w:tc>
        <w:tc>
          <w:tcPr>
            <w:tcW w:w="2070" w:type="dxa"/>
          </w:tcPr>
          <w:p w14:paraId="0E33B6F3" w14:textId="45055E3F" w:rsidR="00292483" w:rsidRPr="00A37B98" w:rsidRDefault="00920383" w:rsidP="00BC5BF4">
            <w:pPr>
              <w:rPr>
                <w:strike/>
                <w:color w:val="000000"/>
                <w:sz w:val="16"/>
                <w:szCs w:val="16"/>
              </w:rPr>
            </w:pPr>
            <w:r w:rsidRPr="00920383">
              <w:rPr>
                <w:color w:val="FF0000"/>
                <w:sz w:val="16"/>
                <w:szCs w:val="16"/>
              </w:rPr>
              <w:t xml:space="preserve">Revise "will have at the instant of time that corresponds to the end of the received PPDU" to 'had at the time of the receipt of the PHY-RXSTART.indication primitive minus the difference between the current time and that time" </w:t>
            </w:r>
          </w:p>
        </w:tc>
        <w:tc>
          <w:tcPr>
            <w:tcW w:w="1556" w:type="dxa"/>
          </w:tcPr>
          <w:p w14:paraId="420E449E" w14:textId="77777777" w:rsidR="00920383" w:rsidRDefault="00920383" w:rsidP="00920383">
            <w:pPr>
              <w:rPr>
                <w:rStyle w:val="SC10323600"/>
                <w:sz w:val="16"/>
                <w:szCs w:val="16"/>
              </w:rPr>
            </w:pPr>
            <w:r>
              <w:rPr>
                <w:rStyle w:val="SC10323600"/>
                <w:sz w:val="16"/>
                <w:szCs w:val="16"/>
              </w:rPr>
              <w:t>Reject.</w:t>
            </w:r>
          </w:p>
          <w:p w14:paraId="23E61EA3" w14:textId="265FBE24" w:rsidR="00920383" w:rsidRPr="00920383" w:rsidRDefault="00920383" w:rsidP="00920383">
            <w:pPr>
              <w:rPr>
                <w:rStyle w:val="SC10323600"/>
                <w:sz w:val="16"/>
                <w:szCs w:val="16"/>
              </w:rPr>
            </w:pPr>
            <w:r w:rsidRPr="00920383">
              <w:rPr>
                <w:rStyle w:val="SC10323600"/>
                <w:sz w:val="16"/>
                <w:szCs w:val="16"/>
              </w:rPr>
              <w:t>The received RID value will be used only if it will be more than the current RID value and hence current text captures the intended behavior.</w:t>
            </w:r>
          </w:p>
          <w:p w14:paraId="443565BE" w14:textId="0A555DC4" w:rsidR="00AE6F01" w:rsidRPr="00A37B98" w:rsidRDefault="00AE6F01" w:rsidP="00292483">
            <w:pPr>
              <w:rPr>
                <w:color w:val="000000"/>
                <w:sz w:val="16"/>
                <w:szCs w:val="16"/>
              </w:rPr>
            </w:pPr>
          </w:p>
        </w:tc>
      </w:tr>
    </w:tbl>
    <w:p w14:paraId="7F757009" w14:textId="386B3D90" w:rsidR="007D347E" w:rsidRDefault="007D347E" w:rsidP="000E3C11">
      <w:pPr>
        <w:spacing w:line="360" w:lineRule="auto"/>
        <w:jc w:val="both"/>
        <w:rPr>
          <w:strike/>
          <w:sz w:val="20"/>
          <w:szCs w:val="24"/>
        </w:rPr>
      </w:pPr>
    </w:p>
    <w:p w14:paraId="27784487" w14:textId="77777777" w:rsidR="00920383" w:rsidRPr="004C13EF" w:rsidRDefault="00920383" w:rsidP="00920383">
      <w:pPr>
        <w:pStyle w:val="Default"/>
        <w:rPr>
          <w:b/>
        </w:rPr>
      </w:pPr>
      <w:r>
        <w:rPr>
          <w:b/>
        </w:rPr>
        <w:t>Discussion</w:t>
      </w:r>
      <w:r w:rsidRPr="00F56CE8">
        <w:rPr>
          <w:b/>
        </w:rPr>
        <w:t>:</w:t>
      </w:r>
      <w:r>
        <w:rPr>
          <w:b/>
        </w:rPr>
        <w:t xml:space="preserve"> None.</w:t>
      </w:r>
    </w:p>
    <w:p w14:paraId="4BE9C0A4" w14:textId="77777777" w:rsidR="00920383" w:rsidRDefault="00920383" w:rsidP="00920383">
      <w:pPr>
        <w:jc w:val="both"/>
        <w:rPr>
          <w:rFonts w:ascii="Calibri" w:hAnsi="Calibri"/>
          <w:color w:val="000000"/>
          <w:sz w:val="24"/>
          <w:szCs w:val="24"/>
        </w:rPr>
      </w:pPr>
    </w:p>
    <w:tbl>
      <w:tblPr>
        <w:tblStyle w:val="TableGrid"/>
        <w:tblW w:w="10034" w:type="dxa"/>
        <w:tblLayout w:type="fixed"/>
        <w:tblLook w:val="04A0" w:firstRow="1" w:lastRow="0" w:firstColumn="1" w:lastColumn="0" w:noHBand="0" w:noVBand="1"/>
      </w:tblPr>
      <w:tblGrid>
        <w:gridCol w:w="1047"/>
        <w:gridCol w:w="858"/>
        <w:gridCol w:w="858"/>
        <w:gridCol w:w="1035"/>
        <w:gridCol w:w="2610"/>
        <w:gridCol w:w="2070"/>
        <w:gridCol w:w="1556"/>
      </w:tblGrid>
      <w:tr w:rsidR="00920383" w:rsidRPr="00D204B7" w14:paraId="3779BB89" w14:textId="77777777" w:rsidTr="00643287">
        <w:trPr>
          <w:trHeight w:val="373"/>
        </w:trPr>
        <w:tc>
          <w:tcPr>
            <w:tcW w:w="1047" w:type="dxa"/>
          </w:tcPr>
          <w:p w14:paraId="619025FF"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720EA058"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362A41B6"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0E27B2C5"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2401E644"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77EB891B"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1556" w:type="dxa"/>
          </w:tcPr>
          <w:p w14:paraId="21F7B8D0" w14:textId="77777777" w:rsidR="00920383" w:rsidRPr="00D204B7" w:rsidRDefault="00920383" w:rsidP="00643287">
            <w:pPr>
              <w:autoSpaceDE w:val="0"/>
              <w:autoSpaceDN w:val="0"/>
              <w:adjustRightInd w:val="0"/>
              <w:jc w:val="center"/>
              <w:rPr>
                <w:b/>
                <w:bCs/>
                <w:sz w:val="16"/>
                <w:szCs w:val="16"/>
                <w:lang w:eastAsia="ko-KR"/>
              </w:rPr>
            </w:pPr>
            <w:r w:rsidRPr="00D204B7">
              <w:rPr>
                <w:b/>
                <w:bCs/>
                <w:sz w:val="16"/>
                <w:szCs w:val="16"/>
                <w:lang w:eastAsia="ko-KR"/>
              </w:rPr>
              <w:t>Resolution</w:t>
            </w:r>
          </w:p>
        </w:tc>
      </w:tr>
      <w:tr w:rsidR="00920383" w:rsidRPr="00292483" w14:paraId="2A46B84F" w14:textId="77777777" w:rsidTr="00643287">
        <w:trPr>
          <w:trHeight w:val="1683"/>
        </w:trPr>
        <w:tc>
          <w:tcPr>
            <w:tcW w:w="1047" w:type="dxa"/>
          </w:tcPr>
          <w:p w14:paraId="541C448B" w14:textId="49A3E9D1" w:rsidR="00920383" w:rsidRPr="00A37B98" w:rsidRDefault="00920383" w:rsidP="00643287">
            <w:pPr>
              <w:rPr>
                <w:color w:val="000000"/>
                <w:sz w:val="16"/>
                <w:szCs w:val="16"/>
              </w:rPr>
            </w:pPr>
            <w:r>
              <w:rPr>
                <w:color w:val="000000"/>
                <w:sz w:val="16"/>
                <w:szCs w:val="16"/>
              </w:rPr>
              <w:t>8196</w:t>
            </w:r>
          </w:p>
        </w:tc>
        <w:tc>
          <w:tcPr>
            <w:tcW w:w="858" w:type="dxa"/>
          </w:tcPr>
          <w:p w14:paraId="5B7E772A" w14:textId="77777777" w:rsidR="00920383" w:rsidRPr="00A37B98" w:rsidRDefault="00920383" w:rsidP="00643287">
            <w:pPr>
              <w:rPr>
                <w:strike/>
                <w:color w:val="000000"/>
                <w:sz w:val="16"/>
                <w:szCs w:val="16"/>
              </w:rPr>
            </w:pPr>
            <w:r w:rsidRPr="00920383">
              <w:rPr>
                <w:color w:val="000000"/>
                <w:sz w:val="16"/>
                <w:szCs w:val="16"/>
              </w:rPr>
              <w:t>ZHENG, SHOUKANG</w:t>
            </w:r>
          </w:p>
        </w:tc>
        <w:tc>
          <w:tcPr>
            <w:tcW w:w="858" w:type="dxa"/>
          </w:tcPr>
          <w:p w14:paraId="1DAE6AF7" w14:textId="6F42EC77" w:rsidR="00920383" w:rsidRPr="00A37B98" w:rsidRDefault="00920383" w:rsidP="00643287">
            <w:pPr>
              <w:rPr>
                <w:color w:val="000000"/>
                <w:sz w:val="16"/>
                <w:szCs w:val="16"/>
              </w:rPr>
            </w:pPr>
            <w:r>
              <w:rPr>
                <w:color w:val="000000"/>
                <w:sz w:val="16"/>
                <w:szCs w:val="16"/>
              </w:rPr>
              <w:t>241,14</w:t>
            </w:r>
          </w:p>
        </w:tc>
        <w:tc>
          <w:tcPr>
            <w:tcW w:w="1035" w:type="dxa"/>
          </w:tcPr>
          <w:p w14:paraId="474A3E00" w14:textId="77777777" w:rsidR="00920383" w:rsidRPr="00A37B98" w:rsidRDefault="00920383" w:rsidP="00643287">
            <w:pPr>
              <w:rPr>
                <w:color w:val="000000"/>
                <w:sz w:val="16"/>
                <w:szCs w:val="16"/>
              </w:rPr>
            </w:pPr>
            <w:r w:rsidRPr="00920383">
              <w:rPr>
                <w:color w:val="000000"/>
                <w:sz w:val="16"/>
                <w:szCs w:val="16"/>
              </w:rPr>
              <w:t>9.3.2.4a.1</w:t>
            </w:r>
          </w:p>
        </w:tc>
        <w:tc>
          <w:tcPr>
            <w:tcW w:w="2610" w:type="dxa"/>
          </w:tcPr>
          <w:p w14:paraId="06396FA7" w14:textId="7E2840CA" w:rsidR="00920383" w:rsidRPr="00A37B98" w:rsidRDefault="00920383" w:rsidP="00643287">
            <w:pPr>
              <w:rPr>
                <w:color w:val="000000"/>
                <w:sz w:val="16"/>
                <w:szCs w:val="16"/>
              </w:rPr>
            </w:pPr>
            <w:r w:rsidRPr="00920383">
              <w:rPr>
                <w:color w:val="000000"/>
                <w:sz w:val="16"/>
                <w:szCs w:val="16"/>
              </w:rPr>
              <w:t xml:space="preserve">The text of "then the STA shall reload the RID counter to the value that the RID counter had at the time of the receipt of the PHY-RXSTART.indication primitive corresponding to this PPDU minus the difference between the current time and that time" is not appropriate for the case of reclassifying member PPDU into nonmember PPDU based on a valid MAC header. When </w:t>
            </w:r>
            <w:r w:rsidRPr="00920383">
              <w:rPr>
                <w:color w:val="000000"/>
                <w:sz w:val="16"/>
                <w:szCs w:val="16"/>
              </w:rPr>
              <w:lastRenderedPageBreak/>
              <w:t>classifying member PPDU, the RID count is reset, however, the RID count (either the old or new RID count) shall be recorded after later use when the member PPDU is further reclassified as non-member PPDU at the end of the received PPDU.</w:t>
            </w:r>
          </w:p>
        </w:tc>
        <w:tc>
          <w:tcPr>
            <w:tcW w:w="2070" w:type="dxa"/>
          </w:tcPr>
          <w:p w14:paraId="1574F4C3" w14:textId="77777777" w:rsidR="00920383" w:rsidRPr="00920383" w:rsidRDefault="00920383" w:rsidP="00920383">
            <w:pPr>
              <w:rPr>
                <w:color w:val="FF0000"/>
                <w:sz w:val="16"/>
                <w:szCs w:val="16"/>
              </w:rPr>
            </w:pPr>
            <w:r w:rsidRPr="00920383">
              <w:rPr>
                <w:color w:val="FF0000"/>
                <w:sz w:val="16"/>
                <w:szCs w:val="16"/>
              </w:rPr>
              <w:lastRenderedPageBreak/>
              <w:t>Revise to "the lager of :</w:t>
            </w:r>
          </w:p>
          <w:p w14:paraId="42DEA539" w14:textId="77777777" w:rsidR="00920383" w:rsidRPr="00920383" w:rsidRDefault="00920383" w:rsidP="00920383">
            <w:pPr>
              <w:rPr>
                <w:color w:val="FF0000"/>
                <w:sz w:val="16"/>
                <w:szCs w:val="16"/>
              </w:rPr>
            </w:pPr>
            <w:r w:rsidRPr="00920383">
              <w:rPr>
                <w:color w:val="FF0000"/>
                <w:sz w:val="16"/>
                <w:szCs w:val="16"/>
              </w:rPr>
              <w:t>- the value that the RID counter had at the time of the receipt of the PHY-RXSTART.indication primitive corresponding to this PPDU minus the difference between the current time and that time</w:t>
            </w:r>
          </w:p>
          <w:p w14:paraId="647D117D" w14:textId="72754103" w:rsidR="00920383" w:rsidRPr="00A37B98" w:rsidRDefault="00920383" w:rsidP="00920383">
            <w:pPr>
              <w:rPr>
                <w:strike/>
                <w:color w:val="000000"/>
                <w:sz w:val="16"/>
                <w:szCs w:val="16"/>
              </w:rPr>
            </w:pPr>
            <w:r w:rsidRPr="00920383">
              <w:rPr>
                <w:color w:val="FF0000"/>
                <w:sz w:val="16"/>
                <w:szCs w:val="16"/>
              </w:rPr>
              <w:lastRenderedPageBreak/>
              <w:t>- the value of the RID counter as defined in 9.3.2.4a.2"</w:t>
            </w:r>
          </w:p>
        </w:tc>
        <w:tc>
          <w:tcPr>
            <w:tcW w:w="1556" w:type="dxa"/>
          </w:tcPr>
          <w:p w14:paraId="2D14CE9D" w14:textId="77777777" w:rsidR="00920383" w:rsidRDefault="00920383" w:rsidP="00643287">
            <w:pPr>
              <w:rPr>
                <w:rStyle w:val="SC10323600"/>
                <w:sz w:val="16"/>
                <w:szCs w:val="16"/>
              </w:rPr>
            </w:pPr>
            <w:r>
              <w:rPr>
                <w:rStyle w:val="SC10323600"/>
                <w:sz w:val="16"/>
                <w:szCs w:val="16"/>
              </w:rPr>
              <w:lastRenderedPageBreak/>
              <w:t>Reject.</w:t>
            </w:r>
          </w:p>
          <w:p w14:paraId="48036FC7" w14:textId="0841BD05" w:rsidR="00920383" w:rsidRPr="00920383" w:rsidRDefault="00920383" w:rsidP="00920383">
            <w:pPr>
              <w:rPr>
                <w:rStyle w:val="SC10323600"/>
                <w:sz w:val="16"/>
                <w:szCs w:val="16"/>
              </w:rPr>
            </w:pPr>
            <w:r w:rsidRPr="00920383">
              <w:rPr>
                <w:rStyle w:val="SC10323600"/>
                <w:sz w:val="16"/>
                <w:szCs w:val="16"/>
              </w:rPr>
              <w:t xml:space="preserve">If the PPDU is a non-member PPDU the contents of the current PPDU should not be used to update the RID and hence the value of the RID counter will be lowered at the </w:t>
            </w:r>
            <w:r w:rsidRPr="00920383">
              <w:rPr>
                <w:rStyle w:val="SC10323600"/>
                <w:sz w:val="16"/>
                <w:szCs w:val="16"/>
              </w:rPr>
              <w:lastRenderedPageBreak/>
              <w:t>end of the current PPDU as defined in the current text. There are no additional rules to update RID upon receipt of non-member PPDU.</w:t>
            </w:r>
          </w:p>
          <w:p w14:paraId="4FAC9115" w14:textId="77777777" w:rsidR="00920383" w:rsidRPr="00A37B98" w:rsidRDefault="00920383" w:rsidP="00643287">
            <w:pPr>
              <w:rPr>
                <w:color w:val="000000"/>
                <w:sz w:val="16"/>
                <w:szCs w:val="16"/>
              </w:rPr>
            </w:pPr>
          </w:p>
        </w:tc>
      </w:tr>
    </w:tbl>
    <w:p w14:paraId="4F6D1981" w14:textId="77777777" w:rsidR="00920383" w:rsidRDefault="00920383" w:rsidP="007D347E">
      <w:pPr>
        <w:pStyle w:val="Default"/>
        <w:rPr>
          <w:b/>
        </w:rPr>
      </w:pPr>
    </w:p>
    <w:p w14:paraId="185D7B5C" w14:textId="77777777" w:rsidR="00920383" w:rsidRPr="004C13EF" w:rsidRDefault="00920383" w:rsidP="00920383">
      <w:pPr>
        <w:pStyle w:val="Default"/>
        <w:rPr>
          <w:b/>
        </w:rPr>
      </w:pPr>
      <w:r>
        <w:rPr>
          <w:b/>
        </w:rPr>
        <w:t>Discussion</w:t>
      </w:r>
      <w:r w:rsidRPr="00F56CE8">
        <w:rPr>
          <w:b/>
        </w:rPr>
        <w:t>:</w:t>
      </w:r>
      <w:r>
        <w:rPr>
          <w:b/>
        </w:rPr>
        <w:t xml:space="preserve"> None.</w:t>
      </w:r>
    </w:p>
    <w:p w14:paraId="55523184" w14:textId="77777777" w:rsidR="00920383" w:rsidRDefault="00920383" w:rsidP="00920383">
      <w:pPr>
        <w:jc w:val="both"/>
        <w:rPr>
          <w:rFonts w:ascii="Calibri" w:hAnsi="Calibri"/>
          <w:color w:val="000000"/>
          <w:sz w:val="24"/>
          <w:szCs w:val="24"/>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B01EBE" w:rsidRPr="00D204B7" w14:paraId="2BEFC2E9" w14:textId="77777777" w:rsidTr="00B01EBE">
        <w:trPr>
          <w:trHeight w:val="373"/>
        </w:trPr>
        <w:tc>
          <w:tcPr>
            <w:tcW w:w="1047" w:type="dxa"/>
          </w:tcPr>
          <w:p w14:paraId="4D427E87"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0AFCD843"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2101464D"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48F2C825"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24F51AEB"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6A167D4A"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255B16FD" w14:textId="4DEAA059" w:rsidR="00B01EBE" w:rsidRPr="00D204B7" w:rsidRDefault="00B01EBE" w:rsidP="00643287">
            <w:pPr>
              <w:autoSpaceDE w:val="0"/>
              <w:autoSpaceDN w:val="0"/>
              <w:adjustRightInd w:val="0"/>
              <w:jc w:val="center"/>
              <w:rPr>
                <w:b/>
                <w:bCs/>
                <w:sz w:val="16"/>
                <w:szCs w:val="16"/>
                <w:lang w:eastAsia="ko-KR"/>
              </w:rPr>
            </w:pPr>
            <w:r>
              <w:rPr>
                <w:b/>
                <w:bCs/>
                <w:sz w:val="16"/>
                <w:szCs w:val="16"/>
                <w:lang w:eastAsia="ko-KR"/>
              </w:rPr>
              <w:t>Resolution</w:t>
            </w:r>
          </w:p>
        </w:tc>
      </w:tr>
      <w:tr w:rsidR="00B01EBE" w:rsidRPr="00292483" w14:paraId="7B02B61B" w14:textId="328DAE6C" w:rsidTr="00B01EBE">
        <w:trPr>
          <w:trHeight w:val="1683"/>
        </w:trPr>
        <w:tc>
          <w:tcPr>
            <w:tcW w:w="1047" w:type="dxa"/>
          </w:tcPr>
          <w:p w14:paraId="28153BCA" w14:textId="27366150" w:rsidR="00B01EBE" w:rsidRPr="00A37B98" w:rsidRDefault="00B01EBE" w:rsidP="00920383">
            <w:pPr>
              <w:rPr>
                <w:color w:val="000000"/>
                <w:sz w:val="16"/>
                <w:szCs w:val="16"/>
              </w:rPr>
            </w:pPr>
            <w:r>
              <w:rPr>
                <w:color w:val="000000"/>
                <w:sz w:val="16"/>
                <w:szCs w:val="16"/>
              </w:rPr>
              <w:t>8444</w:t>
            </w:r>
          </w:p>
        </w:tc>
        <w:tc>
          <w:tcPr>
            <w:tcW w:w="858" w:type="dxa"/>
          </w:tcPr>
          <w:p w14:paraId="51A37160" w14:textId="4C463173" w:rsidR="00B01EBE" w:rsidRPr="00A37B98" w:rsidRDefault="00B01EBE" w:rsidP="00643287">
            <w:pPr>
              <w:rPr>
                <w:strike/>
                <w:color w:val="000000"/>
                <w:sz w:val="16"/>
                <w:szCs w:val="16"/>
              </w:rPr>
            </w:pPr>
            <w:r w:rsidRPr="00920383">
              <w:rPr>
                <w:color w:val="000000"/>
                <w:sz w:val="16"/>
                <w:szCs w:val="16"/>
              </w:rPr>
              <w:t>Wang, Xiaofei</w:t>
            </w:r>
          </w:p>
        </w:tc>
        <w:tc>
          <w:tcPr>
            <w:tcW w:w="858" w:type="dxa"/>
          </w:tcPr>
          <w:p w14:paraId="0641442C" w14:textId="27DC4AC1" w:rsidR="00B01EBE" w:rsidRPr="00A37B98" w:rsidRDefault="00B01EBE" w:rsidP="00920383">
            <w:pPr>
              <w:rPr>
                <w:color w:val="000000"/>
                <w:sz w:val="16"/>
                <w:szCs w:val="16"/>
              </w:rPr>
            </w:pPr>
            <w:r>
              <w:rPr>
                <w:color w:val="000000"/>
                <w:sz w:val="16"/>
                <w:szCs w:val="16"/>
              </w:rPr>
              <w:t>235,41</w:t>
            </w:r>
          </w:p>
        </w:tc>
        <w:tc>
          <w:tcPr>
            <w:tcW w:w="1035" w:type="dxa"/>
          </w:tcPr>
          <w:p w14:paraId="10E10CBA" w14:textId="03A9B44F" w:rsidR="00B01EBE" w:rsidRPr="00A37B98" w:rsidRDefault="00B01EBE" w:rsidP="00643287">
            <w:pPr>
              <w:rPr>
                <w:color w:val="000000"/>
                <w:sz w:val="16"/>
                <w:szCs w:val="16"/>
              </w:rPr>
            </w:pPr>
            <w:r w:rsidRPr="00920383">
              <w:rPr>
                <w:color w:val="000000"/>
                <w:sz w:val="16"/>
                <w:szCs w:val="16"/>
              </w:rPr>
              <w:t>9.2.4.2</w:t>
            </w:r>
          </w:p>
        </w:tc>
        <w:tc>
          <w:tcPr>
            <w:tcW w:w="2610" w:type="dxa"/>
          </w:tcPr>
          <w:p w14:paraId="24B1ECA6" w14:textId="77CF19C0" w:rsidR="00B01EBE" w:rsidRPr="00A37B98" w:rsidRDefault="00B01EBE" w:rsidP="00643287">
            <w:pPr>
              <w:rPr>
                <w:color w:val="000000"/>
                <w:sz w:val="16"/>
                <w:szCs w:val="16"/>
              </w:rPr>
            </w:pPr>
            <w:r w:rsidRPr="00920383">
              <w:rPr>
                <w:color w:val="000000"/>
                <w:sz w:val="16"/>
                <w:szCs w:val="16"/>
              </w:rPr>
              <w:t>The following sentence is incorrect "An S1G STA shall update its MIB values of the EDCA parameters as described for non-S1G STAs in this subclause with the following exception:" since checking for STA type subfield before deciding whether to update its MIB value is another exception for S1G STAs which is different for non-S1G STAs. Not sure whether this sentence adds any value.</w:t>
            </w:r>
          </w:p>
        </w:tc>
        <w:tc>
          <w:tcPr>
            <w:tcW w:w="2070" w:type="dxa"/>
          </w:tcPr>
          <w:p w14:paraId="58D0752B" w14:textId="6F46D6D2" w:rsidR="00B01EBE" w:rsidRPr="00A37B98" w:rsidRDefault="00B01EBE" w:rsidP="00643287">
            <w:pPr>
              <w:rPr>
                <w:strike/>
                <w:color w:val="000000"/>
                <w:sz w:val="16"/>
                <w:szCs w:val="16"/>
              </w:rPr>
            </w:pPr>
            <w:r w:rsidRPr="00920383">
              <w:rPr>
                <w:color w:val="FF0000"/>
                <w:sz w:val="16"/>
                <w:szCs w:val="16"/>
              </w:rPr>
              <w:t>Remove the sentence "An S1G STA shall update its MIB values of the EDCA parameters as described for non-S1G STAs in this subclause with the following exception:"</w:t>
            </w:r>
          </w:p>
        </w:tc>
        <w:tc>
          <w:tcPr>
            <w:tcW w:w="2070" w:type="dxa"/>
          </w:tcPr>
          <w:p w14:paraId="3AA9466B" w14:textId="77777777" w:rsidR="00B01EBE" w:rsidRPr="00B01EBE" w:rsidRDefault="00B01EBE" w:rsidP="00643287">
            <w:pPr>
              <w:rPr>
                <w:b/>
                <w:sz w:val="16"/>
                <w:szCs w:val="16"/>
              </w:rPr>
            </w:pPr>
            <w:r w:rsidRPr="00B01EBE">
              <w:rPr>
                <w:b/>
                <w:sz w:val="16"/>
                <w:szCs w:val="16"/>
              </w:rPr>
              <w:t>Accept.</w:t>
            </w:r>
          </w:p>
          <w:p w14:paraId="0069214B" w14:textId="1BEF5577" w:rsidR="00B01EBE" w:rsidRPr="00920383" w:rsidRDefault="00B01EBE" w:rsidP="00643287">
            <w:pPr>
              <w:rPr>
                <w:color w:val="FF0000"/>
                <w:sz w:val="16"/>
                <w:szCs w:val="16"/>
              </w:rPr>
            </w:pPr>
            <w:r w:rsidRPr="00B01EBE">
              <w:rPr>
                <w:b/>
                <w:sz w:val="16"/>
                <w:szCs w:val="16"/>
              </w:rPr>
              <w:t>The text following the uoted text has “shall” condition which captures the desired normative behaviour.</w:t>
            </w:r>
          </w:p>
        </w:tc>
      </w:tr>
    </w:tbl>
    <w:p w14:paraId="32111B7A" w14:textId="0AFF3D28" w:rsidR="00920383" w:rsidRDefault="00920383" w:rsidP="007D347E">
      <w:pPr>
        <w:pStyle w:val="Default"/>
        <w:rPr>
          <w:b/>
        </w:rPr>
      </w:pPr>
    </w:p>
    <w:p w14:paraId="771241E7" w14:textId="77777777" w:rsidR="00B01EBE" w:rsidRDefault="00B01EBE" w:rsidP="007D347E">
      <w:pPr>
        <w:pStyle w:val="Default"/>
        <w:rPr>
          <w:b/>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B01EBE" w:rsidRPr="00D204B7" w14:paraId="24260FE0" w14:textId="77777777" w:rsidTr="00643287">
        <w:trPr>
          <w:trHeight w:val="373"/>
        </w:trPr>
        <w:tc>
          <w:tcPr>
            <w:tcW w:w="1047" w:type="dxa"/>
          </w:tcPr>
          <w:p w14:paraId="6BB181F0"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13D2C209"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176A91D6"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6E698BEA"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622993A8"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7012736A"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0EE28C1E" w14:textId="77777777" w:rsidR="00B01EBE" w:rsidRPr="00D204B7" w:rsidRDefault="00B01EBE" w:rsidP="00643287">
            <w:pPr>
              <w:autoSpaceDE w:val="0"/>
              <w:autoSpaceDN w:val="0"/>
              <w:adjustRightInd w:val="0"/>
              <w:jc w:val="center"/>
              <w:rPr>
                <w:b/>
                <w:bCs/>
                <w:sz w:val="16"/>
                <w:szCs w:val="16"/>
                <w:lang w:eastAsia="ko-KR"/>
              </w:rPr>
            </w:pPr>
            <w:r>
              <w:rPr>
                <w:b/>
                <w:bCs/>
                <w:sz w:val="16"/>
                <w:szCs w:val="16"/>
                <w:lang w:eastAsia="ko-KR"/>
              </w:rPr>
              <w:t>Resolution</w:t>
            </w:r>
          </w:p>
        </w:tc>
      </w:tr>
      <w:tr w:rsidR="00B01EBE" w:rsidRPr="00292483" w14:paraId="0720F38B" w14:textId="77777777" w:rsidTr="00643287">
        <w:trPr>
          <w:trHeight w:val="1683"/>
        </w:trPr>
        <w:tc>
          <w:tcPr>
            <w:tcW w:w="1047" w:type="dxa"/>
          </w:tcPr>
          <w:p w14:paraId="633BC7F5" w14:textId="70C26935" w:rsidR="00B01EBE" w:rsidRPr="00A37B98" w:rsidRDefault="00B01EBE" w:rsidP="00B01EBE">
            <w:pPr>
              <w:rPr>
                <w:color w:val="000000"/>
                <w:sz w:val="16"/>
                <w:szCs w:val="16"/>
              </w:rPr>
            </w:pPr>
            <w:r>
              <w:rPr>
                <w:color w:val="000000"/>
                <w:sz w:val="16"/>
                <w:szCs w:val="16"/>
              </w:rPr>
              <w:t>8448</w:t>
            </w:r>
          </w:p>
        </w:tc>
        <w:tc>
          <w:tcPr>
            <w:tcW w:w="858" w:type="dxa"/>
          </w:tcPr>
          <w:p w14:paraId="0772FC11" w14:textId="77777777" w:rsidR="00B01EBE" w:rsidRPr="00A37B98" w:rsidRDefault="00B01EBE" w:rsidP="00643287">
            <w:pPr>
              <w:rPr>
                <w:strike/>
                <w:color w:val="000000"/>
                <w:sz w:val="16"/>
                <w:szCs w:val="16"/>
              </w:rPr>
            </w:pPr>
            <w:r w:rsidRPr="00920383">
              <w:rPr>
                <w:color w:val="000000"/>
                <w:sz w:val="16"/>
                <w:szCs w:val="16"/>
              </w:rPr>
              <w:t>Wang, Xiaofei</w:t>
            </w:r>
          </w:p>
        </w:tc>
        <w:tc>
          <w:tcPr>
            <w:tcW w:w="858" w:type="dxa"/>
          </w:tcPr>
          <w:p w14:paraId="613CC787" w14:textId="73534790" w:rsidR="00B01EBE" w:rsidRPr="00A37B98" w:rsidRDefault="00B01EBE" w:rsidP="00643287">
            <w:pPr>
              <w:rPr>
                <w:color w:val="000000"/>
                <w:sz w:val="16"/>
                <w:szCs w:val="16"/>
              </w:rPr>
            </w:pPr>
            <w:r>
              <w:rPr>
                <w:color w:val="000000"/>
                <w:sz w:val="16"/>
                <w:szCs w:val="16"/>
              </w:rPr>
              <w:t>257, 44</w:t>
            </w:r>
          </w:p>
        </w:tc>
        <w:tc>
          <w:tcPr>
            <w:tcW w:w="1035" w:type="dxa"/>
          </w:tcPr>
          <w:p w14:paraId="73BF7E73" w14:textId="77777777" w:rsidR="00B01EBE" w:rsidRPr="00A37B98" w:rsidRDefault="00B01EBE" w:rsidP="00643287">
            <w:pPr>
              <w:rPr>
                <w:color w:val="000000"/>
                <w:sz w:val="16"/>
                <w:szCs w:val="16"/>
              </w:rPr>
            </w:pPr>
            <w:r w:rsidRPr="00920383">
              <w:rPr>
                <w:color w:val="000000"/>
                <w:sz w:val="16"/>
                <w:szCs w:val="16"/>
              </w:rPr>
              <w:t>9.2.4.2</w:t>
            </w:r>
          </w:p>
        </w:tc>
        <w:tc>
          <w:tcPr>
            <w:tcW w:w="2610" w:type="dxa"/>
          </w:tcPr>
          <w:p w14:paraId="1462FE03" w14:textId="6B4FE411" w:rsidR="00B01EBE" w:rsidRPr="00A37B98" w:rsidRDefault="00B01EBE" w:rsidP="00643287">
            <w:pPr>
              <w:rPr>
                <w:color w:val="000000"/>
                <w:sz w:val="16"/>
                <w:szCs w:val="16"/>
              </w:rPr>
            </w:pPr>
            <w:r w:rsidRPr="00B01EBE">
              <w:rPr>
                <w:color w:val="000000"/>
                <w:sz w:val="16"/>
                <w:szCs w:val="16"/>
              </w:rPr>
              <w:t>Non-S1G STAs should not be mandated to send S1G PPDUs even if it is not performing asymmetric Block Ack</w:t>
            </w:r>
          </w:p>
        </w:tc>
        <w:tc>
          <w:tcPr>
            <w:tcW w:w="2070" w:type="dxa"/>
          </w:tcPr>
          <w:p w14:paraId="34B772DC" w14:textId="5D7916E3" w:rsidR="00B01EBE" w:rsidRPr="00A37B98" w:rsidRDefault="00B01EBE" w:rsidP="00643287">
            <w:pPr>
              <w:rPr>
                <w:strike/>
                <w:color w:val="000000"/>
                <w:sz w:val="16"/>
                <w:szCs w:val="16"/>
              </w:rPr>
            </w:pPr>
            <w:r w:rsidRPr="00B01EBE">
              <w:rPr>
                <w:color w:val="FF0000"/>
                <w:sz w:val="16"/>
                <w:szCs w:val="16"/>
              </w:rPr>
              <w:t>Change "When the STA is not performing asymmetric Block Ack" into "When an S1G STA is not performing asymmetric Block Ack"</w:t>
            </w:r>
          </w:p>
        </w:tc>
        <w:tc>
          <w:tcPr>
            <w:tcW w:w="2070" w:type="dxa"/>
          </w:tcPr>
          <w:p w14:paraId="7CBE3D7B" w14:textId="77777777" w:rsidR="00B01EBE" w:rsidRPr="00B01EBE" w:rsidRDefault="00B01EBE" w:rsidP="00643287">
            <w:pPr>
              <w:rPr>
                <w:b/>
                <w:sz w:val="16"/>
                <w:szCs w:val="16"/>
              </w:rPr>
            </w:pPr>
            <w:r w:rsidRPr="00B01EBE">
              <w:rPr>
                <w:b/>
                <w:sz w:val="16"/>
                <w:szCs w:val="16"/>
              </w:rPr>
              <w:t>Accept.</w:t>
            </w:r>
          </w:p>
          <w:p w14:paraId="2949968A" w14:textId="096FDE68" w:rsidR="00B01EBE" w:rsidRPr="00920383" w:rsidRDefault="00B01EBE" w:rsidP="00643287">
            <w:pPr>
              <w:rPr>
                <w:color w:val="FF0000"/>
                <w:sz w:val="16"/>
                <w:szCs w:val="16"/>
              </w:rPr>
            </w:pPr>
          </w:p>
        </w:tc>
      </w:tr>
    </w:tbl>
    <w:p w14:paraId="17C35113" w14:textId="77777777" w:rsidR="00B01EBE" w:rsidRDefault="00B01EBE" w:rsidP="007D347E">
      <w:pPr>
        <w:pStyle w:val="Default"/>
        <w:rPr>
          <w:b/>
        </w:rPr>
      </w:pPr>
    </w:p>
    <w:p w14:paraId="35E78299" w14:textId="77777777" w:rsidR="00B01EBE" w:rsidRPr="00B01EBE" w:rsidRDefault="00B01EBE" w:rsidP="00B01EBE">
      <w:pPr>
        <w:pStyle w:val="Default"/>
        <w:rPr>
          <w:b/>
          <w:color w:val="FF0000"/>
        </w:rPr>
      </w:pPr>
      <w:r w:rsidRPr="00B01EBE">
        <w:rPr>
          <w:b/>
          <w:color w:val="FF0000"/>
        </w:rPr>
        <w:t>Editor notes: Make the following change to Section 9.2.4.2</w:t>
      </w:r>
    </w:p>
    <w:p w14:paraId="0D8A0732" w14:textId="77777777" w:rsidR="00B01EBE" w:rsidRPr="00B01EBE" w:rsidRDefault="00B01EBE" w:rsidP="00B01EBE">
      <w:pPr>
        <w:autoSpaceDE w:val="0"/>
        <w:autoSpaceDN w:val="0"/>
        <w:adjustRightInd w:val="0"/>
        <w:spacing w:before="60" w:after="60"/>
        <w:jc w:val="both"/>
        <w:rPr>
          <w:color w:val="000000"/>
          <w:sz w:val="24"/>
          <w:szCs w:val="24"/>
          <w:lang w:val="en-US" w:eastAsia="ko-KR"/>
        </w:rPr>
      </w:pPr>
    </w:p>
    <w:p w14:paraId="0342B3F4" w14:textId="77777777" w:rsidR="00B01EBE" w:rsidRPr="00B01EBE" w:rsidRDefault="00B01EBE" w:rsidP="00B01EBE">
      <w:pPr>
        <w:pStyle w:val="Default"/>
        <w:rPr>
          <w:b/>
          <w:strike/>
        </w:rPr>
      </w:pPr>
      <w:r w:rsidRPr="00B01EBE">
        <w:rPr>
          <w:strike/>
          <w:sz w:val="20"/>
          <w:szCs w:val="20"/>
        </w:rPr>
        <w:t>An S1G STA shall update its MIB values of the EDCA parameters as described for non-S1G STAs in this subclause with the following exception:</w:t>
      </w:r>
    </w:p>
    <w:p w14:paraId="3B09F628" w14:textId="77777777" w:rsidR="00B01EBE" w:rsidRDefault="00B01EBE" w:rsidP="007D347E">
      <w:pPr>
        <w:pStyle w:val="Default"/>
        <w:rPr>
          <w:b/>
        </w:rPr>
      </w:pPr>
    </w:p>
    <w:p w14:paraId="30FE4041" w14:textId="2DCBC0D5" w:rsidR="00B01EBE" w:rsidRDefault="00B01EBE" w:rsidP="007D347E">
      <w:pPr>
        <w:pStyle w:val="Default"/>
        <w:rPr>
          <w:b/>
        </w:rPr>
      </w:pPr>
      <w:r>
        <w:rPr>
          <w:b/>
        </w:rPr>
        <w:t>………</w:t>
      </w:r>
    </w:p>
    <w:p w14:paraId="7CB18391" w14:textId="77777777" w:rsidR="00B01EBE" w:rsidRDefault="00B01EBE" w:rsidP="007D347E">
      <w:pPr>
        <w:pStyle w:val="Default"/>
        <w:rPr>
          <w:b/>
        </w:rPr>
      </w:pPr>
    </w:p>
    <w:p w14:paraId="411149DC" w14:textId="7DDEA95A" w:rsidR="00B01EBE" w:rsidRDefault="00B01EBE" w:rsidP="00B01EBE">
      <w:pPr>
        <w:pStyle w:val="Default"/>
        <w:rPr>
          <w:b/>
        </w:rPr>
      </w:pPr>
      <w:r w:rsidRPr="00B01EBE">
        <w:rPr>
          <w:sz w:val="20"/>
          <w:szCs w:val="20"/>
        </w:rPr>
        <w:t xml:space="preserve">—When the </w:t>
      </w:r>
      <w:r>
        <w:rPr>
          <w:color w:val="FF0000"/>
          <w:sz w:val="20"/>
          <w:szCs w:val="20"/>
        </w:rPr>
        <w:t xml:space="preserve">SIG </w:t>
      </w:r>
      <w:r w:rsidRPr="00B01EBE">
        <w:rPr>
          <w:sz w:val="20"/>
          <w:szCs w:val="20"/>
        </w:rPr>
        <w:t>STA is not performing asymmetric Block Ack</w:t>
      </w:r>
    </w:p>
    <w:p w14:paraId="24F3C254" w14:textId="77777777" w:rsidR="00B01EBE" w:rsidRDefault="00B01EBE" w:rsidP="007D347E">
      <w:pPr>
        <w:pStyle w:val="Default"/>
        <w:rPr>
          <w:b/>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B01EBE" w:rsidRPr="00D204B7" w14:paraId="7535BCA2" w14:textId="77777777" w:rsidTr="00643287">
        <w:trPr>
          <w:trHeight w:val="373"/>
        </w:trPr>
        <w:tc>
          <w:tcPr>
            <w:tcW w:w="1047" w:type="dxa"/>
          </w:tcPr>
          <w:p w14:paraId="135183FC"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394118AA"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115BFB7E"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10CBBA10"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72ADAE82"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0C0CA1FF"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5BAF7559" w14:textId="77777777" w:rsidR="00B01EBE" w:rsidRPr="00D204B7" w:rsidRDefault="00B01EBE" w:rsidP="00643287">
            <w:pPr>
              <w:autoSpaceDE w:val="0"/>
              <w:autoSpaceDN w:val="0"/>
              <w:adjustRightInd w:val="0"/>
              <w:jc w:val="center"/>
              <w:rPr>
                <w:b/>
                <w:bCs/>
                <w:sz w:val="16"/>
                <w:szCs w:val="16"/>
                <w:lang w:eastAsia="ko-KR"/>
              </w:rPr>
            </w:pPr>
            <w:r>
              <w:rPr>
                <w:b/>
                <w:bCs/>
                <w:sz w:val="16"/>
                <w:szCs w:val="16"/>
                <w:lang w:eastAsia="ko-KR"/>
              </w:rPr>
              <w:t>Resolution</w:t>
            </w:r>
          </w:p>
        </w:tc>
      </w:tr>
      <w:tr w:rsidR="00B01EBE" w:rsidRPr="00292483" w14:paraId="5EA55EA2" w14:textId="77777777" w:rsidTr="00643287">
        <w:trPr>
          <w:trHeight w:val="1683"/>
        </w:trPr>
        <w:tc>
          <w:tcPr>
            <w:tcW w:w="1047" w:type="dxa"/>
          </w:tcPr>
          <w:p w14:paraId="299282DF" w14:textId="66A69A3A" w:rsidR="00B01EBE" w:rsidRPr="00A37B98" w:rsidRDefault="00B01EBE" w:rsidP="00643287">
            <w:pPr>
              <w:rPr>
                <w:color w:val="000000"/>
                <w:sz w:val="16"/>
                <w:szCs w:val="16"/>
              </w:rPr>
            </w:pPr>
            <w:r>
              <w:rPr>
                <w:color w:val="000000"/>
                <w:sz w:val="16"/>
                <w:szCs w:val="16"/>
              </w:rPr>
              <w:t>8464</w:t>
            </w:r>
          </w:p>
        </w:tc>
        <w:tc>
          <w:tcPr>
            <w:tcW w:w="858" w:type="dxa"/>
          </w:tcPr>
          <w:p w14:paraId="74B36DC4" w14:textId="0731453E" w:rsidR="00B01EBE" w:rsidRPr="00A37B98" w:rsidRDefault="00B01EBE" w:rsidP="00643287">
            <w:pPr>
              <w:rPr>
                <w:strike/>
                <w:color w:val="000000"/>
                <w:sz w:val="16"/>
                <w:szCs w:val="16"/>
              </w:rPr>
            </w:pPr>
            <w:r w:rsidRPr="00B01EBE">
              <w:rPr>
                <w:color w:val="000000"/>
                <w:sz w:val="16"/>
                <w:szCs w:val="16"/>
              </w:rPr>
              <w:t>Asterjadhi, Alfred</w:t>
            </w:r>
          </w:p>
        </w:tc>
        <w:tc>
          <w:tcPr>
            <w:tcW w:w="858" w:type="dxa"/>
          </w:tcPr>
          <w:p w14:paraId="2286E05B" w14:textId="6D7B255E" w:rsidR="00B01EBE" w:rsidRPr="00A37B98" w:rsidRDefault="00B01EBE" w:rsidP="00B01EBE">
            <w:pPr>
              <w:rPr>
                <w:color w:val="000000"/>
                <w:sz w:val="16"/>
                <w:szCs w:val="16"/>
              </w:rPr>
            </w:pPr>
            <w:r>
              <w:rPr>
                <w:color w:val="000000"/>
                <w:sz w:val="16"/>
                <w:szCs w:val="16"/>
              </w:rPr>
              <w:t>248, 28</w:t>
            </w:r>
          </w:p>
        </w:tc>
        <w:tc>
          <w:tcPr>
            <w:tcW w:w="1035" w:type="dxa"/>
          </w:tcPr>
          <w:p w14:paraId="2B59C91E" w14:textId="03B666B0" w:rsidR="00B01EBE" w:rsidRPr="00A37B98" w:rsidRDefault="00B01EBE" w:rsidP="00643287">
            <w:pPr>
              <w:rPr>
                <w:color w:val="000000"/>
                <w:sz w:val="16"/>
                <w:szCs w:val="16"/>
              </w:rPr>
            </w:pPr>
            <w:r w:rsidRPr="00B01EBE">
              <w:rPr>
                <w:color w:val="000000"/>
                <w:sz w:val="16"/>
                <w:szCs w:val="16"/>
              </w:rPr>
              <w:t>9.3.2.10a</w:t>
            </w:r>
          </w:p>
        </w:tc>
        <w:tc>
          <w:tcPr>
            <w:tcW w:w="2610" w:type="dxa"/>
          </w:tcPr>
          <w:p w14:paraId="2E85575F" w14:textId="4DDA7F97" w:rsidR="00B01EBE" w:rsidRPr="00A37B98" w:rsidRDefault="00B01EBE" w:rsidP="00643287">
            <w:pPr>
              <w:rPr>
                <w:color w:val="000000"/>
                <w:sz w:val="16"/>
                <w:szCs w:val="16"/>
              </w:rPr>
            </w:pPr>
            <w:r w:rsidRPr="00B01EBE">
              <w:rPr>
                <w:color w:val="000000"/>
                <w:sz w:val="16"/>
                <w:szCs w:val="16"/>
              </w:rPr>
              <w:t>The originator STA may also send a BAR frame to solicit an NDP BlockAck frame.</w:t>
            </w:r>
          </w:p>
        </w:tc>
        <w:tc>
          <w:tcPr>
            <w:tcW w:w="2070" w:type="dxa"/>
          </w:tcPr>
          <w:p w14:paraId="4C759853" w14:textId="4A50C567" w:rsidR="00B01EBE" w:rsidRPr="00A37B98" w:rsidRDefault="00B01EBE" w:rsidP="00643287">
            <w:pPr>
              <w:rPr>
                <w:strike/>
                <w:color w:val="000000"/>
                <w:sz w:val="16"/>
                <w:szCs w:val="16"/>
              </w:rPr>
            </w:pPr>
            <w:r w:rsidRPr="00B01EBE">
              <w:rPr>
                <w:color w:val="FF0000"/>
                <w:sz w:val="16"/>
                <w:szCs w:val="16"/>
              </w:rPr>
              <w:t>Add the missing case.</w:t>
            </w:r>
          </w:p>
        </w:tc>
        <w:tc>
          <w:tcPr>
            <w:tcW w:w="2070" w:type="dxa"/>
          </w:tcPr>
          <w:p w14:paraId="31013A43" w14:textId="77777777" w:rsidR="00B01EBE" w:rsidRDefault="00B01EBE" w:rsidP="00B01EBE">
            <w:pPr>
              <w:rPr>
                <w:sz w:val="16"/>
                <w:szCs w:val="16"/>
              </w:rPr>
            </w:pPr>
            <w:r>
              <w:rPr>
                <w:sz w:val="16"/>
                <w:szCs w:val="16"/>
              </w:rPr>
              <w:t>Counter:</w:t>
            </w:r>
          </w:p>
          <w:p w14:paraId="7EE3773F" w14:textId="6AD2B89C" w:rsidR="00B01EBE" w:rsidRPr="00B01EBE" w:rsidRDefault="00B01EBE" w:rsidP="00B01EBE">
            <w:pPr>
              <w:rPr>
                <w:rStyle w:val="SC10323600"/>
                <w:sz w:val="16"/>
                <w:szCs w:val="16"/>
              </w:rPr>
            </w:pPr>
            <w:r w:rsidRPr="00B01EBE">
              <w:rPr>
                <w:sz w:val="16"/>
                <w:szCs w:val="16"/>
              </w:rPr>
              <w:t>Change the quoted text to “</w:t>
            </w:r>
            <w:r w:rsidRPr="00B01EBE">
              <w:rPr>
                <w:rStyle w:val="SC10323600"/>
                <w:sz w:val="16"/>
                <w:szCs w:val="16"/>
              </w:rPr>
              <w:t xml:space="preserve">The receiving STA that is the intended receiver of </w:t>
            </w:r>
            <w:r w:rsidRPr="00B01EBE">
              <w:rPr>
                <w:rStyle w:val="SC10323600"/>
                <w:color w:val="FF0000"/>
                <w:sz w:val="16"/>
                <w:szCs w:val="16"/>
              </w:rPr>
              <w:t>either</w:t>
            </w:r>
            <w:r w:rsidRPr="00B01EBE">
              <w:rPr>
                <w:rStyle w:val="SC10323600"/>
                <w:sz w:val="16"/>
                <w:szCs w:val="16"/>
              </w:rPr>
              <w:t xml:space="preserve"> an F-MPDU with the Ack Policy field equal to Implicit Block Ack Request </w:t>
            </w:r>
            <w:r w:rsidRPr="00B01EBE">
              <w:rPr>
                <w:rStyle w:val="SC10323600"/>
                <w:color w:val="FF0000"/>
                <w:sz w:val="16"/>
                <w:szCs w:val="16"/>
              </w:rPr>
              <w:t>or a BAR frame</w:t>
            </w:r>
            <w:r w:rsidRPr="00B01EBE">
              <w:rPr>
                <w:rStyle w:val="SC10323600"/>
                <w:sz w:val="16"/>
                <w:szCs w:val="16"/>
              </w:rPr>
              <w:t>, shall send an NDP BlockAck frame after a SIFS, without regard of the idle/busy state of the medium, that is”</w:t>
            </w:r>
          </w:p>
          <w:p w14:paraId="7674170E" w14:textId="77777777" w:rsidR="00B01EBE" w:rsidRPr="00920383" w:rsidRDefault="00B01EBE" w:rsidP="00643287">
            <w:pPr>
              <w:rPr>
                <w:color w:val="FF0000"/>
                <w:sz w:val="16"/>
                <w:szCs w:val="16"/>
              </w:rPr>
            </w:pPr>
          </w:p>
        </w:tc>
      </w:tr>
    </w:tbl>
    <w:p w14:paraId="546958AC" w14:textId="7D0FA723" w:rsidR="00B01EBE" w:rsidRPr="00B01EBE" w:rsidRDefault="00B01EBE" w:rsidP="00B01EBE">
      <w:pPr>
        <w:pStyle w:val="Default"/>
        <w:rPr>
          <w:b/>
          <w:color w:val="FF0000"/>
        </w:rPr>
      </w:pPr>
      <w:r w:rsidRPr="00B01EBE">
        <w:rPr>
          <w:b/>
          <w:color w:val="FF0000"/>
        </w:rPr>
        <w:lastRenderedPageBreak/>
        <w:t>Editor notes: Make the following change to Section 9.</w:t>
      </w:r>
      <w:r>
        <w:rPr>
          <w:b/>
          <w:color w:val="FF0000"/>
        </w:rPr>
        <w:t>3.2.10a</w:t>
      </w:r>
    </w:p>
    <w:p w14:paraId="6D3131D4" w14:textId="1724E8B2" w:rsidR="00B01EBE" w:rsidRDefault="00B01EBE" w:rsidP="007D347E">
      <w:pPr>
        <w:pStyle w:val="Default"/>
        <w:rPr>
          <w:b/>
        </w:rPr>
      </w:pPr>
    </w:p>
    <w:p w14:paraId="7B18D677" w14:textId="41E4CADE" w:rsidR="00B01EBE" w:rsidRDefault="00B01EBE" w:rsidP="007D347E">
      <w:pPr>
        <w:pStyle w:val="Default"/>
        <w:rPr>
          <w:rStyle w:val="SC10323600"/>
          <w:sz w:val="16"/>
          <w:szCs w:val="16"/>
        </w:rPr>
      </w:pPr>
      <w:r w:rsidRPr="00B01EBE">
        <w:rPr>
          <w:rStyle w:val="SC10323600"/>
          <w:sz w:val="16"/>
          <w:szCs w:val="16"/>
        </w:rPr>
        <w:t xml:space="preserve">The receiving STA that is the intended receiver of </w:t>
      </w:r>
      <w:r w:rsidRPr="00B01EBE">
        <w:rPr>
          <w:rStyle w:val="SC10323600"/>
          <w:color w:val="FF0000"/>
          <w:sz w:val="16"/>
          <w:szCs w:val="16"/>
        </w:rPr>
        <w:t>either</w:t>
      </w:r>
      <w:r w:rsidRPr="00B01EBE">
        <w:rPr>
          <w:rStyle w:val="SC10323600"/>
          <w:sz w:val="16"/>
          <w:szCs w:val="16"/>
        </w:rPr>
        <w:t xml:space="preserve"> an F-MPDU with the Ack Policy field equal to Implicit Block Ack Request </w:t>
      </w:r>
      <w:r w:rsidRPr="00B01EBE">
        <w:rPr>
          <w:rStyle w:val="SC10323600"/>
          <w:color w:val="FF0000"/>
          <w:sz w:val="16"/>
          <w:szCs w:val="16"/>
        </w:rPr>
        <w:t>or a BAR frame</w:t>
      </w:r>
      <w:r w:rsidRPr="00B01EBE">
        <w:rPr>
          <w:rStyle w:val="SC10323600"/>
          <w:sz w:val="16"/>
          <w:szCs w:val="16"/>
        </w:rPr>
        <w:t>, shall send an NDP BlockAck frame after a SIFS, without regard of the idle/busy state of the medium, that is</w:t>
      </w:r>
      <w:r w:rsidR="007D0A2A">
        <w:rPr>
          <w:rStyle w:val="SC10323600"/>
          <w:sz w:val="16"/>
          <w:szCs w:val="16"/>
        </w:rPr>
        <w:t>….</w:t>
      </w:r>
    </w:p>
    <w:p w14:paraId="79F18769" w14:textId="77777777" w:rsidR="007D0A2A" w:rsidRDefault="007D0A2A" w:rsidP="007D347E">
      <w:pPr>
        <w:pStyle w:val="Default"/>
        <w:rPr>
          <w:b/>
        </w:rPr>
      </w:pPr>
    </w:p>
    <w:p w14:paraId="02E88760" w14:textId="77777777" w:rsidR="00B01EBE" w:rsidRDefault="00B01EBE" w:rsidP="007D347E">
      <w:pPr>
        <w:pStyle w:val="Default"/>
        <w:rPr>
          <w:b/>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B01EBE" w:rsidRPr="00D204B7" w14:paraId="7FE82A64" w14:textId="77777777" w:rsidTr="00643287">
        <w:trPr>
          <w:trHeight w:val="373"/>
        </w:trPr>
        <w:tc>
          <w:tcPr>
            <w:tcW w:w="1047" w:type="dxa"/>
          </w:tcPr>
          <w:p w14:paraId="0106C4A5"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7BB291D4"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0C917273"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42E04B2B"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31B07C99"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5AA8DA77" w14:textId="77777777" w:rsidR="00B01EBE" w:rsidRPr="00D204B7" w:rsidRDefault="00B01EBE"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1AD1DBC1" w14:textId="77777777" w:rsidR="00B01EBE" w:rsidRPr="00D204B7" w:rsidRDefault="00B01EBE" w:rsidP="00643287">
            <w:pPr>
              <w:autoSpaceDE w:val="0"/>
              <w:autoSpaceDN w:val="0"/>
              <w:adjustRightInd w:val="0"/>
              <w:jc w:val="center"/>
              <w:rPr>
                <w:b/>
                <w:bCs/>
                <w:sz w:val="16"/>
                <w:szCs w:val="16"/>
                <w:lang w:eastAsia="ko-KR"/>
              </w:rPr>
            </w:pPr>
            <w:r>
              <w:rPr>
                <w:b/>
                <w:bCs/>
                <w:sz w:val="16"/>
                <w:szCs w:val="16"/>
                <w:lang w:eastAsia="ko-KR"/>
              </w:rPr>
              <w:t>Resolution</w:t>
            </w:r>
          </w:p>
        </w:tc>
      </w:tr>
      <w:tr w:rsidR="00B01EBE" w:rsidRPr="00292483" w14:paraId="25EABBD2" w14:textId="77777777" w:rsidTr="00643287">
        <w:trPr>
          <w:trHeight w:val="1683"/>
        </w:trPr>
        <w:tc>
          <w:tcPr>
            <w:tcW w:w="1047" w:type="dxa"/>
          </w:tcPr>
          <w:p w14:paraId="08AF2FC6" w14:textId="22B0D7D0" w:rsidR="00B01EBE" w:rsidRPr="00A37B98" w:rsidRDefault="00B01EBE" w:rsidP="00643287">
            <w:pPr>
              <w:rPr>
                <w:color w:val="000000"/>
                <w:sz w:val="16"/>
                <w:szCs w:val="16"/>
              </w:rPr>
            </w:pPr>
            <w:r>
              <w:rPr>
                <w:color w:val="000000"/>
                <w:sz w:val="16"/>
                <w:szCs w:val="16"/>
              </w:rPr>
              <w:t>8469</w:t>
            </w:r>
          </w:p>
        </w:tc>
        <w:tc>
          <w:tcPr>
            <w:tcW w:w="858" w:type="dxa"/>
          </w:tcPr>
          <w:p w14:paraId="43C872B5" w14:textId="77777777" w:rsidR="00B01EBE" w:rsidRPr="00A37B98" w:rsidRDefault="00B01EBE" w:rsidP="00643287">
            <w:pPr>
              <w:rPr>
                <w:strike/>
                <w:color w:val="000000"/>
                <w:sz w:val="16"/>
                <w:szCs w:val="16"/>
              </w:rPr>
            </w:pPr>
            <w:r w:rsidRPr="00B01EBE">
              <w:rPr>
                <w:color w:val="000000"/>
                <w:sz w:val="16"/>
                <w:szCs w:val="16"/>
              </w:rPr>
              <w:t>Asterjadhi, Alfred</w:t>
            </w:r>
          </w:p>
        </w:tc>
        <w:tc>
          <w:tcPr>
            <w:tcW w:w="858" w:type="dxa"/>
          </w:tcPr>
          <w:p w14:paraId="7BE550EF" w14:textId="37C142B6" w:rsidR="00B01EBE" w:rsidRPr="00A37B98" w:rsidRDefault="00B01EBE" w:rsidP="00B01EBE">
            <w:pPr>
              <w:rPr>
                <w:color w:val="000000"/>
                <w:sz w:val="16"/>
                <w:szCs w:val="16"/>
              </w:rPr>
            </w:pPr>
            <w:r>
              <w:rPr>
                <w:color w:val="000000"/>
                <w:sz w:val="16"/>
                <w:szCs w:val="16"/>
              </w:rPr>
              <w:t>241, 16</w:t>
            </w:r>
          </w:p>
        </w:tc>
        <w:tc>
          <w:tcPr>
            <w:tcW w:w="1035" w:type="dxa"/>
          </w:tcPr>
          <w:p w14:paraId="275ED018" w14:textId="7965E502" w:rsidR="00B01EBE" w:rsidRPr="00A37B98" w:rsidRDefault="00B01EBE" w:rsidP="007D0A2A">
            <w:pPr>
              <w:rPr>
                <w:color w:val="000000"/>
                <w:sz w:val="16"/>
                <w:szCs w:val="16"/>
              </w:rPr>
            </w:pPr>
            <w:r w:rsidRPr="00B01EBE">
              <w:rPr>
                <w:color w:val="000000"/>
                <w:sz w:val="16"/>
                <w:szCs w:val="16"/>
              </w:rPr>
              <w:t>9.3.2.</w:t>
            </w:r>
            <w:r w:rsidR="007D0A2A">
              <w:rPr>
                <w:color w:val="000000"/>
                <w:sz w:val="16"/>
                <w:szCs w:val="16"/>
              </w:rPr>
              <w:t>4a</w:t>
            </w:r>
          </w:p>
        </w:tc>
        <w:tc>
          <w:tcPr>
            <w:tcW w:w="2610" w:type="dxa"/>
          </w:tcPr>
          <w:p w14:paraId="7B61F884" w14:textId="6B400EA6" w:rsidR="00B01EBE" w:rsidRPr="00A37B98" w:rsidRDefault="007D0A2A" w:rsidP="00643287">
            <w:pPr>
              <w:rPr>
                <w:color w:val="000000"/>
                <w:sz w:val="16"/>
                <w:szCs w:val="16"/>
              </w:rPr>
            </w:pPr>
            <w:r w:rsidRPr="007D0A2A">
              <w:rPr>
                <w:color w:val="000000"/>
                <w:sz w:val="16"/>
                <w:szCs w:val="16"/>
              </w:rPr>
              <w:t>"If the classification of a PPDU is changed from member to nonmember PPDU, then the STA shall reload the RID counter to the value that the RID counter had at the time of the receipt of the PHY-RX-START.indication primitive corresponding to this PPDU minus the difference between the current time and that time." is missing the condition of updating the RID counter according to the rules followed for non-member PPDUs.</w:t>
            </w:r>
          </w:p>
        </w:tc>
        <w:tc>
          <w:tcPr>
            <w:tcW w:w="2070" w:type="dxa"/>
          </w:tcPr>
          <w:p w14:paraId="762D1FC0" w14:textId="77777777" w:rsidR="007D0A2A" w:rsidRPr="007D0A2A" w:rsidRDefault="007D0A2A" w:rsidP="007D0A2A">
            <w:pPr>
              <w:rPr>
                <w:color w:val="FF0000"/>
                <w:sz w:val="16"/>
                <w:szCs w:val="16"/>
              </w:rPr>
            </w:pPr>
            <w:r w:rsidRPr="007D0A2A">
              <w:rPr>
                <w:color w:val="FF0000"/>
                <w:sz w:val="16"/>
                <w:szCs w:val="16"/>
              </w:rPr>
              <w:t>Replace the quoted text with:"</w:t>
            </w:r>
          </w:p>
          <w:p w14:paraId="3C280056" w14:textId="77777777" w:rsidR="007D0A2A" w:rsidRPr="007D0A2A" w:rsidRDefault="007D0A2A" w:rsidP="007D0A2A">
            <w:pPr>
              <w:rPr>
                <w:color w:val="FF0000"/>
                <w:sz w:val="16"/>
                <w:szCs w:val="16"/>
              </w:rPr>
            </w:pPr>
            <w:r w:rsidRPr="007D0A2A">
              <w:rPr>
                <w:color w:val="FF0000"/>
                <w:sz w:val="16"/>
                <w:szCs w:val="16"/>
              </w:rPr>
              <w:t>If the classification of a PPDU is changed from member to nonmember PPDU, then the STA shall:</w:t>
            </w:r>
          </w:p>
          <w:p w14:paraId="65A1B92F" w14:textId="77777777" w:rsidR="007D0A2A" w:rsidRPr="007D0A2A" w:rsidRDefault="007D0A2A" w:rsidP="007D0A2A">
            <w:pPr>
              <w:rPr>
                <w:color w:val="FF0000"/>
                <w:sz w:val="16"/>
                <w:szCs w:val="16"/>
              </w:rPr>
            </w:pPr>
            <w:r w:rsidRPr="007D0A2A">
              <w:rPr>
                <w:color w:val="FF0000"/>
                <w:sz w:val="16"/>
                <w:szCs w:val="16"/>
              </w:rPr>
              <w:t>* Reload the RID counter to the value that the RID counter had at the time of the receipt of the PHY-RX-START.indication primitive corresponding to this PPDU minus the difference between the current time and that time.</w:t>
            </w:r>
          </w:p>
          <w:p w14:paraId="084A2708" w14:textId="77777777" w:rsidR="007D0A2A" w:rsidRPr="007D0A2A" w:rsidRDefault="007D0A2A" w:rsidP="007D0A2A">
            <w:pPr>
              <w:rPr>
                <w:color w:val="FF0000"/>
                <w:sz w:val="16"/>
                <w:szCs w:val="16"/>
              </w:rPr>
            </w:pPr>
            <w:r w:rsidRPr="007D0A2A">
              <w:rPr>
                <w:color w:val="FF0000"/>
                <w:sz w:val="16"/>
                <w:szCs w:val="16"/>
              </w:rPr>
              <w:t>* Update the RID counter according to the rules for a non-member PPDU".</w:t>
            </w:r>
          </w:p>
          <w:p w14:paraId="7887CAF3" w14:textId="1FC8010D" w:rsidR="00B01EBE" w:rsidRPr="00A37B98" w:rsidRDefault="007D0A2A" w:rsidP="007D0A2A">
            <w:pPr>
              <w:rPr>
                <w:strike/>
                <w:color w:val="000000"/>
                <w:sz w:val="16"/>
                <w:szCs w:val="16"/>
              </w:rPr>
            </w:pPr>
            <w:r w:rsidRPr="007D0A2A">
              <w:rPr>
                <w:color w:val="FF0000"/>
                <w:sz w:val="16"/>
                <w:szCs w:val="16"/>
              </w:rPr>
              <w:t>Note to editor: The second bullet is the only inserted text (the rest is paragraph organization as itemized text).</w:t>
            </w:r>
          </w:p>
        </w:tc>
        <w:tc>
          <w:tcPr>
            <w:tcW w:w="2070" w:type="dxa"/>
          </w:tcPr>
          <w:p w14:paraId="6702054C" w14:textId="01478D14" w:rsidR="00B01EBE" w:rsidRDefault="007D0A2A" w:rsidP="00643287">
            <w:pPr>
              <w:rPr>
                <w:sz w:val="16"/>
                <w:szCs w:val="16"/>
              </w:rPr>
            </w:pPr>
            <w:r>
              <w:rPr>
                <w:sz w:val="16"/>
                <w:szCs w:val="16"/>
              </w:rPr>
              <w:t>Reject.</w:t>
            </w:r>
          </w:p>
          <w:p w14:paraId="30FBF75B" w14:textId="51CD11DA" w:rsidR="007D0A2A" w:rsidRPr="00B01EBE" w:rsidRDefault="007D0A2A" w:rsidP="00643287">
            <w:pPr>
              <w:rPr>
                <w:rStyle w:val="SC10323600"/>
                <w:sz w:val="16"/>
                <w:szCs w:val="16"/>
              </w:rPr>
            </w:pPr>
            <w:r>
              <w:rPr>
                <w:sz w:val="16"/>
                <w:szCs w:val="16"/>
              </w:rPr>
              <w:t>See resolution for CID 8196.</w:t>
            </w:r>
          </w:p>
          <w:p w14:paraId="539212DE" w14:textId="77777777" w:rsidR="00B01EBE" w:rsidRPr="00920383" w:rsidRDefault="00B01EBE" w:rsidP="00643287">
            <w:pPr>
              <w:rPr>
                <w:color w:val="FF0000"/>
                <w:sz w:val="16"/>
                <w:szCs w:val="16"/>
              </w:rPr>
            </w:pPr>
          </w:p>
        </w:tc>
      </w:tr>
    </w:tbl>
    <w:p w14:paraId="62DF657A" w14:textId="4D4D35A7" w:rsidR="00B01EBE" w:rsidRDefault="00B01EBE" w:rsidP="007D347E">
      <w:pPr>
        <w:pStyle w:val="Default"/>
        <w:rPr>
          <w:b/>
        </w:rPr>
      </w:pPr>
    </w:p>
    <w:p w14:paraId="5C862C17" w14:textId="77777777" w:rsidR="007D0A2A" w:rsidRDefault="007D0A2A" w:rsidP="007D347E">
      <w:pPr>
        <w:pStyle w:val="Default"/>
        <w:rPr>
          <w:b/>
        </w:rPr>
      </w:pPr>
    </w:p>
    <w:tbl>
      <w:tblPr>
        <w:tblStyle w:val="TableGrid"/>
        <w:tblW w:w="10548" w:type="dxa"/>
        <w:tblLayout w:type="fixed"/>
        <w:tblLook w:val="04A0" w:firstRow="1" w:lastRow="0" w:firstColumn="1" w:lastColumn="0" w:noHBand="0" w:noVBand="1"/>
      </w:tblPr>
      <w:tblGrid>
        <w:gridCol w:w="1047"/>
        <w:gridCol w:w="858"/>
        <w:gridCol w:w="858"/>
        <w:gridCol w:w="1035"/>
        <w:gridCol w:w="2610"/>
        <w:gridCol w:w="2070"/>
        <w:gridCol w:w="2070"/>
      </w:tblGrid>
      <w:tr w:rsidR="007D0A2A" w:rsidRPr="00D204B7" w14:paraId="55E7C7F2" w14:textId="77777777" w:rsidTr="00643287">
        <w:trPr>
          <w:trHeight w:val="373"/>
        </w:trPr>
        <w:tc>
          <w:tcPr>
            <w:tcW w:w="1047" w:type="dxa"/>
          </w:tcPr>
          <w:p w14:paraId="09485DAB"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CID</w:t>
            </w:r>
          </w:p>
        </w:tc>
        <w:tc>
          <w:tcPr>
            <w:tcW w:w="858" w:type="dxa"/>
          </w:tcPr>
          <w:p w14:paraId="383E2E6E"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Commenter</w:t>
            </w:r>
          </w:p>
        </w:tc>
        <w:tc>
          <w:tcPr>
            <w:tcW w:w="858" w:type="dxa"/>
          </w:tcPr>
          <w:p w14:paraId="44880C79"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P.L</w:t>
            </w:r>
          </w:p>
        </w:tc>
        <w:tc>
          <w:tcPr>
            <w:tcW w:w="1035" w:type="dxa"/>
          </w:tcPr>
          <w:p w14:paraId="325367FB"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Clause</w:t>
            </w:r>
          </w:p>
        </w:tc>
        <w:tc>
          <w:tcPr>
            <w:tcW w:w="2610" w:type="dxa"/>
          </w:tcPr>
          <w:p w14:paraId="44C8E2D9"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Comment</w:t>
            </w:r>
          </w:p>
        </w:tc>
        <w:tc>
          <w:tcPr>
            <w:tcW w:w="2070" w:type="dxa"/>
          </w:tcPr>
          <w:p w14:paraId="69B3706D" w14:textId="77777777" w:rsidR="007D0A2A" w:rsidRPr="00D204B7" w:rsidRDefault="007D0A2A" w:rsidP="00643287">
            <w:pPr>
              <w:autoSpaceDE w:val="0"/>
              <w:autoSpaceDN w:val="0"/>
              <w:adjustRightInd w:val="0"/>
              <w:jc w:val="center"/>
              <w:rPr>
                <w:b/>
                <w:bCs/>
                <w:sz w:val="16"/>
                <w:szCs w:val="16"/>
                <w:lang w:eastAsia="ko-KR"/>
              </w:rPr>
            </w:pPr>
            <w:r w:rsidRPr="00D204B7">
              <w:rPr>
                <w:b/>
                <w:bCs/>
                <w:sz w:val="16"/>
                <w:szCs w:val="16"/>
                <w:lang w:eastAsia="ko-KR"/>
              </w:rPr>
              <w:t>Proposed Change</w:t>
            </w:r>
          </w:p>
        </w:tc>
        <w:tc>
          <w:tcPr>
            <w:tcW w:w="2070" w:type="dxa"/>
          </w:tcPr>
          <w:p w14:paraId="23ECFE62" w14:textId="77777777" w:rsidR="007D0A2A" w:rsidRPr="00D204B7" w:rsidRDefault="007D0A2A" w:rsidP="00643287">
            <w:pPr>
              <w:autoSpaceDE w:val="0"/>
              <w:autoSpaceDN w:val="0"/>
              <w:adjustRightInd w:val="0"/>
              <w:jc w:val="center"/>
              <w:rPr>
                <w:b/>
                <w:bCs/>
                <w:sz w:val="16"/>
                <w:szCs w:val="16"/>
                <w:lang w:eastAsia="ko-KR"/>
              </w:rPr>
            </w:pPr>
            <w:r>
              <w:rPr>
                <w:b/>
                <w:bCs/>
                <w:sz w:val="16"/>
                <w:szCs w:val="16"/>
                <w:lang w:eastAsia="ko-KR"/>
              </w:rPr>
              <w:t>Resolution</w:t>
            </w:r>
          </w:p>
        </w:tc>
      </w:tr>
      <w:tr w:rsidR="007D0A2A" w:rsidRPr="00292483" w14:paraId="1A42F2FF" w14:textId="77777777" w:rsidTr="00643287">
        <w:trPr>
          <w:trHeight w:val="1683"/>
        </w:trPr>
        <w:tc>
          <w:tcPr>
            <w:tcW w:w="1047" w:type="dxa"/>
          </w:tcPr>
          <w:p w14:paraId="37EE80A8" w14:textId="0382EDFF" w:rsidR="007D0A2A" w:rsidRPr="00A37B98" w:rsidRDefault="007D0A2A" w:rsidP="00643287">
            <w:pPr>
              <w:rPr>
                <w:color w:val="000000"/>
                <w:sz w:val="16"/>
                <w:szCs w:val="16"/>
              </w:rPr>
            </w:pPr>
            <w:r>
              <w:rPr>
                <w:color w:val="000000"/>
                <w:sz w:val="16"/>
                <w:szCs w:val="16"/>
              </w:rPr>
              <w:t>8470</w:t>
            </w:r>
          </w:p>
        </w:tc>
        <w:tc>
          <w:tcPr>
            <w:tcW w:w="858" w:type="dxa"/>
          </w:tcPr>
          <w:p w14:paraId="53CA7C87" w14:textId="77777777" w:rsidR="007D0A2A" w:rsidRPr="00A37B98" w:rsidRDefault="007D0A2A" w:rsidP="00643287">
            <w:pPr>
              <w:rPr>
                <w:strike/>
                <w:color w:val="000000"/>
                <w:sz w:val="16"/>
                <w:szCs w:val="16"/>
              </w:rPr>
            </w:pPr>
            <w:r w:rsidRPr="00B01EBE">
              <w:rPr>
                <w:color w:val="000000"/>
                <w:sz w:val="16"/>
                <w:szCs w:val="16"/>
              </w:rPr>
              <w:t>Asterjadhi, Alfred</w:t>
            </w:r>
          </w:p>
        </w:tc>
        <w:tc>
          <w:tcPr>
            <w:tcW w:w="858" w:type="dxa"/>
          </w:tcPr>
          <w:p w14:paraId="1A183C88" w14:textId="00D2A552" w:rsidR="007D0A2A" w:rsidRPr="00A37B98" w:rsidRDefault="007D0A2A" w:rsidP="00643287">
            <w:pPr>
              <w:rPr>
                <w:color w:val="000000"/>
                <w:sz w:val="16"/>
                <w:szCs w:val="16"/>
              </w:rPr>
            </w:pPr>
            <w:r>
              <w:rPr>
                <w:color w:val="000000"/>
                <w:sz w:val="16"/>
                <w:szCs w:val="16"/>
              </w:rPr>
              <w:t>241, 20</w:t>
            </w:r>
          </w:p>
        </w:tc>
        <w:tc>
          <w:tcPr>
            <w:tcW w:w="1035" w:type="dxa"/>
          </w:tcPr>
          <w:p w14:paraId="2ED7000E" w14:textId="77777777" w:rsidR="007D0A2A" w:rsidRPr="00A37B98" w:rsidRDefault="007D0A2A" w:rsidP="00643287">
            <w:pPr>
              <w:rPr>
                <w:color w:val="000000"/>
                <w:sz w:val="16"/>
                <w:szCs w:val="16"/>
              </w:rPr>
            </w:pPr>
            <w:r w:rsidRPr="00B01EBE">
              <w:rPr>
                <w:color w:val="000000"/>
                <w:sz w:val="16"/>
                <w:szCs w:val="16"/>
              </w:rPr>
              <w:t>9.3.2.</w:t>
            </w:r>
            <w:r>
              <w:rPr>
                <w:color w:val="000000"/>
                <w:sz w:val="16"/>
                <w:szCs w:val="16"/>
              </w:rPr>
              <w:t>4a</w:t>
            </w:r>
          </w:p>
        </w:tc>
        <w:tc>
          <w:tcPr>
            <w:tcW w:w="2610" w:type="dxa"/>
          </w:tcPr>
          <w:p w14:paraId="0929D9FA" w14:textId="11973694" w:rsidR="007D0A2A" w:rsidRPr="00A37B98" w:rsidRDefault="007D0A2A" w:rsidP="00643287">
            <w:pPr>
              <w:rPr>
                <w:color w:val="000000"/>
                <w:sz w:val="16"/>
                <w:szCs w:val="16"/>
              </w:rPr>
            </w:pPr>
            <w:r w:rsidRPr="007D0A2A">
              <w:rPr>
                <w:color w:val="000000"/>
                <w:sz w:val="16"/>
                <w:szCs w:val="16"/>
              </w:rPr>
              <w:t>"The RID counter shall start at the end of the received S1G PPDU, except when the PPDU either contains a valid nonzero Duration field that updates the NAV as described in 9.3.2.4 (Setting and resetting the NAV) or it is intended to the S1G STA in which cases the RID shall be reset." The RID counter shall start only when it is updated (because otherwise it is continuing countign down as usual. Also that updated the NAV as described in 9.xxx is not needed since the RID is not called whenever the Duration field is valid (i.e., even if it does not set the NAV).</w:t>
            </w:r>
          </w:p>
        </w:tc>
        <w:tc>
          <w:tcPr>
            <w:tcW w:w="2070" w:type="dxa"/>
          </w:tcPr>
          <w:p w14:paraId="22A8B92C" w14:textId="77777777" w:rsidR="007D0A2A" w:rsidRPr="007D0A2A" w:rsidRDefault="007D0A2A" w:rsidP="007D0A2A">
            <w:pPr>
              <w:rPr>
                <w:color w:val="FF0000"/>
                <w:sz w:val="16"/>
                <w:szCs w:val="16"/>
              </w:rPr>
            </w:pPr>
            <w:r w:rsidRPr="007D0A2A">
              <w:rPr>
                <w:color w:val="FF0000"/>
                <w:sz w:val="16"/>
                <w:szCs w:val="16"/>
              </w:rPr>
              <w:t>Replace quoted text with:</w:t>
            </w:r>
          </w:p>
          <w:p w14:paraId="3DD4A2DA" w14:textId="77777777" w:rsidR="007D0A2A" w:rsidRPr="007D0A2A" w:rsidRDefault="007D0A2A" w:rsidP="007D0A2A">
            <w:pPr>
              <w:rPr>
                <w:color w:val="FF0000"/>
                <w:sz w:val="16"/>
                <w:szCs w:val="16"/>
              </w:rPr>
            </w:pPr>
          </w:p>
          <w:p w14:paraId="44ABBE71" w14:textId="2178652E" w:rsidR="007D0A2A" w:rsidRPr="00A37B98" w:rsidRDefault="007D0A2A" w:rsidP="007D0A2A">
            <w:pPr>
              <w:rPr>
                <w:strike/>
                <w:color w:val="000000"/>
                <w:sz w:val="16"/>
                <w:szCs w:val="16"/>
              </w:rPr>
            </w:pPr>
            <w:r w:rsidRPr="007D0A2A">
              <w:rPr>
                <w:color w:val="FF0000"/>
                <w:sz w:val="16"/>
                <w:szCs w:val="16"/>
              </w:rPr>
              <w:t>"If the RID counter is updated then it shall start  counting down at the end of the received S1G PPDU, except when the PPDU either contains a valid nonzero Duration field that is used for setting the NAV or it is intended to the S1G STA in which cases the RID shall be reset."</w:t>
            </w:r>
          </w:p>
        </w:tc>
        <w:tc>
          <w:tcPr>
            <w:tcW w:w="2070" w:type="dxa"/>
          </w:tcPr>
          <w:p w14:paraId="3EA923D7" w14:textId="77777777" w:rsidR="007D0A2A" w:rsidRDefault="007D0A2A" w:rsidP="007D0A2A">
            <w:pPr>
              <w:rPr>
                <w:rStyle w:val="SC10323600"/>
                <w:sz w:val="16"/>
                <w:szCs w:val="16"/>
              </w:rPr>
            </w:pPr>
            <w:r>
              <w:rPr>
                <w:rStyle w:val="SC10323600"/>
                <w:sz w:val="16"/>
                <w:szCs w:val="16"/>
              </w:rPr>
              <w:t>Counter.</w:t>
            </w:r>
          </w:p>
          <w:p w14:paraId="56A2CF67" w14:textId="361E2CCA" w:rsidR="007D0A2A" w:rsidRPr="007D0A2A" w:rsidRDefault="007D0A2A" w:rsidP="007D0A2A">
            <w:pPr>
              <w:rPr>
                <w:color w:val="000000"/>
                <w:sz w:val="16"/>
                <w:szCs w:val="16"/>
              </w:rPr>
            </w:pPr>
            <w:r w:rsidRPr="007D0A2A">
              <w:rPr>
                <w:rStyle w:val="SC10323600"/>
                <w:sz w:val="16"/>
                <w:szCs w:val="16"/>
              </w:rPr>
              <w:t>A S1G STA upon receiving a member PPDU shall start the RID counter at the end of the received S1G PPDU, except when the PPDU either contains a valid nonzero Duration field that updates the NAV as described in 9.3.2.4 (Setting and resetting the NAV) or it is intended to the S1G STA in which cases the RID shall be reset.</w:t>
            </w:r>
          </w:p>
          <w:p w14:paraId="1393702C" w14:textId="77777777" w:rsidR="007D0A2A" w:rsidRPr="00920383" w:rsidRDefault="007D0A2A" w:rsidP="00643287">
            <w:pPr>
              <w:rPr>
                <w:color w:val="FF0000"/>
                <w:sz w:val="16"/>
                <w:szCs w:val="16"/>
              </w:rPr>
            </w:pPr>
          </w:p>
        </w:tc>
      </w:tr>
    </w:tbl>
    <w:p w14:paraId="2F44D82E" w14:textId="79D0BC81" w:rsidR="00B01EBE" w:rsidRDefault="00B01EBE" w:rsidP="007D347E">
      <w:pPr>
        <w:pStyle w:val="Default"/>
        <w:rPr>
          <w:b/>
        </w:rPr>
      </w:pPr>
    </w:p>
    <w:p w14:paraId="3C8FEDD3" w14:textId="34CF6EEE" w:rsidR="007D0A2A" w:rsidRPr="00B01EBE" w:rsidRDefault="007D0A2A" w:rsidP="007D0A2A">
      <w:pPr>
        <w:pStyle w:val="Default"/>
        <w:rPr>
          <w:b/>
          <w:color w:val="FF0000"/>
        </w:rPr>
      </w:pPr>
      <w:r w:rsidRPr="00B01EBE">
        <w:rPr>
          <w:b/>
          <w:color w:val="FF0000"/>
        </w:rPr>
        <w:t>Editor notes: Make the following change to Section 9.</w:t>
      </w:r>
      <w:r>
        <w:rPr>
          <w:b/>
          <w:color w:val="FF0000"/>
        </w:rPr>
        <w:t>3.2.4a</w:t>
      </w:r>
    </w:p>
    <w:p w14:paraId="14DF7B34" w14:textId="77777777" w:rsidR="007D0A2A" w:rsidRDefault="007D0A2A" w:rsidP="007D0A2A">
      <w:pPr>
        <w:pStyle w:val="Default"/>
      </w:pPr>
    </w:p>
    <w:p w14:paraId="0F961305" w14:textId="6031DD2A" w:rsidR="007D0A2A" w:rsidRDefault="007D0A2A" w:rsidP="007D0A2A">
      <w:pPr>
        <w:pStyle w:val="Default"/>
        <w:rPr>
          <w:b/>
        </w:rPr>
      </w:pPr>
      <w:r w:rsidRPr="007D0A2A">
        <w:rPr>
          <w:strike/>
          <w:sz w:val="20"/>
          <w:szCs w:val="20"/>
        </w:rPr>
        <w:t>The RID counter shall start</w:t>
      </w:r>
      <w:r w:rsidRPr="007D0A2A">
        <w:rPr>
          <w:sz w:val="20"/>
          <w:szCs w:val="20"/>
        </w:rPr>
        <w:t xml:space="preserve"> </w:t>
      </w:r>
      <w:r w:rsidRPr="007D0A2A">
        <w:rPr>
          <w:rStyle w:val="SC10323600"/>
          <w:b w:val="0"/>
          <w:color w:val="FF0000"/>
          <w:sz w:val="16"/>
          <w:szCs w:val="16"/>
        </w:rPr>
        <w:t>A S1G STA upon receiving a member PPDU shall start the RID counter</w:t>
      </w:r>
      <w:r w:rsidRPr="007D0A2A">
        <w:rPr>
          <w:rStyle w:val="SC10323600"/>
          <w:color w:val="FF0000"/>
          <w:sz w:val="16"/>
          <w:szCs w:val="16"/>
        </w:rPr>
        <w:t xml:space="preserve"> </w:t>
      </w:r>
      <w:r w:rsidRPr="007D0A2A">
        <w:rPr>
          <w:sz w:val="20"/>
          <w:szCs w:val="20"/>
        </w:rPr>
        <w:t>at the end of the received S1G PPDU, except when the PPDU either contains a valid nonzero Duration field that updates the NAV as described in 9.3.2.4 (Setting and resetting the NAV) or it is intended to the S1G STA in which cases the RID shall be reset.</w:t>
      </w:r>
    </w:p>
    <w:sectPr w:rsidR="007D0A2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C34CC" w14:textId="77777777" w:rsidR="00D25F4E" w:rsidRDefault="00D25F4E">
      <w:r>
        <w:separator/>
      </w:r>
    </w:p>
  </w:endnote>
  <w:endnote w:type="continuationSeparator" w:id="0">
    <w:p w14:paraId="5EAE507C" w14:textId="77777777" w:rsidR="00D25F4E" w:rsidRDefault="00D2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B7DB" w14:textId="7743FBF6" w:rsidR="002A2F8B" w:rsidRDefault="00D25F4E">
    <w:pPr>
      <w:pStyle w:val="Footer"/>
      <w:tabs>
        <w:tab w:val="clear" w:pos="6480"/>
        <w:tab w:val="center" w:pos="4680"/>
        <w:tab w:val="right" w:pos="9360"/>
      </w:tabs>
    </w:pPr>
    <w:r>
      <w:fldChar w:fldCharType="begin"/>
    </w:r>
    <w:r>
      <w:instrText xml:space="preserve"> SUBJECT  \* MERGEFORMAT </w:instrText>
    </w:r>
    <w:r>
      <w:fldChar w:fldCharType="separate"/>
    </w:r>
    <w:r w:rsidR="002A2F8B">
      <w:t>Submission</w:t>
    </w:r>
    <w:r>
      <w:fldChar w:fldCharType="end"/>
    </w:r>
    <w:r w:rsidR="002A2F8B">
      <w:tab/>
      <w:t xml:space="preserve">page </w:t>
    </w:r>
    <w:r w:rsidR="002A2F8B">
      <w:fldChar w:fldCharType="begin"/>
    </w:r>
    <w:r w:rsidR="002A2F8B">
      <w:instrText xml:space="preserve">page </w:instrText>
    </w:r>
    <w:r w:rsidR="002A2F8B">
      <w:fldChar w:fldCharType="separate"/>
    </w:r>
    <w:r w:rsidR="00846B41">
      <w:rPr>
        <w:noProof/>
      </w:rPr>
      <w:t>2</w:t>
    </w:r>
    <w:r w:rsidR="002A2F8B">
      <w:rPr>
        <w:noProof/>
      </w:rPr>
      <w:fldChar w:fldCharType="end"/>
    </w:r>
    <w:r w:rsidR="002A2F8B">
      <w:tab/>
    </w:r>
    <w:r w:rsidR="003765EC">
      <w:rPr>
        <w:lang w:eastAsia="ko-KR"/>
      </w:rPr>
      <w:t>Kakani et. al</w:t>
    </w:r>
    <w:r w:rsidR="002A2F8B">
      <w:rPr>
        <w:lang w:eastAsia="ko-KR"/>
      </w:rPr>
      <w:t xml:space="preserve">, </w:t>
    </w:r>
    <w:r w:rsidR="00F64FB0">
      <w:rPr>
        <w:lang w:eastAsia="ko-KR"/>
      </w:rPr>
      <w:t>Qualcomm</w:t>
    </w:r>
    <w:r w:rsidR="002A2F8B">
      <w:rPr>
        <w:lang w:eastAsia="ko-KR"/>
      </w:rPr>
      <w:t xml:space="preserve"> Inc.</w:t>
    </w:r>
  </w:p>
  <w:p w14:paraId="09A63F21" w14:textId="77777777" w:rsidR="002A2F8B" w:rsidRDefault="002A2F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456C7" w14:textId="77777777" w:rsidR="00D25F4E" w:rsidRDefault="00D25F4E">
      <w:r>
        <w:separator/>
      </w:r>
    </w:p>
  </w:footnote>
  <w:footnote w:type="continuationSeparator" w:id="0">
    <w:p w14:paraId="179E7B37" w14:textId="77777777" w:rsidR="00D25F4E" w:rsidRDefault="00D25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4B5A4" w14:textId="13EF8E9F" w:rsidR="002A2F8B" w:rsidRDefault="003765EC">
    <w:pPr>
      <w:pStyle w:val="Header"/>
      <w:tabs>
        <w:tab w:val="clear" w:pos="6480"/>
        <w:tab w:val="center" w:pos="4680"/>
        <w:tab w:val="right" w:pos="9360"/>
      </w:tabs>
      <w:rPr>
        <w:lang w:eastAsia="ko-KR"/>
      </w:rPr>
    </w:pPr>
    <w:r>
      <w:rPr>
        <w:lang w:eastAsia="ko-KR"/>
      </w:rPr>
      <w:t>January</w:t>
    </w:r>
    <w:r w:rsidR="002A2F8B">
      <w:rPr>
        <w:lang w:eastAsia="ko-KR"/>
      </w:rPr>
      <w:t xml:space="preserve"> </w:t>
    </w:r>
    <w:r w:rsidR="002A2F8B">
      <w:t>201</w:t>
    </w:r>
    <w:r>
      <w:t>6</w:t>
    </w:r>
    <w:r w:rsidR="002A2F8B">
      <w:tab/>
    </w:r>
    <w:r w:rsidR="002A2F8B">
      <w:tab/>
    </w:r>
    <w:r w:rsidR="00846B41">
      <w:t>doc.: IEEE 802.</w:t>
    </w:r>
    <w:r w:rsidR="00846B41">
      <w:rPr>
        <w:rStyle w:val="highlight1"/>
        <w:rFonts w:ascii="Verdana" w:hAnsi="Verdana"/>
        <w:color w:val="000000"/>
      </w:rPr>
      <w:t>11-16/</w:t>
    </w:r>
    <w:r w:rsidR="00846B41">
      <w:rPr>
        <w:rStyle w:val="highlight1"/>
        <w:rFonts w:ascii="Verdana" w:hAnsi="Verdana"/>
        <w:color w:val="000000"/>
      </w:rPr>
      <w:t>167</w:t>
    </w:r>
    <w:r w:rsidR="00846B41">
      <w:rPr>
        <w:rStyle w:val="highlight1"/>
        <w:rFonts w:ascii="Verdana" w:hAnsi="Verdana"/>
        <w:color w:val="000000"/>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A7AAF"/>
    <w:multiLevelType w:val="hybridMultilevel"/>
    <w:tmpl w:val="D72C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12720"/>
    <w:multiLevelType w:val="hybridMultilevel"/>
    <w:tmpl w:val="80EA1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C304B"/>
    <w:multiLevelType w:val="multilevel"/>
    <w:tmpl w:val="C8B6AD0C"/>
    <w:lvl w:ilvl="0">
      <w:start w:val="24"/>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4"/>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6C961B7"/>
    <w:multiLevelType w:val="hybridMultilevel"/>
    <w:tmpl w:val="AC6A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788"/>
    <w:multiLevelType w:val="hybridMultilevel"/>
    <w:tmpl w:val="1EDE9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1451A8"/>
    <w:multiLevelType w:val="hybridMultilevel"/>
    <w:tmpl w:val="AB96219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15:restartNumberingAfterBreak="0">
    <w:nsid w:val="312100F3"/>
    <w:multiLevelType w:val="hybridMultilevel"/>
    <w:tmpl w:val="3548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B950A9"/>
    <w:multiLevelType w:val="hybridMultilevel"/>
    <w:tmpl w:val="5DB09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E7164B"/>
    <w:multiLevelType w:val="hybridMultilevel"/>
    <w:tmpl w:val="DBC2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4"/>
  </w:num>
  <w:num w:numId="7">
    <w:abstractNumId w:val="15"/>
  </w:num>
  <w:num w:numId="8">
    <w:abstractNumId w:val="13"/>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6"/>
  </w:num>
  <w:num w:numId="42">
    <w:abstractNumId w:val="2"/>
  </w:num>
  <w:num w:numId="43">
    <w:abstractNumId w:val="3"/>
  </w:num>
  <w:num w:numId="44">
    <w:abstractNumId w:val="17"/>
  </w:num>
  <w:num w:numId="45">
    <w:abstractNumId w:val="9"/>
  </w:num>
  <w:num w:numId="46">
    <w:abstractNumId w:val="5"/>
  </w:num>
  <w:num w:numId="47">
    <w:abstractNumId w:val="1"/>
  </w:num>
  <w:num w:numId="48">
    <w:abstractNumId w:val="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6094"/>
    <w:rsid w:val="00027D05"/>
    <w:rsid w:val="000405C4"/>
    <w:rsid w:val="00044DC0"/>
    <w:rsid w:val="000478EE"/>
    <w:rsid w:val="00052123"/>
    <w:rsid w:val="000567DA"/>
    <w:rsid w:val="000642FC"/>
    <w:rsid w:val="0006732A"/>
    <w:rsid w:val="00071E9B"/>
    <w:rsid w:val="00073BB4"/>
    <w:rsid w:val="00075C3C"/>
    <w:rsid w:val="00075E1E"/>
    <w:rsid w:val="00076885"/>
    <w:rsid w:val="00080ACC"/>
    <w:rsid w:val="000815C7"/>
    <w:rsid w:val="00081E62"/>
    <w:rsid w:val="000823C8"/>
    <w:rsid w:val="000829FF"/>
    <w:rsid w:val="0008302D"/>
    <w:rsid w:val="000865AA"/>
    <w:rsid w:val="00086780"/>
    <w:rsid w:val="000874C3"/>
    <w:rsid w:val="00090640"/>
    <w:rsid w:val="00092971"/>
    <w:rsid w:val="00092AC6"/>
    <w:rsid w:val="00094ADE"/>
    <w:rsid w:val="00094FFA"/>
    <w:rsid w:val="000C4DB3"/>
    <w:rsid w:val="000C64D7"/>
    <w:rsid w:val="000C6A30"/>
    <w:rsid w:val="000D174A"/>
    <w:rsid w:val="000D276A"/>
    <w:rsid w:val="000D2F1B"/>
    <w:rsid w:val="000D4A8F"/>
    <w:rsid w:val="000D5EBD"/>
    <w:rsid w:val="000D674F"/>
    <w:rsid w:val="000E0494"/>
    <w:rsid w:val="000E1C37"/>
    <w:rsid w:val="000E1D7B"/>
    <w:rsid w:val="000E2A66"/>
    <w:rsid w:val="000E3C11"/>
    <w:rsid w:val="000E4B82"/>
    <w:rsid w:val="000E720C"/>
    <w:rsid w:val="000F238C"/>
    <w:rsid w:val="000F4937"/>
    <w:rsid w:val="000F5088"/>
    <w:rsid w:val="000F685B"/>
    <w:rsid w:val="001015F8"/>
    <w:rsid w:val="00105918"/>
    <w:rsid w:val="001101C2"/>
    <w:rsid w:val="001109AA"/>
    <w:rsid w:val="00112C6A"/>
    <w:rsid w:val="00115A75"/>
    <w:rsid w:val="00120298"/>
    <w:rsid w:val="00120304"/>
    <w:rsid w:val="00120BD6"/>
    <w:rsid w:val="001215C0"/>
    <w:rsid w:val="00122D51"/>
    <w:rsid w:val="00126052"/>
    <w:rsid w:val="001275D7"/>
    <w:rsid w:val="00134114"/>
    <w:rsid w:val="00142F29"/>
    <w:rsid w:val="0014485F"/>
    <w:rsid w:val="001448D8"/>
    <w:rsid w:val="001450BB"/>
    <w:rsid w:val="001459E7"/>
    <w:rsid w:val="00146BBC"/>
    <w:rsid w:val="00151BBE"/>
    <w:rsid w:val="00154B26"/>
    <w:rsid w:val="001559BB"/>
    <w:rsid w:val="0016428D"/>
    <w:rsid w:val="00165BE6"/>
    <w:rsid w:val="00172DD9"/>
    <w:rsid w:val="001738FD"/>
    <w:rsid w:val="00175CDF"/>
    <w:rsid w:val="0017659B"/>
    <w:rsid w:val="001812B0"/>
    <w:rsid w:val="00181423"/>
    <w:rsid w:val="00183F4C"/>
    <w:rsid w:val="00187129"/>
    <w:rsid w:val="001913E6"/>
    <w:rsid w:val="0019164F"/>
    <w:rsid w:val="00192C6E"/>
    <w:rsid w:val="00193C39"/>
    <w:rsid w:val="001943F7"/>
    <w:rsid w:val="001A0EDB"/>
    <w:rsid w:val="001A2240"/>
    <w:rsid w:val="001B252D"/>
    <w:rsid w:val="001B2904"/>
    <w:rsid w:val="001B63BC"/>
    <w:rsid w:val="001C64E2"/>
    <w:rsid w:val="001C7CCE"/>
    <w:rsid w:val="001D15ED"/>
    <w:rsid w:val="001D328B"/>
    <w:rsid w:val="001D4A93"/>
    <w:rsid w:val="001D7948"/>
    <w:rsid w:val="001E0946"/>
    <w:rsid w:val="001E5B9B"/>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0794"/>
    <w:rsid w:val="0022139A"/>
    <w:rsid w:val="00222D38"/>
    <w:rsid w:val="002239F2"/>
    <w:rsid w:val="0022465C"/>
    <w:rsid w:val="00225508"/>
    <w:rsid w:val="00225570"/>
    <w:rsid w:val="002323FE"/>
    <w:rsid w:val="00232C31"/>
    <w:rsid w:val="00234C13"/>
    <w:rsid w:val="002369FD"/>
    <w:rsid w:val="00236A7E"/>
    <w:rsid w:val="0023760F"/>
    <w:rsid w:val="00237985"/>
    <w:rsid w:val="00240895"/>
    <w:rsid w:val="0024158C"/>
    <w:rsid w:val="00241AD7"/>
    <w:rsid w:val="00244372"/>
    <w:rsid w:val="002470AC"/>
    <w:rsid w:val="0024720B"/>
    <w:rsid w:val="002505D1"/>
    <w:rsid w:val="00252D47"/>
    <w:rsid w:val="00254298"/>
    <w:rsid w:val="00255A8B"/>
    <w:rsid w:val="00262764"/>
    <w:rsid w:val="00263092"/>
    <w:rsid w:val="002662A5"/>
    <w:rsid w:val="00273257"/>
    <w:rsid w:val="0028087B"/>
    <w:rsid w:val="00280918"/>
    <w:rsid w:val="00281A5D"/>
    <w:rsid w:val="00282053"/>
    <w:rsid w:val="00284C5E"/>
    <w:rsid w:val="002859BD"/>
    <w:rsid w:val="00291883"/>
    <w:rsid w:val="00291A10"/>
    <w:rsid w:val="00292483"/>
    <w:rsid w:val="00294B37"/>
    <w:rsid w:val="00297F3F"/>
    <w:rsid w:val="002A195C"/>
    <w:rsid w:val="002A2F8B"/>
    <w:rsid w:val="002A4157"/>
    <w:rsid w:val="002A4A61"/>
    <w:rsid w:val="002A4C48"/>
    <w:rsid w:val="002A71D9"/>
    <w:rsid w:val="002B722F"/>
    <w:rsid w:val="002C6B4F"/>
    <w:rsid w:val="002C6CFB"/>
    <w:rsid w:val="002C72E1"/>
    <w:rsid w:val="002D001B"/>
    <w:rsid w:val="002D1D40"/>
    <w:rsid w:val="002D31AF"/>
    <w:rsid w:val="002D518F"/>
    <w:rsid w:val="002D7527"/>
    <w:rsid w:val="002D7ED5"/>
    <w:rsid w:val="002E1B18"/>
    <w:rsid w:val="002E204E"/>
    <w:rsid w:val="002E41A6"/>
    <w:rsid w:val="002E6FF6"/>
    <w:rsid w:val="002E7548"/>
    <w:rsid w:val="002F25B2"/>
    <w:rsid w:val="002F2BC5"/>
    <w:rsid w:val="002F376B"/>
    <w:rsid w:val="002F5C8C"/>
    <w:rsid w:val="002F7199"/>
    <w:rsid w:val="002F7D11"/>
    <w:rsid w:val="0030081B"/>
    <w:rsid w:val="003024ED"/>
    <w:rsid w:val="00305D6E"/>
    <w:rsid w:val="0030782E"/>
    <w:rsid w:val="00307F5F"/>
    <w:rsid w:val="0031330A"/>
    <w:rsid w:val="003214E2"/>
    <w:rsid w:val="00325AB6"/>
    <w:rsid w:val="003267C0"/>
    <w:rsid w:val="003308A8"/>
    <w:rsid w:val="003449F9"/>
    <w:rsid w:val="00344DA5"/>
    <w:rsid w:val="00347989"/>
    <w:rsid w:val="003479E4"/>
    <w:rsid w:val="00347C43"/>
    <w:rsid w:val="0035213C"/>
    <w:rsid w:val="0035352B"/>
    <w:rsid w:val="00360C87"/>
    <w:rsid w:val="00360D37"/>
    <w:rsid w:val="00362C5B"/>
    <w:rsid w:val="00365E67"/>
    <w:rsid w:val="00366AF0"/>
    <w:rsid w:val="003713CA"/>
    <w:rsid w:val="003729FC"/>
    <w:rsid w:val="00372FCA"/>
    <w:rsid w:val="00375207"/>
    <w:rsid w:val="003765EC"/>
    <w:rsid w:val="003766B9"/>
    <w:rsid w:val="00382C54"/>
    <w:rsid w:val="0038516A"/>
    <w:rsid w:val="00385654"/>
    <w:rsid w:val="0038601E"/>
    <w:rsid w:val="0038781A"/>
    <w:rsid w:val="003906A1"/>
    <w:rsid w:val="003924F8"/>
    <w:rsid w:val="003945E3"/>
    <w:rsid w:val="00394C8E"/>
    <w:rsid w:val="00395A50"/>
    <w:rsid w:val="0039787F"/>
    <w:rsid w:val="00397999"/>
    <w:rsid w:val="003A161F"/>
    <w:rsid w:val="003A1693"/>
    <w:rsid w:val="003A1CC7"/>
    <w:rsid w:val="003A3196"/>
    <w:rsid w:val="003A478D"/>
    <w:rsid w:val="003A5BFF"/>
    <w:rsid w:val="003A6E5B"/>
    <w:rsid w:val="003B03CE"/>
    <w:rsid w:val="003B1CFE"/>
    <w:rsid w:val="003B4DAD"/>
    <w:rsid w:val="003B52F2"/>
    <w:rsid w:val="003B76BD"/>
    <w:rsid w:val="003C1F37"/>
    <w:rsid w:val="003C2B82"/>
    <w:rsid w:val="003C47D1"/>
    <w:rsid w:val="003C58AE"/>
    <w:rsid w:val="003C74FF"/>
    <w:rsid w:val="003D1D90"/>
    <w:rsid w:val="003D26A5"/>
    <w:rsid w:val="003D3623"/>
    <w:rsid w:val="003D4734"/>
    <w:rsid w:val="003D5013"/>
    <w:rsid w:val="003D78F7"/>
    <w:rsid w:val="003E4403"/>
    <w:rsid w:val="003E540D"/>
    <w:rsid w:val="003E5916"/>
    <w:rsid w:val="003E5CD9"/>
    <w:rsid w:val="003E5DE7"/>
    <w:rsid w:val="003E667C"/>
    <w:rsid w:val="003E7414"/>
    <w:rsid w:val="003E7F99"/>
    <w:rsid w:val="003F2D6C"/>
    <w:rsid w:val="004014AE"/>
    <w:rsid w:val="00403645"/>
    <w:rsid w:val="00403C35"/>
    <w:rsid w:val="00404076"/>
    <w:rsid w:val="004051EE"/>
    <w:rsid w:val="00407C5B"/>
    <w:rsid w:val="00410704"/>
    <w:rsid w:val="00414151"/>
    <w:rsid w:val="00415F0F"/>
    <w:rsid w:val="00421159"/>
    <w:rsid w:val="00430648"/>
    <w:rsid w:val="00435208"/>
    <w:rsid w:val="00440FF1"/>
    <w:rsid w:val="004417F2"/>
    <w:rsid w:val="00442799"/>
    <w:rsid w:val="00443FBF"/>
    <w:rsid w:val="004452DF"/>
    <w:rsid w:val="004457D5"/>
    <w:rsid w:val="00446373"/>
    <w:rsid w:val="004473FF"/>
    <w:rsid w:val="004507E7"/>
    <w:rsid w:val="00450CC0"/>
    <w:rsid w:val="00451FBF"/>
    <w:rsid w:val="00455541"/>
    <w:rsid w:val="00456223"/>
    <w:rsid w:val="00457028"/>
    <w:rsid w:val="00457FA3"/>
    <w:rsid w:val="00462172"/>
    <w:rsid w:val="0047267B"/>
    <w:rsid w:val="00475A71"/>
    <w:rsid w:val="004821A5"/>
    <w:rsid w:val="004828D5"/>
    <w:rsid w:val="00482AD0"/>
    <w:rsid w:val="00482AF6"/>
    <w:rsid w:val="00486EB3"/>
    <w:rsid w:val="00493F4F"/>
    <w:rsid w:val="0049468A"/>
    <w:rsid w:val="004A0AF4"/>
    <w:rsid w:val="004A5537"/>
    <w:rsid w:val="004A5CA1"/>
    <w:rsid w:val="004A7671"/>
    <w:rsid w:val="004B2117"/>
    <w:rsid w:val="004B3947"/>
    <w:rsid w:val="004B493F"/>
    <w:rsid w:val="004B7780"/>
    <w:rsid w:val="004C0F0A"/>
    <w:rsid w:val="004C13EF"/>
    <w:rsid w:val="004C2431"/>
    <w:rsid w:val="004C3C2A"/>
    <w:rsid w:val="004C5354"/>
    <w:rsid w:val="004C7CE0"/>
    <w:rsid w:val="004D03A1"/>
    <w:rsid w:val="004D071D"/>
    <w:rsid w:val="004D2D75"/>
    <w:rsid w:val="004D6BE8"/>
    <w:rsid w:val="004D7188"/>
    <w:rsid w:val="004E0209"/>
    <w:rsid w:val="004E2191"/>
    <w:rsid w:val="004E46DF"/>
    <w:rsid w:val="004E49B9"/>
    <w:rsid w:val="004E4B5B"/>
    <w:rsid w:val="004E50B6"/>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6E6B"/>
    <w:rsid w:val="00527489"/>
    <w:rsid w:val="00527BB3"/>
    <w:rsid w:val="00531734"/>
    <w:rsid w:val="0053254A"/>
    <w:rsid w:val="00536278"/>
    <w:rsid w:val="0054235E"/>
    <w:rsid w:val="0054425D"/>
    <w:rsid w:val="0055459B"/>
    <w:rsid w:val="00554995"/>
    <w:rsid w:val="00554EEF"/>
    <w:rsid w:val="00563B85"/>
    <w:rsid w:val="00567934"/>
    <w:rsid w:val="005702B6"/>
    <w:rsid w:val="005703A1"/>
    <w:rsid w:val="00571574"/>
    <w:rsid w:val="00571583"/>
    <w:rsid w:val="00572E7A"/>
    <w:rsid w:val="005737ED"/>
    <w:rsid w:val="00583212"/>
    <w:rsid w:val="005838FC"/>
    <w:rsid w:val="00585D8F"/>
    <w:rsid w:val="00586072"/>
    <w:rsid w:val="0058644C"/>
    <w:rsid w:val="00587F10"/>
    <w:rsid w:val="00591351"/>
    <w:rsid w:val="00596243"/>
    <w:rsid w:val="00596413"/>
    <w:rsid w:val="00596B6A"/>
    <w:rsid w:val="005A16CF"/>
    <w:rsid w:val="005A2ECA"/>
    <w:rsid w:val="005A4504"/>
    <w:rsid w:val="005A6BC3"/>
    <w:rsid w:val="005B151D"/>
    <w:rsid w:val="005B1D73"/>
    <w:rsid w:val="005B31EA"/>
    <w:rsid w:val="005B34A6"/>
    <w:rsid w:val="005B6C67"/>
    <w:rsid w:val="005C0CBC"/>
    <w:rsid w:val="005C0EEF"/>
    <w:rsid w:val="005C4204"/>
    <w:rsid w:val="005C6823"/>
    <w:rsid w:val="005D0C43"/>
    <w:rsid w:val="005D1461"/>
    <w:rsid w:val="005D33B5"/>
    <w:rsid w:val="005D3F28"/>
    <w:rsid w:val="005D5C6E"/>
    <w:rsid w:val="005D74B0"/>
    <w:rsid w:val="005D7951"/>
    <w:rsid w:val="005E3E49"/>
    <w:rsid w:val="005E6C87"/>
    <w:rsid w:val="005E768D"/>
    <w:rsid w:val="005F19DD"/>
    <w:rsid w:val="005F4751"/>
    <w:rsid w:val="005F4AD8"/>
    <w:rsid w:val="005F5ADA"/>
    <w:rsid w:val="005F695C"/>
    <w:rsid w:val="005F71B8"/>
    <w:rsid w:val="00600A10"/>
    <w:rsid w:val="006018F1"/>
    <w:rsid w:val="00601E21"/>
    <w:rsid w:val="00605B9E"/>
    <w:rsid w:val="00610293"/>
    <w:rsid w:val="00610DC8"/>
    <w:rsid w:val="00615E8C"/>
    <w:rsid w:val="00616817"/>
    <w:rsid w:val="00616D5C"/>
    <w:rsid w:val="00621286"/>
    <w:rsid w:val="0062254C"/>
    <w:rsid w:val="0062298E"/>
    <w:rsid w:val="0062350A"/>
    <w:rsid w:val="0062440B"/>
    <w:rsid w:val="006254B0"/>
    <w:rsid w:val="006302F7"/>
    <w:rsid w:val="00631EB7"/>
    <w:rsid w:val="00635200"/>
    <w:rsid w:val="006362D2"/>
    <w:rsid w:val="0064221A"/>
    <w:rsid w:val="00644E29"/>
    <w:rsid w:val="00651050"/>
    <w:rsid w:val="006548B7"/>
    <w:rsid w:val="00654B3B"/>
    <w:rsid w:val="00656882"/>
    <w:rsid w:val="00657DBD"/>
    <w:rsid w:val="00662343"/>
    <w:rsid w:val="0066483B"/>
    <w:rsid w:val="0067069C"/>
    <w:rsid w:val="00671F29"/>
    <w:rsid w:val="0067305F"/>
    <w:rsid w:val="00680308"/>
    <w:rsid w:val="0068429C"/>
    <w:rsid w:val="00687476"/>
    <w:rsid w:val="0069038E"/>
    <w:rsid w:val="0069513B"/>
    <w:rsid w:val="006976B8"/>
    <w:rsid w:val="006A0B4E"/>
    <w:rsid w:val="006A3A0E"/>
    <w:rsid w:val="006A3EB3"/>
    <w:rsid w:val="006A503E"/>
    <w:rsid w:val="006A59BC"/>
    <w:rsid w:val="006A642A"/>
    <w:rsid w:val="006A7F86"/>
    <w:rsid w:val="006C0178"/>
    <w:rsid w:val="006C063A"/>
    <w:rsid w:val="006C1FA8"/>
    <w:rsid w:val="006C243A"/>
    <w:rsid w:val="006C2C97"/>
    <w:rsid w:val="006C42B5"/>
    <w:rsid w:val="006C76B2"/>
    <w:rsid w:val="006D3377"/>
    <w:rsid w:val="006D3E5E"/>
    <w:rsid w:val="006D5362"/>
    <w:rsid w:val="006E181A"/>
    <w:rsid w:val="006E2D44"/>
    <w:rsid w:val="006E435F"/>
    <w:rsid w:val="006F3DD4"/>
    <w:rsid w:val="00710442"/>
    <w:rsid w:val="00711E05"/>
    <w:rsid w:val="007170CC"/>
    <w:rsid w:val="007220CF"/>
    <w:rsid w:val="00724942"/>
    <w:rsid w:val="00725EAC"/>
    <w:rsid w:val="00727341"/>
    <w:rsid w:val="00734F1A"/>
    <w:rsid w:val="00736065"/>
    <w:rsid w:val="0074006F"/>
    <w:rsid w:val="00741D75"/>
    <w:rsid w:val="0074621F"/>
    <w:rsid w:val="007463FB"/>
    <w:rsid w:val="007513CD"/>
    <w:rsid w:val="0075175F"/>
    <w:rsid w:val="00757C9D"/>
    <w:rsid w:val="0076196C"/>
    <w:rsid w:val="00766B1A"/>
    <w:rsid w:val="00766DFE"/>
    <w:rsid w:val="00767630"/>
    <w:rsid w:val="00777D59"/>
    <w:rsid w:val="00783B46"/>
    <w:rsid w:val="00786A15"/>
    <w:rsid w:val="007914E4"/>
    <w:rsid w:val="007914F3"/>
    <w:rsid w:val="007926D8"/>
    <w:rsid w:val="00794BC4"/>
    <w:rsid w:val="00794F1E"/>
    <w:rsid w:val="00795C50"/>
    <w:rsid w:val="00795C8D"/>
    <w:rsid w:val="007A098E"/>
    <w:rsid w:val="007A0E4C"/>
    <w:rsid w:val="007A5765"/>
    <w:rsid w:val="007A5B89"/>
    <w:rsid w:val="007B0E05"/>
    <w:rsid w:val="007B2BDF"/>
    <w:rsid w:val="007C0795"/>
    <w:rsid w:val="007C14AD"/>
    <w:rsid w:val="007C439E"/>
    <w:rsid w:val="007C6C61"/>
    <w:rsid w:val="007D0A2A"/>
    <w:rsid w:val="007D347E"/>
    <w:rsid w:val="007D3C15"/>
    <w:rsid w:val="007D4024"/>
    <w:rsid w:val="007D4D44"/>
    <w:rsid w:val="007D50FF"/>
    <w:rsid w:val="007D58A9"/>
    <w:rsid w:val="007D6B5D"/>
    <w:rsid w:val="007E21DF"/>
    <w:rsid w:val="007E5479"/>
    <w:rsid w:val="007E7CFC"/>
    <w:rsid w:val="007F2366"/>
    <w:rsid w:val="007F6EC7"/>
    <w:rsid w:val="007F75A8"/>
    <w:rsid w:val="00802FC5"/>
    <w:rsid w:val="00806E60"/>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41668"/>
    <w:rsid w:val="008439B6"/>
    <w:rsid w:val="00846B41"/>
    <w:rsid w:val="00850566"/>
    <w:rsid w:val="00852B3C"/>
    <w:rsid w:val="008532E6"/>
    <w:rsid w:val="00853FF2"/>
    <w:rsid w:val="0085795D"/>
    <w:rsid w:val="0086745D"/>
    <w:rsid w:val="00873916"/>
    <w:rsid w:val="008776B0"/>
    <w:rsid w:val="0088012D"/>
    <w:rsid w:val="00881BA2"/>
    <w:rsid w:val="00881C47"/>
    <w:rsid w:val="00884237"/>
    <w:rsid w:val="00887583"/>
    <w:rsid w:val="00890027"/>
    <w:rsid w:val="00891445"/>
    <w:rsid w:val="00897183"/>
    <w:rsid w:val="008A00DB"/>
    <w:rsid w:val="008A164C"/>
    <w:rsid w:val="008A33E6"/>
    <w:rsid w:val="008A5AFD"/>
    <w:rsid w:val="008A75E8"/>
    <w:rsid w:val="008B47B4"/>
    <w:rsid w:val="008B5396"/>
    <w:rsid w:val="008B581F"/>
    <w:rsid w:val="008C0EB2"/>
    <w:rsid w:val="008C4913"/>
    <w:rsid w:val="008C5478"/>
    <w:rsid w:val="008C57E5"/>
    <w:rsid w:val="008C5AD6"/>
    <w:rsid w:val="008C5D4E"/>
    <w:rsid w:val="008C7A4B"/>
    <w:rsid w:val="008D0C05"/>
    <w:rsid w:val="008D2679"/>
    <w:rsid w:val="008D71CE"/>
    <w:rsid w:val="008E0E94"/>
    <w:rsid w:val="008E16CF"/>
    <w:rsid w:val="008E197A"/>
    <w:rsid w:val="008E444B"/>
    <w:rsid w:val="008E63A7"/>
    <w:rsid w:val="008F039B"/>
    <w:rsid w:val="008F1C67"/>
    <w:rsid w:val="008F238D"/>
    <w:rsid w:val="008F55C5"/>
    <w:rsid w:val="008F652E"/>
    <w:rsid w:val="009057D2"/>
    <w:rsid w:val="00905A7F"/>
    <w:rsid w:val="00910F8F"/>
    <w:rsid w:val="0091118D"/>
    <w:rsid w:val="00913B65"/>
    <w:rsid w:val="00920383"/>
    <w:rsid w:val="00920771"/>
    <w:rsid w:val="009225A7"/>
    <w:rsid w:val="00926348"/>
    <w:rsid w:val="00927FEB"/>
    <w:rsid w:val="00934BB2"/>
    <w:rsid w:val="00936D66"/>
    <w:rsid w:val="0094033A"/>
    <w:rsid w:val="0094091B"/>
    <w:rsid w:val="00941581"/>
    <w:rsid w:val="00943F44"/>
    <w:rsid w:val="009441DB"/>
    <w:rsid w:val="0094425F"/>
    <w:rsid w:val="00944591"/>
    <w:rsid w:val="00944CAA"/>
    <w:rsid w:val="0094594C"/>
    <w:rsid w:val="009459D6"/>
    <w:rsid w:val="00951CE8"/>
    <w:rsid w:val="00953565"/>
    <w:rsid w:val="00953D75"/>
    <w:rsid w:val="00954C90"/>
    <w:rsid w:val="00961347"/>
    <w:rsid w:val="00962886"/>
    <w:rsid w:val="00964681"/>
    <w:rsid w:val="009723A1"/>
    <w:rsid w:val="00973614"/>
    <w:rsid w:val="00973CC2"/>
    <w:rsid w:val="009752AA"/>
    <w:rsid w:val="0097724C"/>
    <w:rsid w:val="00980866"/>
    <w:rsid w:val="00980D24"/>
    <w:rsid w:val="00981BA6"/>
    <w:rsid w:val="00982037"/>
    <w:rsid w:val="009824DF"/>
    <w:rsid w:val="0098350B"/>
    <w:rsid w:val="0098405A"/>
    <w:rsid w:val="00991A93"/>
    <w:rsid w:val="00996772"/>
    <w:rsid w:val="009A0E5E"/>
    <w:rsid w:val="009A35DF"/>
    <w:rsid w:val="009B09CD"/>
    <w:rsid w:val="009B2383"/>
    <w:rsid w:val="009B4356"/>
    <w:rsid w:val="009B7609"/>
    <w:rsid w:val="009C30AA"/>
    <w:rsid w:val="009C43D1"/>
    <w:rsid w:val="009C59A6"/>
    <w:rsid w:val="009C6A52"/>
    <w:rsid w:val="009D0AB2"/>
    <w:rsid w:val="009D3276"/>
    <w:rsid w:val="009D444C"/>
    <w:rsid w:val="009D4525"/>
    <w:rsid w:val="009D473A"/>
    <w:rsid w:val="009D6F3E"/>
    <w:rsid w:val="009E1533"/>
    <w:rsid w:val="009E2715"/>
    <w:rsid w:val="009E2785"/>
    <w:rsid w:val="009F08F6"/>
    <w:rsid w:val="009F3547"/>
    <w:rsid w:val="009F39CB"/>
    <w:rsid w:val="009F3F07"/>
    <w:rsid w:val="009F6263"/>
    <w:rsid w:val="00A00EE5"/>
    <w:rsid w:val="00A0344F"/>
    <w:rsid w:val="00A0351C"/>
    <w:rsid w:val="00A049E2"/>
    <w:rsid w:val="00A04AF1"/>
    <w:rsid w:val="00A07DBD"/>
    <w:rsid w:val="00A1344B"/>
    <w:rsid w:val="00A13908"/>
    <w:rsid w:val="00A219E7"/>
    <w:rsid w:val="00A2417A"/>
    <w:rsid w:val="00A24491"/>
    <w:rsid w:val="00A26D8D"/>
    <w:rsid w:val="00A3560F"/>
    <w:rsid w:val="00A37B98"/>
    <w:rsid w:val="00A40884"/>
    <w:rsid w:val="00A42C28"/>
    <w:rsid w:val="00A43B6B"/>
    <w:rsid w:val="00A452C0"/>
    <w:rsid w:val="00A45C7E"/>
    <w:rsid w:val="00A477E6"/>
    <w:rsid w:val="00A47C1B"/>
    <w:rsid w:val="00A5337D"/>
    <w:rsid w:val="00A573F6"/>
    <w:rsid w:val="00A57CE8"/>
    <w:rsid w:val="00A61F48"/>
    <w:rsid w:val="00A64787"/>
    <w:rsid w:val="00A66CBC"/>
    <w:rsid w:val="00A70990"/>
    <w:rsid w:val="00A759BC"/>
    <w:rsid w:val="00A80E2F"/>
    <w:rsid w:val="00A81018"/>
    <w:rsid w:val="00A841CC"/>
    <w:rsid w:val="00A844CE"/>
    <w:rsid w:val="00A90385"/>
    <w:rsid w:val="00A91EAA"/>
    <w:rsid w:val="00A9264B"/>
    <w:rsid w:val="00A96DCC"/>
    <w:rsid w:val="00AA188F"/>
    <w:rsid w:val="00AA3C3D"/>
    <w:rsid w:val="00AA63A9"/>
    <w:rsid w:val="00AA6BD8"/>
    <w:rsid w:val="00AA6F19"/>
    <w:rsid w:val="00AA7E07"/>
    <w:rsid w:val="00AB0EF0"/>
    <w:rsid w:val="00AB17F6"/>
    <w:rsid w:val="00AC76C6"/>
    <w:rsid w:val="00AD268D"/>
    <w:rsid w:val="00AD3749"/>
    <w:rsid w:val="00AD6723"/>
    <w:rsid w:val="00AD6AE6"/>
    <w:rsid w:val="00AE6F01"/>
    <w:rsid w:val="00B0051A"/>
    <w:rsid w:val="00B01EBE"/>
    <w:rsid w:val="00B03DB7"/>
    <w:rsid w:val="00B04957"/>
    <w:rsid w:val="00B04CB8"/>
    <w:rsid w:val="00B10867"/>
    <w:rsid w:val="00B11981"/>
    <w:rsid w:val="00B16515"/>
    <w:rsid w:val="00B2361F"/>
    <w:rsid w:val="00B2692B"/>
    <w:rsid w:val="00B3089A"/>
    <w:rsid w:val="00B32DDC"/>
    <w:rsid w:val="00B33326"/>
    <w:rsid w:val="00B35ECD"/>
    <w:rsid w:val="00B41DB4"/>
    <w:rsid w:val="00B447D8"/>
    <w:rsid w:val="00B44F44"/>
    <w:rsid w:val="00B45A5E"/>
    <w:rsid w:val="00B509FE"/>
    <w:rsid w:val="00B51194"/>
    <w:rsid w:val="00B52374"/>
    <w:rsid w:val="00B5499F"/>
    <w:rsid w:val="00B54BCB"/>
    <w:rsid w:val="00B56B13"/>
    <w:rsid w:val="00B60DD2"/>
    <w:rsid w:val="00B6166F"/>
    <w:rsid w:val="00B63339"/>
    <w:rsid w:val="00B63F1C"/>
    <w:rsid w:val="00B7006B"/>
    <w:rsid w:val="00B73C63"/>
    <w:rsid w:val="00B74E3D"/>
    <w:rsid w:val="00B753D1"/>
    <w:rsid w:val="00B77646"/>
    <w:rsid w:val="00B77BB8"/>
    <w:rsid w:val="00B83455"/>
    <w:rsid w:val="00B844E8"/>
    <w:rsid w:val="00B86887"/>
    <w:rsid w:val="00B9272C"/>
    <w:rsid w:val="00B94B98"/>
    <w:rsid w:val="00B94CAC"/>
    <w:rsid w:val="00B96C04"/>
    <w:rsid w:val="00BA06B3"/>
    <w:rsid w:val="00BA1C95"/>
    <w:rsid w:val="00BA32CA"/>
    <w:rsid w:val="00BA787B"/>
    <w:rsid w:val="00BB20F2"/>
    <w:rsid w:val="00BB3674"/>
    <w:rsid w:val="00BB3C15"/>
    <w:rsid w:val="00BB4276"/>
    <w:rsid w:val="00BB67AE"/>
    <w:rsid w:val="00BC2384"/>
    <w:rsid w:val="00BC5869"/>
    <w:rsid w:val="00BC5BF4"/>
    <w:rsid w:val="00BC62F7"/>
    <w:rsid w:val="00BD003A"/>
    <w:rsid w:val="00BD0E84"/>
    <w:rsid w:val="00BD1D45"/>
    <w:rsid w:val="00BD3099"/>
    <w:rsid w:val="00BD3E62"/>
    <w:rsid w:val="00BD5513"/>
    <w:rsid w:val="00BD73E6"/>
    <w:rsid w:val="00BE3F11"/>
    <w:rsid w:val="00BF321B"/>
    <w:rsid w:val="00BF3773"/>
    <w:rsid w:val="00BF3E14"/>
    <w:rsid w:val="00BF4644"/>
    <w:rsid w:val="00C00D18"/>
    <w:rsid w:val="00C03B8D"/>
    <w:rsid w:val="00C04532"/>
    <w:rsid w:val="00C04E38"/>
    <w:rsid w:val="00C06D1A"/>
    <w:rsid w:val="00C078F3"/>
    <w:rsid w:val="00C12A01"/>
    <w:rsid w:val="00C1356B"/>
    <w:rsid w:val="00C151D0"/>
    <w:rsid w:val="00C237F5"/>
    <w:rsid w:val="00C24241"/>
    <w:rsid w:val="00C247D2"/>
    <w:rsid w:val="00C24A70"/>
    <w:rsid w:val="00C25EB7"/>
    <w:rsid w:val="00C317AA"/>
    <w:rsid w:val="00C325C5"/>
    <w:rsid w:val="00C34A7D"/>
    <w:rsid w:val="00C34B1A"/>
    <w:rsid w:val="00C36247"/>
    <w:rsid w:val="00C4006A"/>
    <w:rsid w:val="00C4329D"/>
    <w:rsid w:val="00C45A69"/>
    <w:rsid w:val="00C46AA2"/>
    <w:rsid w:val="00C46C48"/>
    <w:rsid w:val="00C51E9E"/>
    <w:rsid w:val="00C542F0"/>
    <w:rsid w:val="00C54C91"/>
    <w:rsid w:val="00C54D68"/>
    <w:rsid w:val="00C55F0E"/>
    <w:rsid w:val="00C5709A"/>
    <w:rsid w:val="00C57CDB"/>
    <w:rsid w:val="00C60A9B"/>
    <w:rsid w:val="00C6108B"/>
    <w:rsid w:val="00C6427A"/>
    <w:rsid w:val="00C71FAE"/>
    <w:rsid w:val="00C723BC"/>
    <w:rsid w:val="00C802EB"/>
    <w:rsid w:val="00C80C9F"/>
    <w:rsid w:val="00C80D03"/>
    <w:rsid w:val="00C80D37"/>
    <w:rsid w:val="00C8151A"/>
    <w:rsid w:val="00C8176F"/>
    <w:rsid w:val="00C81770"/>
    <w:rsid w:val="00C82355"/>
    <w:rsid w:val="00C82609"/>
    <w:rsid w:val="00C85C0F"/>
    <w:rsid w:val="00C87821"/>
    <w:rsid w:val="00C8795F"/>
    <w:rsid w:val="00C94642"/>
    <w:rsid w:val="00C94AEE"/>
    <w:rsid w:val="00C95FF7"/>
    <w:rsid w:val="00C975ED"/>
    <w:rsid w:val="00CA0197"/>
    <w:rsid w:val="00CA2591"/>
    <w:rsid w:val="00CB02FA"/>
    <w:rsid w:val="00CB147A"/>
    <w:rsid w:val="00CB285C"/>
    <w:rsid w:val="00CB50B8"/>
    <w:rsid w:val="00CB7A46"/>
    <w:rsid w:val="00CC3806"/>
    <w:rsid w:val="00CC76CE"/>
    <w:rsid w:val="00CD0ABD"/>
    <w:rsid w:val="00CD259C"/>
    <w:rsid w:val="00CD5FE7"/>
    <w:rsid w:val="00CE351A"/>
    <w:rsid w:val="00CE3DDC"/>
    <w:rsid w:val="00CE63EE"/>
    <w:rsid w:val="00CE7EE1"/>
    <w:rsid w:val="00CF16FB"/>
    <w:rsid w:val="00CF2295"/>
    <w:rsid w:val="00CF3BDE"/>
    <w:rsid w:val="00CF4A90"/>
    <w:rsid w:val="00CF663D"/>
    <w:rsid w:val="00D07ABE"/>
    <w:rsid w:val="00D15083"/>
    <w:rsid w:val="00D204B7"/>
    <w:rsid w:val="00D2095B"/>
    <w:rsid w:val="00D2161A"/>
    <w:rsid w:val="00D22352"/>
    <w:rsid w:val="00D25F4E"/>
    <w:rsid w:val="00D27451"/>
    <w:rsid w:val="00D30561"/>
    <w:rsid w:val="00D307A6"/>
    <w:rsid w:val="00D312F2"/>
    <w:rsid w:val="00D33F66"/>
    <w:rsid w:val="00D36C35"/>
    <w:rsid w:val="00D42073"/>
    <w:rsid w:val="00D42F31"/>
    <w:rsid w:val="00D46DC2"/>
    <w:rsid w:val="00D4726C"/>
    <w:rsid w:val="00D472B8"/>
    <w:rsid w:val="00D5432B"/>
    <w:rsid w:val="00D5494D"/>
    <w:rsid w:val="00D574CA"/>
    <w:rsid w:val="00D57819"/>
    <w:rsid w:val="00D6072C"/>
    <w:rsid w:val="00D618A3"/>
    <w:rsid w:val="00D65620"/>
    <w:rsid w:val="00D65FF8"/>
    <w:rsid w:val="00D72906"/>
    <w:rsid w:val="00D72BC8"/>
    <w:rsid w:val="00D73E07"/>
    <w:rsid w:val="00D74DE9"/>
    <w:rsid w:val="00D771C2"/>
    <w:rsid w:val="00D77E65"/>
    <w:rsid w:val="00D826B4"/>
    <w:rsid w:val="00D84566"/>
    <w:rsid w:val="00D92951"/>
    <w:rsid w:val="00D940C9"/>
    <w:rsid w:val="00D94B05"/>
    <w:rsid w:val="00D95F29"/>
    <w:rsid w:val="00D9667F"/>
    <w:rsid w:val="00DA0B73"/>
    <w:rsid w:val="00DA3D06"/>
    <w:rsid w:val="00DB222D"/>
    <w:rsid w:val="00DB389F"/>
    <w:rsid w:val="00DB5542"/>
    <w:rsid w:val="00DB6B0C"/>
    <w:rsid w:val="00DB7D1B"/>
    <w:rsid w:val="00DC0CA2"/>
    <w:rsid w:val="00DC176F"/>
    <w:rsid w:val="00DC1C04"/>
    <w:rsid w:val="00DC2B1D"/>
    <w:rsid w:val="00DC77AA"/>
    <w:rsid w:val="00DD1661"/>
    <w:rsid w:val="00DD3BD5"/>
    <w:rsid w:val="00DD4535"/>
    <w:rsid w:val="00DD60CC"/>
    <w:rsid w:val="00DD6EB7"/>
    <w:rsid w:val="00DE09A9"/>
    <w:rsid w:val="00DE2E19"/>
    <w:rsid w:val="00DE385C"/>
    <w:rsid w:val="00DE5C73"/>
    <w:rsid w:val="00DE6B30"/>
    <w:rsid w:val="00DF0878"/>
    <w:rsid w:val="00DF15D7"/>
    <w:rsid w:val="00DF6CC2"/>
    <w:rsid w:val="00E006E4"/>
    <w:rsid w:val="00E0293F"/>
    <w:rsid w:val="00E02AAD"/>
    <w:rsid w:val="00E07255"/>
    <w:rsid w:val="00E0769B"/>
    <w:rsid w:val="00E07E4A"/>
    <w:rsid w:val="00E11083"/>
    <w:rsid w:val="00E14AFB"/>
    <w:rsid w:val="00E14D52"/>
    <w:rsid w:val="00E20892"/>
    <w:rsid w:val="00E320AB"/>
    <w:rsid w:val="00E33B8F"/>
    <w:rsid w:val="00E413ED"/>
    <w:rsid w:val="00E4329F"/>
    <w:rsid w:val="00E44A96"/>
    <w:rsid w:val="00E51FC2"/>
    <w:rsid w:val="00E53C1B"/>
    <w:rsid w:val="00E54D26"/>
    <w:rsid w:val="00E55483"/>
    <w:rsid w:val="00E5708C"/>
    <w:rsid w:val="00E57714"/>
    <w:rsid w:val="00E610D6"/>
    <w:rsid w:val="00E62A4F"/>
    <w:rsid w:val="00E65013"/>
    <w:rsid w:val="00E71C91"/>
    <w:rsid w:val="00E74E87"/>
    <w:rsid w:val="00E80182"/>
    <w:rsid w:val="00E8027B"/>
    <w:rsid w:val="00E80D29"/>
    <w:rsid w:val="00E81437"/>
    <w:rsid w:val="00E833DB"/>
    <w:rsid w:val="00E840E7"/>
    <w:rsid w:val="00E86A5A"/>
    <w:rsid w:val="00E873C2"/>
    <w:rsid w:val="00E90AD2"/>
    <w:rsid w:val="00E9535F"/>
    <w:rsid w:val="00E95997"/>
    <w:rsid w:val="00EA2CE4"/>
    <w:rsid w:val="00EA48D0"/>
    <w:rsid w:val="00EA4E04"/>
    <w:rsid w:val="00EA6DCB"/>
    <w:rsid w:val="00EB341F"/>
    <w:rsid w:val="00EB5ADB"/>
    <w:rsid w:val="00EB6218"/>
    <w:rsid w:val="00EB69EF"/>
    <w:rsid w:val="00ED6FC5"/>
    <w:rsid w:val="00EE2AF3"/>
    <w:rsid w:val="00EE4387"/>
    <w:rsid w:val="00EE55B2"/>
    <w:rsid w:val="00EE7DA9"/>
    <w:rsid w:val="00EF34D3"/>
    <w:rsid w:val="00EF4140"/>
    <w:rsid w:val="00EF6B9E"/>
    <w:rsid w:val="00F02115"/>
    <w:rsid w:val="00F04FF6"/>
    <w:rsid w:val="00F0504C"/>
    <w:rsid w:val="00F100D0"/>
    <w:rsid w:val="00F109FC"/>
    <w:rsid w:val="00F24F93"/>
    <w:rsid w:val="00F2561F"/>
    <w:rsid w:val="00F2637D"/>
    <w:rsid w:val="00F342FD"/>
    <w:rsid w:val="00F34E9E"/>
    <w:rsid w:val="00F365E9"/>
    <w:rsid w:val="00F41684"/>
    <w:rsid w:val="00F42EFD"/>
    <w:rsid w:val="00F44755"/>
    <w:rsid w:val="00F451CD"/>
    <w:rsid w:val="00F455E0"/>
    <w:rsid w:val="00F45E7C"/>
    <w:rsid w:val="00F5458D"/>
    <w:rsid w:val="00F54F3A"/>
    <w:rsid w:val="00F552D7"/>
    <w:rsid w:val="00F56CE8"/>
    <w:rsid w:val="00F64FB0"/>
    <w:rsid w:val="00F659E1"/>
    <w:rsid w:val="00F66A67"/>
    <w:rsid w:val="00F66F06"/>
    <w:rsid w:val="00F71FAA"/>
    <w:rsid w:val="00F808C5"/>
    <w:rsid w:val="00F832E1"/>
    <w:rsid w:val="00F85369"/>
    <w:rsid w:val="00F9049F"/>
    <w:rsid w:val="00F93DC9"/>
    <w:rsid w:val="00F94872"/>
    <w:rsid w:val="00F967E0"/>
    <w:rsid w:val="00F96A6A"/>
    <w:rsid w:val="00FA156D"/>
    <w:rsid w:val="00FA43B6"/>
    <w:rsid w:val="00FA5D10"/>
    <w:rsid w:val="00FA5D88"/>
    <w:rsid w:val="00FA6D0A"/>
    <w:rsid w:val="00FA751A"/>
    <w:rsid w:val="00FB0152"/>
    <w:rsid w:val="00FB08EB"/>
    <w:rsid w:val="00FB1482"/>
    <w:rsid w:val="00FB1A63"/>
    <w:rsid w:val="00FB33E4"/>
    <w:rsid w:val="00FB3CBA"/>
    <w:rsid w:val="00FB5AF2"/>
    <w:rsid w:val="00FB68B1"/>
    <w:rsid w:val="00FB6C2B"/>
    <w:rsid w:val="00FC1766"/>
    <w:rsid w:val="00FC18E0"/>
    <w:rsid w:val="00FC20C3"/>
    <w:rsid w:val="00FC29BA"/>
    <w:rsid w:val="00FC470C"/>
    <w:rsid w:val="00FC64E4"/>
    <w:rsid w:val="00FD341A"/>
    <w:rsid w:val="00FD554D"/>
    <w:rsid w:val="00FD5B24"/>
    <w:rsid w:val="00FD5C7B"/>
    <w:rsid w:val="00FE31E9"/>
    <w:rsid w:val="00FE362B"/>
    <w:rsid w:val="00FE37EF"/>
    <w:rsid w:val="00FE5C16"/>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6A890"/>
  <w15:docId w15:val="{333A6D58-3007-4C0C-8608-4915CCB3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13282661">
    <w:name w:val="SP.13.282661"/>
    <w:basedOn w:val="Default"/>
    <w:next w:val="Default"/>
    <w:uiPriority w:val="99"/>
    <w:rsid w:val="005C0EEF"/>
    <w:rPr>
      <w:rFonts w:ascii="Arial" w:hAnsi="Arial" w:cs="Arial"/>
      <w:color w:val="auto"/>
    </w:rPr>
  </w:style>
  <w:style w:type="paragraph" w:customStyle="1" w:styleId="SP10270393">
    <w:name w:val="SP.10.270393"/>
    <w:basedOn w:val="Default"/>
    <w:next w:val="Default"/>
    <w:uiPriority w:val="99"/>
    <w:rsid w:val="005C0EEF"/>
    <w:rPr>
      <w:color w:val="auto"/>
    </w:rPr>
  </w:style>
  <w:style w:type="paragraph" w:styleId="PlainText">
    <w:name w:val="Plain Text"/>
    <w:basedOn w:val="Normal"/>
    <w:link w:val="PlainTextChar"/>
    <w:uiPriority w:val="99"/>
    <w:unhideWhenUsed/>
    <w:rsid w:val="00E44A96"/>
    <w:rPr>
      <w:rFonts w:ascii="Calibri" w:eastAsia="SimSun" w:hAnsi="Calibri"/>
      <w:sz w:val="22"/>
      <w:szCs w:val="21"/>
      <w:lang w:val="en-US" w:eastAsia="zh-CN"/>
    </w:rPr>
  </w:style>
  <w:style w:type="character" w:customStyle="1" w:styleId="PlainTextChar">
    <w:name w:val="Plain Text Char"/>
    <w:basedOn w:val="DefaultParagraphFont"/>
    <w:link w:val="PlainText"/>
    <w:uiPriority w:val="99"/>
    <w:rsid w:val="00E44A96"/>
    <w:rPr>
      <w:rFonts w:ascii="Calibri" w:eastAsia="SimSun" w:hAnsi="Calibri"/>
      <w:sz w:val="22"/>
      <w:szCs w:val="21"/>
      <w:lang w:eastAsia="zh-CN"/>
    </w:rPr>
  </w:style>
  <w:style w:type="paragraph" w:customStyle="1" w:styleId="SP13139300">
    <w:name w:val="SP.13.139300"/>
    <w:basedOn w:val="Default"/>
    <w:next w:val="Default"/>
    <w:uiPriority w:val="99"/>
    <w:rsid w:val="00EA4E04"/>
    <w:rPr>
      <w:color w:val="auto"/>
    </w:rPr>
  </w:style>
  <w:style w:type="paragraph" w:customStyle="1" w:styleId="SP13139301">
    <w:name w:val="SP.13.139301"/>
    <w:basedOn w:val="Default"/>
    <w:next w:val="Default"/>
    <w:uiPriority w:val="99"/>
    <w:rsid w:val="00EA4E04"/>
    <w:rPr>
      <w:color w:val="auto"/>
    </w:rPr>
  </w:style>
  <w:style w:type="paragraph" w:customStyle="1" w:styleId="SP13139273">
    <w:name w:val="SP.13.139273"/>
    <w:basedOn w:val="Default"/>
    <w:next w:val="Default"/>
    <w:uiPriority w:val="99"/>
    <w:rsid w:val="00EA4E04"/>
    <w:rPr>
      <w:color w:val="auto"/>
    </w:rPr>
  </w:style>
  <w:style w:type="paragraph" w:customStyle="1" w:styleId="SP13139276">
    <w:name w:val="SP.13.139276"/>
    <w:basedOn w:val="Default"/>
    <w:next w:val="Default"/>
    <w:uiPriority w:val="99"/>
    <w:rsid w:val="00EA4E04"/>
    <w:rPr>
      <w:color w:val="auto"/>
    </w:rPr>
  </w:style>
  <w:style w:type="character" w:customStyle="1" w:styleId="SC13303254">
    <w:name w:val="SC.13.303254"/>
    <w:uiPriority w:val="99"/>
    <w:rsid w:val="00EA4E04"/>
    <w:rPr>
      <w:color w:val="000000"/>
      <w:sz w:val="20"/>
      <w:szCs w:val="20"/>
    </w:rPr>
  </w:style>
  <w:style w:type="paragraph" w:customStyle="1" w:styleId="SP13139286">
    <w:name w:val="SP.13.139286"/>
    <w:basedOn w:val="Default"/>
    <w:next w:val="Default"/>
    <w:uiPriority w:val="99"/>
    <w:rsid w:val="00EA4E04"/>
    <w:rPr>
      <w:color w:val="auto"/>
    </w:rPr>
  </w:style>
  <w:style w:type="paragraph" w:customStyle="1" w:styleId="SP13139318">
    <w:name w:val="SP.13.139318"/>
    <w:basedOn w:val="Default"/>
    <w:next w:val="Default"/>
    <w:uiPriority w:val="99"/>
    <w:rsid w:val="00610DC8"/>
    <w:rPr>
      <w:color w:val="auto"/>
    </w:rPr>
  </w:style>
  <w:style w:type="character" w:customStyle="1" w:styleId="SC13303240">
    <w:name w:val="SC.13.303240"/>
    <w:uiPriority w:val="99"/>
    <w:rsid w:val="00610DC8"/>
    <w:rPr>
      <w:i/>
      <w:iCs/>
      <w:color w:val="000000"/>
      <w:sz w:val="16"/>
      <w:szCs w:val="16"/>
    </w:rPr>
  </w:style>
  <w:style w:type="paragraph" w:customStyle="1" w:styleId="SP13139267">
    <w:name w:val="SP.13.139267"/>
    <w:basedOn w:val="Default"/>
    <w:next w:val="Default"/>
    <w:uiPriority w:val="99"/>
    <w:rsid w:val="00C54D68"/>
    <w:rPr>
      <w:color w:val="auto"/>
    </w:rPr>
  </w:style>
  <w:style w:type="paragraph" w:customStyle="1" w:styleId="SP13139289">
    <w:name w:val="SP.13.139289"/>
    <w:basedOn w:val="Default"/>
    <w:next w:val="Default"/>
    <w:uiPriority w:val="99"/>
    <w:rsid w:val="00C54D68"/>
    <w:rPr>
      <w:color w:val="auto"/>
    </w:rPr>
  </w:style>
  <w:style w:type="paragraph" w:customStyle="1" w:styleId="SP10200743">
    <w:name w:val="SP.10.200743"/>
    <w:basedOn w:val="Default"/>
    <w:next w:val="Default"/>
    <w:uiPriority w:val="99"/>
    <w:rsid w:val="00B01EBE"/>
    <w:rPr>
      <w:color w:val="auto"/>
    </w:rPr>
  </w:style>
  <w:style w:type="paragraph" w:customStyle="1" w:styleId="SP10200744">
    <w:name w:val="SP.10.200744"/>
    <w:basedOn w:val="Default"/>
    <w:next w:val="Default"/>
    <w:uiPriority w:val="99"/>
    <w:rsid w:val="00B01EBE"/>
    <w:rPr>
      <w:color w:val="auto"/>
    </w:rPr>
  </w:style>
  <w:style w:type="paragraph" w:customStyle="1" w:styleId="SP10200714">
    <w:name w:val="SP.10.200714"/>
    <w:basedOn w:val="Default"/>
    <w:next w:val="Default"/>
    <w:uiPriority w:val="99"/>
    <w:rsid w:val="00B01EBE"/>
    <w:rPr>
      <w:color w:val="auto"/>
    </w:rPr>
  </w:style>
  <w:style w:type="paragraph" w:customStyle="1" w:styleId="SP10200716">
    <w:name w:val="SP.10.200716"/>
    <w:basedOn w:val="Default"/>
    <w:next w:val="Default"/>
    <w:uiPriority w:val="99"/>
    <w:rsid w:val="00B01EBE"/>
    <w:rPr>
      <w:color w:val="auto"/>
    </w:rPr>
  </w:style>
  <w:style w:type="paragraph" w:customStyle="1" w:styleId="SP10200761">
    <w:name w:val="SP.10.200761"/>
    <w:basedOn w:val="Default"/>
    <w:next w:val="Default"/>
    <w:uiPriority w:val="99"/>
    <w:rsid w:val="00B01EBE"/>
    <w:rPr>
      <w:color w:val="auto"/>
    </w:rPr>
  </w:style>
  <w:style w:type="character" w:customStyle="1" w:styleId="highlight1">
    <w:name w:val="highlight1"/>
    <w:basedOn w:val="DefaultParagraphFont"/>
    <w:rsid w:val="00846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7162081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FC96-0F58-4E48-B5C9-A1F0063F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9282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Kakani, Naveen</cp:lastModifiedBy>
  <cp:revision>2</cp:revision>
  <cp:lastPrinted>2015-04-30T20:45:00Z</cp:lastPrinted>
  <dcterms:created xsi:type="dcterms:W3CDTF">2016-01-20T18:53:00Z</dcterms:created>
  <dcterms:modified xsi:type="dcterms:W3CDTF">2016-01-20T18:53:00Z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1426066453</vt:lpwstr>
  </property>
  <property fmtid="{D5CDD505-2E9C-101B-9397-08002B2CF9AE}" pid="3" name="_NewReviewCycle">
    <vt:lpwstr/>
  </property>
  <property fmtid="{D5CDD505-2E9C-101B-9397-08002B2CF9AE}" pid="4" name="_AdHocReviewCycleID">
    <vt:i4>1013599319</vt:i4>
  </property>
  <property fmtid="{D5CDD505-2E9C-101B-9397-08002B2CF9AE}" pid="5" name="_EmailSubject">
    <vt:lpwstr>TGah SB0 Comment Resolution Status</vt:lpwstr>
  </property>
  <property fmtid="{D5CDD505-2E9C-101B-9397-08002B2CF9AE}" pid="6" name="_AuthorEmail">
    <vt:lpwstr>aasterja@qti.qualcomm.com</vt:lpwstr>
  </property>
  <property fmtid="{D5CDD505-2E9C-101B-9397-08002B2CF9AE}" pid="7" name="_AuthorEmailDisplayName">
    <vt:lpwstr>Asterjadhi, Alfred</vt:lpwstr>
  </property>
  <property fmtid="{D5CDD505-2E9C-101B-9397-08002B2CF9AE}" pid="8" name="_ReviewingToolsShownOnce">
    <vt:lpwstr/>
  </property>
</Properties>
</file>