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3935F3" w:rsidP="00E4584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11ah SB0 C</w:t>
            </w:r>
            <w:r w:rsidR="00296FF2">
              <w:rPr>
                <w:b w:val="0"/>
                <w:bCs/>
              </w:rPr>
              <w:t>omment Resolution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3935F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3935F3">
              <w:rPr>
                <w:b w:val="0"/>
                <w:bCs/>
                <w:sz w:val="20"/>
              </w:rPr>
              <w:t>6</w:t>
            </w:r>
            <w:r w:rsidRPr="0060140A">
              <w:rPr>
                <w:b w:val="0"/>
                <w:bCs/>
                <w:sz w:val="20"/>
              </w:rPr>
              <w:t>-</w:t>
            </w:r>
            <w:r w:rsidR="00D32601">
              <w:rPr>
                <w:b w:val="0"/>
                <w:bCs/>
                <w:sz w:val="20"/>
              </w:rPr>
              <w:t>0</w:t>
            </w:r>
            <w:r w:rsidR="003935F3">
              <w:rPr>
                <w:b w:val="0"/>
                <w:bCs/>
                <w:sz w:val="20"/>
              </w:rPr>
              <w:t>1</w:t>
            </w:r>
            <w:r w:rsidRPr="0060140A">
              <w:rPr>
                <w:b w:val="0"/>
                <w:bCs/>
                <w:sz w:val="20"/>
              </w:rPr>
              <w:t>-</w:t>
            </w:r>
            <w:r w:rsidR="003935F3">
              <w:rPr>
                <w:b w:val="0"/>
                <w:bCs/>
                <w:sz w:val="20"/>
              </w:rPr>
              <w:t>1</w:t>
            </w:r>
            <w:r w:rsidR="00D32601">
              <w:rPr>
                <w:b w:val="0"/>
                <w:bCs/>
                <w:sz w:val="20"/>
              </w:rPr>
              <w:t>8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A41325">
        <w:rPr>
          <w:lang w:eastAsia="ko-KR"/>
        </w:rPr>
        <w:t>the following comments</w:t>
      </w:r>
      <w:r w:rsidR="00B55E03">
        <w:rPr>
          <w:lang w:eastAsia="ko-KR"/>
        </w:rPr>
        <w:t>:</w:t>
      </w:r>
    </w:p>
    <w:p w:rsidR="0019575B" w:rsidRPr="003E0896" w:rsidRDefault="00B02589" w:rsidP="0019575B">
      <w:pPr>
        <w:rPr>
          <w:lang w:eastAsia="ko-KR"/>
        </w:rPr>
      </w:pPr>
      <w:r>
        <w:rPr>
          <w:lang w:eastAsia="ko-KR"/>
        </w:rPr>
        <w:t>8205, 8321, 8323, 8450</w:t>
      </w:r>
      <w:r w:rsidR="001D6E84" w:rsidRPr="003E0896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8205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word "or Sensor Traffic". Sensor Traffic is not defined anywhere else in the document.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"or Sensor Traffic" from the table 9-1. A clause that explains the single AC nature of sensor STAs is already in 9.22.2.1.</w:t>
            </w:r>
          </w:p>
        </w:tc>
        <w:tc>
          <w:tcPr>
            <w:tcW w:w="2430" w:type="dxa"/>
            <w:hideMark/>
          </w:tcPr>
          <w:p w:rsidR="003C1C70" w:rsidRDefault="003C1C70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Accepted</w:t>
            </w:r>
          </w:p>
          <w:p w:rsidR="00F84D55" w:rsidRPr="00B65B35" w:rsidRDefault="00F84D55" w:rsidP="005D528B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8321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76.00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is unclear from the figure which part is "Used for beamforming with the AP/PCP"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a line between the call out "Used for beamforming with the AP/PCP" and the box A-BFT Access</w:t>
            </w:r>
          </w:p>
        </w:tc>
        <w:tc>
          <w:tcPr>
            <w:tcW w:w="2430" w:type="dxa"/>
            <w:hideMark/>
          </w:tcPr>
          <w:p w:rsidR="00F84D55" w:rsidRDefault="006D083C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  <w:r w:rsidR="00103BD6">
              <w:rPr>
                <w:rFonts w:asciiTheme="majorBidi" w:hAnsiTheme="majorBidi" w:cstheme="majorBidi"/>
                <w:szCs w:val="20"/>
                <w:lang w:val="en-US"/>
              </w:rPr>
              <w:t>d</w:t>
            </w:r>
          </w:p>
          <w:p w:rsidR="00103BD6" w:rsidRDefault="00103BD6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103BD6" w:rsidRDefault="00103BD6" w:rsidP="003935F3">
            <w:pPr>
              <w:rPr>
                <w:rFonts w:ascii="Arial" w:hAnsi="Arial" w:cs="Arial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CID 8473 resolution adds a separate </w:t>
            </w:r>
            <w:r>
              <w:rPr>
                <w:rFonts w:ascii="Arial" w:hAnsi="Arial" w:cs="Arial"/>
                <w:szCs w:val="20"/>
              </w:rPr>
              <w:t>MAC Architecture of S1G STA and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removes </w:t>
            </w:r>
            <w:r>
              <w:rPr>
                <w:rFonts w:ascii="Arial" w:hAnsi="Arial" w:cs="Arial"/>
                <w:szCs w:val="20"/>
              </w:rPr>
              <w:t>"Used for beamforming with the AP/PCP" and A-BFT from MAC Architecture of S1G STA.</w:t>
            </w:r>
          </w:p>
          <w:p w:rsidR="006D083C" w:rsidRDefault="006D083C" w:rsidP="003935F3">
            <w:pPr>
              <w:rPr>
                <w:rFonts w:ascii="Arial" w:hAnsi="Arial" w:cs="Arial"/>
                <w:szCs w:val="20"/>
              </w:rPr>
            </w:pPr>
          </w:p>
          <w:p w:rsidR="006D083C" w:rsidRDefault="006D083C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TGah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editor makes the changes under all heading under CID 8473 in doc 11-16/0082r1</w:t>
            </w: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8323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is no need to specify "Sensor Traffic" as a designation. As long as sensor traffic is mapped to AC_BE, or UP 0, there is no need to specify this in this table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"or Sensor Traffic" from Designation for UP 0</w:t>
            </w:r>
          </w:p>
        </w:tc>
        <w:tc>
          <w:tcPr>
            <w:tcW w:w="2430" w:type="dxa"/>
            <w:hideMark/>
          </w:tcPr>
          <w:p w:rsidR="00F84D55" w:rsidRDefault="003C1C70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Accepted</w:t>
            </w:r>
            <w:r w:rsidR="00F84D55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</w:tc>
      </w:tr>
      <w:tr w:rsidR="00F84D55" w:rsidRPr="00820CAC" w:rsidTr="008167E7">
        <w:trPr>
          <w:trHeight w:val="1530"/>
        </w:trPr>
        <w:tc>
          <w:tcPr>
            <w:tcW w:w="63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8450</w:t>
            </w:r>
          </w:p>
        </w:tc>
        <w:tc>
          <w:tcPr>
            <w:tcW w:w="90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9.31.1</w:t>
            </w:r>
          </w:p>
        </w:tc>
        <w:tc>
          <w:tcPr>
            <w:tcW w:w="540" w:type="dxa"/>
            <w:hideMark/>
          </w:tcPr>
          <w:p w:rsidR="00F84D55" w:rsidRDefault="00F84D5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186.00</w:t>
            </w:r>
          </w:p>
        </w:tc>
        <w:tc>
          <w:tcPr>
            <w:tcW w:w="45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47</w:t>
            </w:r>
          </w:p>
        </w:tc>
        <w:tc>
          <w:tcPr>
            <w:tcW w:w="216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This paragraph seems to be out of the place in the general discussion section since no discussion in the original text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4.0 was on any specific </w:t>
            </w:r>
            <w:r>
              <w:rPr>
                <w:rFonts w:ascii="Arial" w:hAnsi="Arial" w:cs="Arial"/>
                <w:szCs w:val="20"/>
              </w:rPr>
              <w:lastRenderedPageBreak/>
              <w:t>generations of STAs. It should be moved to 9.31.3.</w:t>
            </w:r>
          </w:p>
        </w:tc>
        <w:tc>
          <w:tcPr>
            <w:tcW w:w="2430" w:type="dxa"/>
            <w:hideMark/>
          </w:tcPr>
          <w:p w:rsidR="00F84D55" w:rsidRDefault="00F84D5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Move this paragraph to 9.31.3</w:t>
            </w:r>
          </w:p>
        </w:tc>
        <w:tc>
          <w:tcPr>
            <w:tcW w:w="2430" w:type="dxa"/>
            <w:hideMark/>
          </w:tcPr>
          <w:p w:rsidR="00F84D55" w:rsidRDefault="003C1C70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  <w:r w:rsidR="00F84D55">
              <w:rPr>
                <w:rFonts w:asciiTheme="majorBidi" w:hAnsiTheme="majorBidi" w:cstheme="majorBidi"/>
                <w:szCs w:val="20"/>
                <w:lang w:val="en-US"/>
              </w:rPr>
              <w:t>ed</w:t>
            </w:r>
          </w:p>
          <w:p w:rsidR="00F84D55" w:rsidRDefault="00F84D55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84D55" w:rsidRDefault="003C1C70" w:rsidP="001D599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The changes in </w:t>
            </w:r>
            <w:r w:rsidR="006415CC">
              <w:rPr>
                <w:rFonts w:asciiTheme="majorBidi" w:hAnsiTheme="majorBidi" w:cstheme="majorBidi"/>
                <w:szCs w:val="20"/>
                <w:lang w:val="en-US"/>
              </w:rPr>
              <w:t xml:space="preserve">9.31.1 were originally in 9.31.3. Based on comment, the changes were then moved to 9.31.1. The reason is that </w:t>
            </w:r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the changes apply</w:t>
            </w:r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ing</w:t>
            </w:r>
            <w:r w:rsidR="00391103">
              <w:rPr>
                <w:rFonts w:asciiTheme="majorBidi" w:hAnsiTheme="majorBidi" w:cstheme="majorBidi"/>
                <w:szCs w:val="20"/>
                <w:lang w:val="en-US"/>
              </w:rPr>
              <w:t xml:space="preserve"> to the whole </w:t>
            </w:r>
            <w:proofErr w:type="spellStart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 xml:space="preserve"> 9.31.3</w:t>
            </w:r>
            <w:r w:rsidR="00F27107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proofErr w:type="spellStart"/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can</w:t>
            </w:r>
            <w:r w:rsidR="001D599F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  <w:r w:rsidR="001D599F">
              <w:rPr>
                <w:rFonts w:asciiTheme="majorBidi" w:hAnsiTheme="majorBidi" w:cstheme="majorBidi"/>
                <w:szCs w:val="20"/>
                <w:lang w:val="en-US"/>
              </w:rPr>
              <w:lastRenderedPageBreak/>
              <w:t>no</w:t>
            </w:r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t</w:t>
            </w:r>
            <w:proofErr w:type="spellEnd"/>
            <w:r w:rsidR="00F27107">
              <w:rPr>
                <w:rFonts w:asciiTheme="majorBidi" w:hAnsiTheme="majorBidi" w:cstheme="majorBidi"/>
                <w:szCs w:val="20"/>
                <w:lang w:val="en-US"/>
              </w:rPr>
              <w:t xml:space="preserve"> be in the same </w:t>
            </w:r>
            <w:proofErr w:type="spellStart"/>
            <w:r w:rsidR="00F27107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391103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</w:tc>
      </w:tr>
    </w:tbl>
    <w:p w:rsidR="00D14536" w:rsidRPr="00D14536" w:rsidRDefault="00D14536" w:rsidP="00D14536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lang w:val="en-US"/>
        </w:rPr>
      </w:pPr>
    </w:p>
    <w:sectPr w:rsidR="00D14536" w:rsidRPr="00D14536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64" w:rsidRDefault="00A70264">
      <w:r>
        <w:separator/>
      </w:r>
    </w:p>
  </w:endnote>
  <w:endnote w:type="continuationSeparator" w:id="0">
    <w:p w:rsidR="00A70264" w:rsidRDefault="00A7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9B7F69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6D083C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  <w:r>
      <w:fldChar w:fldCharType="begin"/>
    </w:r>
    <w:r w:rsidR="00132A6F">
      <w:instrText xml:space="preserve"> COMMENTS  \* MERGEFORMAT </w:instrText>
    </w:r>
    <w:r>
      <w:fldChar w:fldCharType="end"/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64" w:rsidRDefault="00A70264">
      <w:r>
        <w:separator/>
      </w:r>
    </w:p>
  </w:footnote>
  <w:footnote w:type="continuationSeparator" w:id="0">
    <w:p w:rsidR="00A70264" w:rsidRDefault="00A7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Pr="00C13599" w:rsidRDefault="009B7F69" w:rsidP="00A302A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fldSimple w:instr=" KEYWORDS  \* MERGEFORMAT ">
      <w:r w:rsidR="005D528B">
        <w:t>Jan</w:t>
      </w:r>
      <w:r w:rsidR="00E1275F">
        <w:t xml:space="preserve"> 201</w:t>
      </w:r>
      <w:r w:rsidR="005D528B">
        <w:t>6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A41325">
        <w:t>1</w:t>
      </w:r>
      <w:r w:rsidR="005D528B">
        <w:t>6</w:t>
      </w:r>
      <w:r w:rsidR="0032795B">
        <w:t>/</w:t>
      </w:r>
      <w:r w:rsidR="00177350">
        <w:t>0</w:t>
      </w:r>
      <w:r w:rsidR="00F531AD">
        <w:t>115</w:t>
      </w:r>
      <w:r w:rsidR="00C13599">
        <w:rPr>
          <w:rFonts w:eastAsia="Malgun Gothic" w:hint="eastAsia"/>
          <w:lang w:eastAsia="ko-KR"/>
        </w:rPr>
        <w:t>r</w:t>
      </w:r>
    </w:fldSimple>
    <w:r w:rsidR="004C0AE8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1F94"/>
    <w:rsid w:val="00043CD8"/>
    <w:rsid w:val="0004404A"/>
    <w:rsid w:val="00046F72"/>
    <w:rsid w:val="000479BC"/>
    <w:rsid w:val="0005762F"/>
    <w:rsid w:val="000630BC"/>
    <w:rsid w:val="00063753"/>
    <w:rsid w:val="000641EB"/>
    <w:rsid w:val="0006505D"/>
    <w:rsid w:val="00066C2E"/>
    <w:rsid w:val="00066E67"/>
    <w:rsid w:val="00067D4B"/>
    <w:rsid w:val="00072241"/>
    <w:rsid w:val="000742A7"/>
    <w:rsid w:val="000747AD"/>
    <w:rsid w:val="00081313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3BD6"/>
    <w:rsid w:val="00104EB4"/>
    <w:rsid w:val="001055A6"/>
    <w:rsid w:val="00105D60"/>
    <w:rsid w:val="001068B1"/>
    <w:rsid w:val="00106D42"/>
    <w:rsid w:val="00111633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2A6F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28B"/>
    <w:rsid w:val="001573BA"/>
    <w:rsid w:val="00157404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747A7"/>
    <w:rsid w:val="00177350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599F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699"/>
    <w:rsid w:val="00201788"/>
    <w:rsid w:val="00202965"/>
    <w:rsid w:val="0020318E"/>
    <w:rsid w:val="00205C69"/>
    <w:rsid w:val="0020732B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2DB8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4A5D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818"/>
    <w:rsid w:val="00383DAF"/>
    <w:rsid w:val="00384C77"/>
    <w:rsid w:val="00391103"/>
    <w:rsid w:val="003920EC"/>
    <w:rsid w:val="003935F3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B77A9"/>
    <w:rsid w:val="003C192A"/>
    <w:rsid w:val="003C1C70"/>
    <w:rsid w:val="003C250D"/>
    <w:rsid w:val="003C2DB4"/>
    <w:rsid w:val="003C3734"/>
    <w:rsid w:val="003C4F3A"/>
    <w:rsid w:val="003C6733"/>
    <w:rsid w:val="003D0DB9"/>
    <w:rsid w:val="003D0F7D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59A6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6D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0AE8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4F4AC4"/>
    <w:rsid w:val="005009DD"/>
    <w:rsid w:val="00501E38"/>
    <w:rsid w:val="0050484F"/>
    <w:rsid w:val="0050505A"/>
    <w:rsid w:val="005075E6"/>
    <w:rsid w:val="00512316"/>
    <w:rsid w:val="0051433E"/>
    <w:rsid w:val="0051439F"/>
    <w:rsid w:val="00515547"/>
    <w:rsid w:val="00515A82"/>
    <w:rsid w:val="00516716"/>
    <w:rsid w:val="0052099B"/>
    <w:rsid w:val="005252D3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47FCD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4A9A"/>
    <w:rsid w:val="00587E19"/>
    <w:rsid w:val="00587FD0"/>
    <w:rsid w:val="00590098"/>
    <w:rsid w:val="005913CB"/>
    <w:rsid w:val="0059231F"/>
    <w:rsid w:val="005929FE"/>
    <w:rsid w:val="00593DDF"/>
    <w:rsid w:val="00593F32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6D97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528B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44CB"/>
    <w:rsid w:val="005F6236"/>
    <w:rsid w:val="005F6E92"/>
    <w:rsid w:val="0060104A"/>
    <w:rsid w:val="0060140A"/>
    <w:rsid w:val="006020E8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5CC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166A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083C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599F"/>
    <w:rsid w:val="00725EF3"/>
    <w:rsid w:val="0072680F"/>
    <w:rsid w:val="00732224"/>
    <w:rsid w:val="00733EE6"/>
    <w:rsid w:val="007340D6"/>
    <w:rsid w:val="00734B7F"/>
    <w:rsid w:val="0073612D"/>
    <w:rsid w:val="007372B1"/>
    <w:rsid w:val="0074027D"/>
    <w:rsid w:val="0074051E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5C0A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2E3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208A"/>
    <w:rsid w:val="00864A1C"/>
    <w:rsid w:val="00867D20"/>
    <w:rsid w:val="008739A3"/>
    <w:rsid w:val="00873B5D"/>
    <w:rsid w:val="00874BEE"/>
    <w:rsid w:val="00875E01"/>
    <w:rsid w:val="00880415"/>
    <w:rsid w:val="0088178B"/>
    <w:rsid w:val="00884757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4BA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6ECE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585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B7F69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7E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43D7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301"/>
    <w:rsid w:val="00A33FF7"/>
    <w:rsid w:val="00A348A1"/>
    <w:rsid w:val="00A354C4"/>
    <w:rsid w:val="00A36E74"/>
    <w:rsid w:val="00A40B98"/>
    <w:rsid w:val="00A41325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0264"/>
    <w:rsid w:val="00A7261F"/>
    <w:rsid w:val="00A74ECA"/>
    <w:rsid w:val="00A8384B"/>
    <w:rsid w:val="00A93108"/>
    <w:rsid w:val="00A97E4D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5A0"/>
    <w:rsid w:val="00AB573A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282B"/>
    <w:rsid w:val="00AF643A"/>
    <w:rsid w:val="00B01EA4"/>
    <w:rsid w:val="00B02589"/>
    <w:rsid w:val="00B03FD8"/>
    <w:rsid w:val="00B0477B"/>
    <w:rsid w:val="00B048C3"/>
    <w:rsid w:val="00B054EA"/>
    <w:rsid w:val="00B0704D"/>
    <w:rsid w:val="00B07BD1"/>
    <w:rsid w:val="00B13408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4D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892"/>
    <w:rsid w:val="00BC3FBB"/>
    <w:rsid w:val="00BD06E4"/>
    <w:rsid w:val="00BD21D5"/>
    <w:rsid w:val="00BD310B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02F4"/>
    <w:rsid w:val="00C11C95"/>
    <w:rsid w:val="00C11D0B"/>
    <w:rsid w:val="00C12D00"/>
    <w:rsid w:val="00C13599"/>
    <w:rsid w:val="00C17D84"/>
    <w:rsid w:val="00C21AC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D7A45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536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601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16BE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75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3B91"/>
    <w:rsid w:val="00E34167"/>
    <w:rsid w:val="00E35F0A"/>
    <w:rsid w:val="00E36ACC"/>
    <w:rsid w:val="00E37EF3"/>
    <w:rsid w:val="00E40F41"/>
    <w:rsid w:val="00E41365"/>
    <w:rsid w:val="00E43171"/>
    <w:rsid w:val="00E44BF9"/>
    <w:rsid w:val="00E45843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A46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0D1"/>
    <w:rsid w:val="00EC2B69"/>
    <w:rsid w:val="00EC3302"/>
    <w:rsid w:val="00EC4342"/>
    <w:rsid w:val="00EC538B"/>
    <w:rsid w:val="00EC574D"/>
    <w:rsid w:val="00EC6A1E"/>
    <w:rsid w:val="00ED0449"/>
    <w:rsid w:val="00ED46A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27107"/>
    <w:rsid w:val="00F3002A"/>
    <w:rsid w:val="00F30ED7"/>
    <w:rsid w:val="00F32EE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1A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680B"/>
    <w:rsid w:val="00F77736"/>
    <w:rsid w:val="00F808AB"/>
    <w:rsid w:val="00F82DD0"/>
    <w:rsid w:val="00F83DD3"/>
    <w:rsid w:val="00F84576"/>
    <w:rsid w:val="00F84D55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B6CB7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56">
    <w:name w:val="SP.9.200756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14">
    <w:name w:val="SP.9.200714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32">
    <w:name w:val="SP.9.20073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05">
    <w:name w:val="SP.9.200705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7">
    <w:name w:val="SP.11.81947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8">
    <w:name w:val="SP.11.81948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25">
    <w:name w:val="SP.11.81925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11">
    <w:name w:val="SP.9.200711"/>
    <w:basedOn w:val="Normal"/>
    <w:next w:val="Normal"/>
    <w:uiPriority w:val="99"/>
    <w:rsid w:val="004759A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17127">
    <w:name w:val="SP.10.217127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00">
    <w:name w:val="SP.10.217100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89">
    <w:name w:val="SC.10.323589"/>
    <w:uiPriority w:val="99"/>
    <w:rsid w:val="0072599F"/>
    <w:rPr>
      <w:color w:val="000000"/>
      <w:sz w:val="20"/>
      <w:szCs w:val="20"/>
      <w:u w:val="single"/>
    </w:rPr>
  </w:style>
  <w:style w:type="paragraph" w:customStyle="1" w:styleId="SP10217089">
    <w:name w:val="SP.10.217089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4C29"/>
    <w:pPr>
      <w:ind w:left="720"/>
      <w:contextualSpacing/>
    </w:pPr>
  </w:style>
  <w:style w:type="paragraph" w:styleId="a8">
    <w:name w:val="Balloon Text"/>
    <w:basedOn w:val="a"/>
    <w:link w:val="Char1"/>
    <w:rsid w:val="002F1985"/>
    <w:rPr>
      <w:rFonts w:ascii="Lucida Grande" w:hAnsi="Lucida Grande" w:cs="Lucida Grande"/>
      <w:sz w:val="18"/>
      <w:szCs w:val="18"/>
    </w:rPr>
  </w:style>
  <w:style w:type="character" w:customStyle="1" w:styleId="Char1">
    <w:name w:val="Balloon Text Char"/>
    <w:basedOn w:val="a0"/>
    <w:link w:val="a8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3Char">
    <w:name w:val="Heading 3 Char"/>
    <w:basedOn w:val="a0"/>
    <w:link w:val="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a0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a9">
    <w:name w:val="Bibliography"/>
    <w:basedOn w:val="a"/>
    <w:next w:val="a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aa">
    <w:name w:val="annotation reference"/>
    <w:basedOn w:val="a0"/>
    <w:rsid w:val="00E64717"/>
    <w:rPr>
      <w:sz w:val="16"/>
      <w:szCs w:val="16"/>
    </w:rPr>
  </w:style>
  <w:style w:type="paragraph" w:styleId="ab">
    <w:name w:val="annotation text"/>
    <w:basedOn w:val="a"/>
    <w:link w:val="Char2"/>
    <w:rsid w:val="00E64717"/>
  </w:style>
  <w:style w:type="character" w:customStyle="1" w:styleId="Char2">
    <w:name w:val="Comment Text Char"/>
    <w:basedOn w:val="a0"/>
    <w:link w:val="ab"/>
    <w:rsid w:val="00E64717"/>
    <w:rPr>
      <w:lang w:val="en-GB"/>
    </w:rPr>
  </w:style>
  <w:style w:type="paragraph" w:styleId="ac">
    <w:name w:val="annotation subject"/>
    <w:basedOn w:val="ab"/>
    <w:next w:val="ab"/>
    <w:link w:val="Char3"/>
    <w:rsid w:val="00E64717"/>
    <w:rPr>
      <w:b/>
      <w:bCs/>
    </w:rPr>
  </w:style>
  <w:style w:type="character" w:customStyle="1" w:styleId="Char3">
    <w:name w:val="Comment Subject Char"/>
    <w:basedOn w:val="Char2"/>
    <w:link w:val="ac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Char">
    <w:name w:val="Footer Char"/>
    <w:basedOn w:val="a0"/>
    <w:link w:val="a3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Char0">
    <w:name w:val="Header Char"/>
    <w:basedOn w:val="a0"/>
    <w:link w:val="a4"/>
    <w:uiPriority w:val="99"/>
    <w:rsid w:val="00FD6C55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a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Char4">
    <w:name w:val="Title Char"/>
    <w:basedOn w:val="a0"/>
    <w:link w:val="ad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a"/>
    <w:next w:val="a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e">
    <w:name w:val="Emphasis"/>
    <w:basedOn w:val="a0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d">
    <w:name w:val="Title"/>
    <w:basedOn w:val="a"/>
    <w:next w:val="a"/>
    <w:link w:val="Char4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a0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">
    <w:name w:val="Normal (Web)"/>
    <w:basedOn w:val="a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2Char">
    <w:name w:val="Heading 2 Char"/>
    <w:basedOn w:val="a0"/>
    <w:link w:val="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af0">
    <w:name w:val="Table Grid"/>
    <w:basedOn w:val="a1"/>
    <w:rsid w:val="005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0CD8-C95C-4C7E-89E0-4A2B9706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2481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5</cp:revision>
  <dcterms:created xsi:type="dcterms:W3CDTF">2016-01-19T13:30:00Z</dcterms:created>
  <dcterms:modified xsi:type="dcterms:W3CDTF">2016-01-19T13:45:00Z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