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A4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 w14:paraId="2A1DFC5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78CB59" w14:textId="20E87D05" w:rsidR="00CA09B2" w:rsidRDefault="00FA7686" w:rsidP="00074D85">
            <w:pPr>
              <w:pStyle w:val="T2"/>
            </w:pPr>
            <w:r>
              <w:rPr>
                <w:rFonts w:ascii="Verdana" w:hAnsi="Verdana"/>
                <w:color w:val="000000"/>
                <w:sz w:val="24"/>
                <w:szCs w:val="17"/>
              </w:rPr>
              <w:t>11ah</w:t>
            </w:r>
            <w:r w:rsidR="009524A9" w:rsidRPr="00B65B5A">
              <w:rPr>
                <w:rFonts w:ascii="Verdana" w:hAnsi="Verdana"/>
                <w:color w:val="000000"/>
                <w:sz w:val="24"/>
                <w:szCs w:val="17"/>
              </w:rPr>
              <w:t xml:space="preserve"> - </w:t>
            </w:r>
            <w:r w:rsidR="00074D85">
              <w:rPr>
                <w:rFonts w:ascii="Verdana" w:hAnsi="Verdana"/>
                <w:color w:val="000000"/>
                <w:sz w:val="24"/>
                <w:szCs w:val="17"/>
              </w:rPr>
              <w:t>Minutes for 2016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-1-</w:t>
            </w:r>
            <w:r w:rsidR="00074D85">
              <w:rPr>
                <w:rFonts w:ascii="Verdana" w:hAnsi="Verdana"/>
                <w:color w:val="000000"/>
                <w:sz w:val="24"/>
                <w:szCs w:val="17"/>
              </w:rPr>
              <w:t>5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 w14:paraId="1F287F0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6725F8" w14:textId="73623265" w:rsidR="00CA09B2" w:rsidRDefault="00CA09B2" w:rsidP="008C13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CC071B">
              <w:rPr>
                <w:b w:val="0"/>
                <w:sz w:val="20"/>
              </w:rPr>
              <w:t>1</w:t>
            </w:r>
            <w:r w:rsidR="00FB07A8">
              <w:rPr>
                <w:b w:val="0"/>
                <w:sz w:val="20"/>
              </w:rPr>
              <w:t>-</w:t>
            </w:r>
            <w:r w:rsidR="00CC071B">
              <w:rPr>
                <w:b w:val="0"/>
                <w:sz w:val="20"/>
              </w:rPr>
              <w:t>5</w:t>
            </w:r>
          </w:p>
        </w:tc>
      </w:tr>
      <w:tr w:rsidR="00CA09B2" w14:paraId="3B5FA6C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9ED5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A3A2571" w14:textId="77777777" w:rsidTr="0046161B">
        <w:trPr>
          <w:jc w:val="center"/>
        </w:trPr>
        <w:tc>
          <w:tcPr>
            <w:tcW w:w="1278" w:type="dxa"/>
            <w:vAlign w:val="center"/>
          </w:tcPr>
          <w:p w14:paraId="5F8D87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539981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14:paraId="430F02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14:paraId="31E4F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14:paraId="381BB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14:paraId="14604D3E" w14:textId="77777777" w:rsidTr="0046161B">
        <w:trPr>
          <w:jc w:val="center"/>
        </w:trPr>
        <w:tc>
          <w:tcPr>
            <w:tcW w:w="1278" w:type="dxa"/>
            <w:vAlign w:val="center"/>
          </w:tcPr>
          <w:p w14:paraId="43BB298E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Zander Lei</w:t>
            </w:r>
          </w:p>
        </w:tc>
        <w:tc>
          <w:tcPr>
            <w:tcW w:w="2250" w:type="dxa"/>
            <w:vAlign w:val="center"/>
          </w:tcPr>
          <w:p w14:paraId="7E360DB1" w14:textId="77777777"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Institute for Infocomm Research (I2R)</w:t>
            </w:r>
          </w:p>
        </w:tc>
        <w:tc>
          <w:tcPr>
            <w:tcW w:w="2686" w:type="dxa"/>
            <w:vAlign w:val="center"/>
          </w:tcPr>
          <w:p w14:paraId="3B5ABF3D" w14:textId="7FD5F060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Fusionopolis</w:t>
            </w:r>
            <w:proofErr w:type="spellEnd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 Way</w:t>
            </w:r>
          </w:p>
          <w:p w14:paraId="23674C05" w14:textId="4D739433" w:rsidR="00464EBE" w:rsidRPr="00F968C8" w:rsidRDefault="00464EBE" w:rsidP="00464E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szCs w:val="18"/>
                <w:lang w:eastAsia="ko-KR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 xml:space="preserve">#21-01 </w:t>
            </w:r>
            <w:proofErr w:type="spellStart"/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Connexis</w:t>
            </w:r>
            <w:proofErr w:type="spellEnd"/>
          </w:p>
          <w:p w14:paraId="7AB828B9" w14:textId="4CDC32E2" w:rsidR="009524A9" w:rsidRPr="00F968C8" w:rsidRDefault="00464EBE" w:rsidP="00464EB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맑은 고딕"/>
                <w:b w:val="0"/>
                <w:sz w:val="18"/>
                <w:szCs w:val="18"/>
                <w:lang w:eastAsia="ko-KR"/>
              </w:rPr>
              <w:t>Singapore 138632</w:t>
            </w:r>
          </w:p>
        </w:tc>
        <w:tc>
          <w:tcPr>
            <w:tcW w:w="1634" w:type="dxa"/>
            <w:vAlign w:val="center"/>
          </w:tcPr>
          <w:p w14:paraId="05FF30EE" w14:textId="77777777" w:rsidR="00CA09B2" w:rsidRPr="00F968C8" w:rsidRDefault="00061CD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6408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2436</w:t>
            </w:r>
          </w:p>
        </w:tc>
        <w:tc>
          <w:tcPr>
            <w:tcW w:w="1728" w:type="dxa"/>
            <w:vAlign w:val="center"/>
          </w:tcPr>
          <w:p w14:paraId="2A04C758" w14:textId="77777777" w:rsidR="00CA09B2" w:rsidRPr="00F968C8" w:rsidRDefault="00FA7686" w:rsidP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leizd</w:t>
            </w:r>
            <w:r w:rsidR="00061CD6" w:rsidRPr="00F968C8">
              <w:rPr>
                <w:b w:val="0"/>
                <w:sz w:val="18"/>
                <w:szCs w:val="18"/>
              </w:rPr>
              <w:t>@</w:t>
            </w:r>
            <w:r w:rsidRPr="00F968C8">
              <w:rPr>
                <w:b w:val="0"/>
                <w:sz w:val="18"/>
                <w:szCs w:val="18"/>
              </w:rPr>
              <w:t>i2r.a-star.edu.sg</w:t>
            </w:r>
          </w:p>
        </w:tc>
      </w:tr>
      <w:tr w:rsidR="00CA09B2" w14:paraId="627EB0DC" w14:textId="77777777" w:rsidTr="0046161B">
        <w:trPr>
          <w:jc w:val="center"/>
        </w:trPr>
        <w:tc>
          <w:tcPr>
            <w:tcW w:w="1278" w:type="dxa"/>
            <w:vAlign w:val="center"/>
          </w:tcPr>
          <w:p w14:paraId="4D8007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3BD2F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14:paraId="4BD1F7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14:paraId="5103DC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1C2C1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3CA27" w14:textId="77777777" w:rsidR="00CA09B2" w:rsidRDefault="005968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6A3326" wp14:editId="4B39378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DE8F" w14:textId="77777777" w:rsidR="00272619" w:rsidRDefault="002726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227BFEE" w14:textId="70F5855E" w:rsidR="00272619" w:rsidRDefault="00272619">
                            <w:pPr>
                              <w:jc w:val="both"/>
                            </w:pPr>
                            <w:r>
                              <w:t>IEEE 802.11ah Minutes for the telecon held on 2016-1-5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" o:allowincell="f" stroked="f">
                <v:textbox>
                  <w:txbxContent>
                    <w:p w14:paraId="0EB5DE8F" w14:textId="77777777" w:rsidR="00272619" w:rsidRDefault="002726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227BFEE" w14:textId="70F5855E" w:rsidR="00272619" w:rsidRDefault="00272619">
                      <w:pPr>
                        <w:jc w:val="both"/>
                      </w:pPr>
                      <w:r>
                        <w:t>IEEE 802.11ah Minutes for the telecon held on 2016-1-5</w:t>
                      </w:r>
                    </w:p>
                  </w:txbxContent>
                </v:textbox>
              </v:shape>
            </w:pict>
          </mc:Fallback>
        </mc:AlternateContent>
      </w:r>
    </w:p>
    <w:p w14:paraId="767F1906" w14:textId="3B335588"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 xml:space="preserve">Chair called meeting to order at </w:t>
      </w:r>
      <w:r w:rsidR="008F6EE5">
        <w:t>5</w:t>
      </w:r>
      <w:r w:rsidR="00535415">
        <w:t>:</w:t>
      </w:r>
      <w:r w:rsidR="008F6EE5">
        <w:t>00pm</w:t>
      </w:r>
      <w:r w:rsidR="00535415">
        <w:t xml:space="preserve"> </w:t>
      </w:r>
      <w:r w:rsidR="000148E5">
        <w:t>pacific</w:t>
      </w:r>
      <w:r w:rsidR="00535415">
        <w:t>.</w:t>
      </w:r>
    </w:p>
    <w:p w14:paraId="04EFF9BD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14:paraId="054C7333" w14:textId="43B5EA26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>
        <w:t>Yongho</w:t>
      </w:r>
      <w:proofErr w:type="spellEnd"/>
      <w:r>
        <w:t xml:space="preserve"> </w:t>
      </w:r>
      <w:proofErr w:type="spellStart"/>
      <w:r>
        <w:t>Seok</w:t>
      </w:r>
      <w:proofErr w:type="spellEnd"/>
      <w:r w:rsidR="00535415">
        <w:t xml:space="preserve"> (</w:t>
      </w:r>
      <w:r w:rsidR="00E23957">
        <w:t>C</w:t>
      </w:r>
      <w:r w:rsidR="00535415">
        <w:t xml:space="preserve">hair, </w:t>
      </w:r>
      <w:proofErr w:type="spellStart"/>
      <w:r>
        <w:t>Newracom</w:t>
      </w:r>
      <w:proofErr w:type="spellEnd"/>
      <w:r w:rsidR="00535415">
        <w:t>)</w:t>
      </w:r>
    </w:p>
    <w:p w14:paraId="60EC0D18" w14:textId="141DCDFE" w:rsidR="00535415" w:rsidRDefault="000148E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Zander Lei</w:t>
      </w:r>
      <w:r w:rsidR="00535415">
        <w:t xml:space="preserve"> (</w:t>
      </w:r>
      <w:r w:rsidR="00E23957">
        <w:t>S</w:t>
      </w:r>
      <w:r w:rsidR="00535415">
        <w:t xml:space="preserve">ecretary, </w:t>
      </w:r>
      <w:r>
        <w:t>I2R</w:t>
      </w:r>
      <w:r w:rsidR="00535415">
        <w:t>)</w:t>
      </w:r>
    </w:p>
    <w:p w14:paraId="751EC5CA" w14:textId="4BD3994E" w:rsidR="00535415" w:rsidRDefault="004D205A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 xml:space="preserve">Alfred </w:t>
      </w:r>
      <w:proofErr w:type="spellStart"/>
      <w:r>
        <w:t>Asterjadhi</w:t>
      </w:r>
      <w:proofErr w:type="spellEnd"/>
      <w:r>
        <w:t xml:space="preserve"> (Qualcomm</w:t>
      </w:r>
      <w:r w:rsidR="00535415">
        <w:t>)</w:t>
      </w:r>
    </w:p>
    <w:p w14:paraId="00F0833F" w14:textId="4F984D45" w:rsidR="004D205A" w:rsidRDefault="004D205A" w:rsidP="00535415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 w:rsidRPr="004D205A">
        <w:t>Shusaku</w:t>
      </w:r>
      <w:proofErr w:type="spellEnd"/>
      <w:r w:rsidRPr="004D205A">
        <w:t xml:space="preserve"> Shimada</w:t>
      </w:r>
      <w:r>
        <w:t xml:space="preserve"> (</w:t>
      </w:r>
      <w:proofErr w:type="spellStart"/>
      <w:r w:rsidRPr="004D205A">
        <w:t>Schubiquist</w:t>
      </w:r>
      <w:proofErr w:type="spellEnd"/>
      <w:r w:rsidRPr="004D205A">
        <w:t xml:space="preserve"> Technologies</w:t>
      </w:r>
      <w:r>
        <w:t>)</w:t>
      </w:r>
    </w:p>
    <w:p w14:paraId="40A69CEF" w14:textId="77777777"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14:paraId="1E2BE447" w14:textId="19462332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for secretary</w:t>
      </w:r>
    </w:p>
    <w:p w14:paraId="14E139F5" w14:textId="32C0FA8C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IPR and other relevant IEEE policies</w:t>
      </w:r>
    </w:p>
    <w:p w14:paraId="0CA69416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>NOTE: Please review the documents at the following links:</w:t>
      </w:r>
    </w:p>
    <w:p w14:paraId="6D8BB694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Patent Policy - </w:t>
      </w:r>
      <w:hyperlink r:id="rId9" w:history="1">
        <w:r w:rsidRPr="00A86B95">
          <w:rPr>
            <w:rStyle w:val="Hyperlink"/>
            <w:lang w:val="en-US"/>
          </w:rPr>
          <w:t>http://standards.ieee.org/board/pat/pat-slideset.ppt</w:t>
        </w:r>
      </w:hyperlink>
    </w:p>
    <w:p w14:paraId="23E83A83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Patent FAQ - </w:t>
      </w:r>
      <w:hyperlink r:id="rId10" w:history="1">
        <w:r w:rsidRPr="00A86B95">
          <w:rPr>
            <w:rStyle w:val="Hyperlink"/>
            <w:lang w:val="en-US"/>
          </w:rPr>
          <w:t>http://standards.ieee.org/board/pat/faq.pdf</w:t>
        </w:r>
      </w:hyperlink>
    </w:p>
    <w:p w14:paraId="1F19790D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</w:t>
      </w:r>
      <w:proofErr w:type="spellStart"/>
      <w:r w:rsidRPr="00A86B95">
        <w:rPr>
          <w:lang w:val="en-US"/>
        </w:rPr>
        <w:t>LoA</w:t>
      </w:r>
      <w:proofErr w:type="spellEnd"/>
      <w:r w:rsidRPr="00A86B95">
        <w:rPr>
          <w:lang w:val="en-US"/>
        </w:rPr>
        <w:t xml:space="preserve"> Form - </w:t>
      </w:r>
      <w:hyperlink r:id="rId11" w:history="1">
        <w:r w:rsidRPr="00A86B95">
          <w:rPr>
            <w:rStyle w:val="Hyperlink"/>
            <w:lang w:val="en-US"/>
          </w:rPr>
          <w:t>http://standards.ieee.org/board/pat/loa.pdf</w:t>
        </w:r>
      </w:hyperlink>
    </w:p>
    <w:p w14:paraId="2F45A9D0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Affiliation FAQ - </w:t>
      </w:r>
      <w:hyperlink r:id="rId12" w:history="1">
        <w:r w:rsidRPr="00A86B95">
          <w:rPr>
            <w:rStyle w:val="Hyperlink"/>
            <w:lang w:val="en-US"/>
          </w:rPr>
          <w:t>http://standards.ieee.org/faqs/affiliationFAQ.html</w:t>
        </w:r>
      </w:hyperlink>
    </w:p>
    <w:p w14:paraId="1E904BFC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Anti-Trust FAQ - </w:t>
      </w:r>
      <w:hyperlink r:id="rId13" w:history="1">
        <w:r w:rsidRPr="00A86B95">
          <w:rPr>
            <w:rStyle w:val="Hyperlink"/>
            <w:lang w:val="en-US"/>
          </w:rPr>
          <w:t>http://standards.ieee.org/resources/antitrust-guidelines.pdf</w:t>
        </w:r>
      </w:hyperlink>
    </w:p>
    <w:p w14:paraId="20BFB799" w14:textId="77777777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Ethics - </w:t>
      </w:r>
      <w:hyperlink r:id="rId14" w:history="1">
        <w:r w:rsidRPr="00A86B95">
          <w:rPr>
            <w:rStyle w:val="Hyperlink"/>
            <w:lang w:val="en-US"/>
          </w:rPr>
          <w:t>http://www.ieee.org/portal/cms_docs/about/CoE_poster.pdf</w:t>
        </w:r>
      </w:hyperlink>
    </w:p>
    <w:p w14:paraId="0016BC93" w14:textId="32B47EDC" w:rsidR="00A86B95" w:rsidRPr="00A86B95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A86B95">
        <w:rPr>
          <w:lang w:val="en-US"/>
        </w:rPr>
        <w:t xml:space="preserve">-  IEEE 802.11 Working Group </w:t>
      </w:r>
      <w:proofErr w:type="spellStart"/>
      <w:r w:rsidRPr="00A86B95">
        <w:rPr>
          <w:lang w:val="en-US"/>
        </w:rPr>
        <w:t>Operartions</w:t>
      </w:r>
      <w:proofErr w:type="spellEnd"/>
      <w:r w:rsidRPr="00A86B95">
        <w:rPr>
          <w:lang w:val="en-US"/>
        </w:rPr>
        <w:t xml:space="preserve"> Manual – </w:t>
      </w:r>
      <w:hyperlink r:id="rId15" w:history="1">
        <w:r w:rsidRPr="00A86B95">
          <w:rPr>
            <w:rStyle w:val="Hyperlink"/>
            <w:lang w:val="en-US"/>
          </w:rPr>
          <w:t>11-14-0629-13-0000-802-11-</w:t>
        </w:r>
      </w:hyperlink>
      <w:hyperlink r:id="rId16" w:history="1">
        <w:r w:rsidRPr="00A86B95">
          <w:rPr>
            <w:rStyle w:val="Hyperlink"/>
            <w:lang w:val="en-US"/>
          </w:rPr>
          <w:t>operations-manual.docx</w:t>
        </w:r>
      </w:hyperlink>
    </w:p>
    <w:p w14:paraId="1F792E65" w14:textId="0572C61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Attendance Reminder (send an email to </w:t>
      </w:r>
      <w:hyperlink r:id="rId17" w:history="1">
        <w:r w:rsidRPr="00631A72">
          <w:rPr>
            <w:rStyle w:val="Hyperlink"/>
          </w:rPr>
          <w:t>leizd@i2r.a-star.edu.sg</w:t>
        </w:r>
      </w:hyperlink>
      <w:r>
        <w:t xml:space="preserve"> and/or </w:t>
      </w:r>
      <w:hyperlink r:id="rId18" w:history="1">
        <w:r w:rsidRPr="00631A72">
          <w:rPr>
            <w:rStyle w:val="Hyperlink"/>
          </w:rPr>
          <w:t>yongho.seok@gmail.com</w:t>
        </w:r>
      </w:hyperlink>
      <w:r>
        <w:t>)</w:t>
      </w:r>
    </w:p>
    <w:p w14:paraId="06F589A0" w14:textId="1C1FB8F9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Review TGah SB0 comment </w:t>
      </w:r>
      <w:proofErr w:type="spellStart"/>
      <w:r>
        <w:t>spreadsheet</w:t>
      </w:r>
      <w:proofErr w:type="spellEnd"/>
      <w:r>
        <w:t xml:space="preserve"> </w:t>
      </w:r>
    </w:p>
    <w:p w14:paraId="14AD63B1" w14:textId="0807DD96" w:rsidR="00196874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to address comments received on TGah SB0 </w:t>
      </w:r>
    </w:p>
    <w:p w14:paraId="58C2F7E6" w14:textId="1E7C06EF" w:rsidR="00747F46" w:rsidRDefault="004D205A" w:rsidP="00747F46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4D205A">
        <w:t>SB0-par-scope-related</w:t>
      </w:r>
      <w:r w:rsidR="00DE0D0F">
        <w:t xml:space="preserve">-comments (11-15/1532r0, </w:t>
      </w:r>
      <w:proofErr w:type="spellStart"/>
      <w:r w:rsidR="00DE0D0F">
        <w:t>Yongho</w:t>
      </w:r>
      <w:proofErr w:type="spellEnd"/>
      <w:r w:rsidR="00747F46">
        <w:t>)</w:t>
      </w:r>
      <w:r w:rsidR="00747F46" w:rsidRPr="00747F46">
        <w:t xml:space="preserve"> </w:t>
      </w:r>
    </w:p>
    <w:p w14:paraId="23CFE0AB" w14:textId="77777777" w:rsidR="00DE0D0F" w:rsidRDefault="00DE0D0F" w:rsidP="00DE0D0F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 w:rsidRPr="00DE0D0F">
        <w:t xml:space="preserve">SB0-comment-resolution-part4 (11-15/1534r0, </w:t>
      </w:r>
      <w:proofErr w:type="spellStart"/>
      <w:r w:rsidRPr="00DE0D0F">
        <w:t>Yongho</w:t>
      </w:r>
      <w:proofErr w:type="spellEnd"/>
      <w:r w:rsidRPr="00DE0D0F">
        <w:t>)</w:t>
      </w:r>
    </w:p>
    <w:p w14:paraId="7B79DC69" w14:textId="78EAD636" w:rsidR="003B7411" w:rsidRDefault="00E76EA4" w:rsidP="00DE0D0F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New submissions?</w:t>
      </w:r>
    </w:p>
    <w:p w14:paraId="6ECF8ED4" w14:textId="3A3CFD05" w:rsidR="00F968C8" w:rsidRDefault="00F968C8" w:rsidP="00DE0D0F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 xml:space="preserve">Submissions </w:t>
      </w:r>
      <w:r w:rsidRPr="00F968C8">
        <w:t>already presented and ready for motion</w:t>
      </w:r>
    </w:p>
    <w:p w14:paraId="5620E7D8" w14:textId="10D600AA" w:rsidR="006A6735" w:rsidRDefault="006A6735" w:rsidP="004D205A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proofErr w:type="spellStart"/>
      <w:r w:rsidRPr="006A6735">
        <w:t>Misc</w:t>
      </w:r>
      <w:proofErr w:type="spellEnd"/>
      <w:r w:rsidRPr="006A6735">
        <w:t xml:space="preserve"> SB CID resolutions for Clause 24 (11-15/1491r1, Eugene)</w:t>
      </w:r>
    </w:p>
    <w:p w14:paraId="4E687D1A" w14:textId="77777777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1: </w:t>
      </w:r>
    </w:p>
    <w:p w14:paraId="5C640826" w14:textId="19943699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8212, 8213, 8214, 8215, 8216, 8217, 8218 (7 CIDs) as shown in 11-15/1491r1  </w:t>
      </w:r>
    </w:p>
    <w:p w14:paraId="7667326D" w14:textId="4B6D39F7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 xml:space="preserve">SB0-comment-resolution-part3 (11-15/1481r1, </w:t>
      </w:r>
      <w:proofErr w:type="spellStart"/>
      <w:r w:rsidRPr="00DE0D0F">
        <w:t>Yongho</w:t>
      </w:r>
      <w:proofErr w:type="spellEnd"/>
      <w:r w:rsidRPr="006A6735">
        <w:t>)</w:t>
      </w:r>
    </w:p>
    <w:p w14:paraId="4804C7B7" w14:textId="0BE625CC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2: </w:t>
      </w:r>
    </w:p>
    <w:p w14:paraId="3B5DBB29" w14:textId="46FB902B" w:rsidR="006A6735" w:rsidRDefault="006A6735" w:rsidP="006A6735">
      <w:pPr>
        <w:pStyle w:val="ListParagraph"/>
        <w:spacing w:before="100" w:beforeAutospacing="1" w:after="100" w:afterAutospacing="1" w:line="259" w:lineRule="auto"/>
        <w:ind w:left="1800"/>
      </w:pPr>
      <w:r w:rsidRPr="006A6735">
        <w:t>Move to adopt the comment resolutions of CID 8045, 8048, 8156, 8303 (</w:t>
      </w:r>
      <w:r w:rsidR="00DE0D0F">
        <w:t>4 CIDs) as shown in 11-15/1481r1</w:t>
      </w:r>
    </w:p>
    <w:p w14:paraId="068B523D" w14:textId="77777777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 xml:space="preserve">SB0 resolution to </w:t>
      </w:r>
      <w:proofErr w:type="spellStart"/>
      <w:r w:rsidRPr="00DE0D0F">
        <w:t>misc</w:t>
      </w:r>
      <w:proofErr w:type="spellEnd"/>
      <w:r w:rsidRPr="00DE0D0F">
        <w:t xml:space="preserve"> comments (11-15/1495r1, Zander)</w:t>
      </w:r>
    </w:p>
    <w:p w14:paraId="29DEA3E3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3: </w:t>
      </w:r>
    </w:p>
    <w:p w14:paraId="5D41F801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</w:t>
      </w:r>
      <w:r w:rsidRPr="00DE0D0F">
        <w:t>8098, 8134, 8135, 8136, 8282, 8210, 8186, 8187 (8 CIDs) as shown in 11-15/1495r1</w:t>
      </w:r>
    </w:p>
    <w:p w14:paraId="65274E45" w14:textId="77777777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 xml:space="preserve">11ah SB0 resolution to comments in clause3.2 </w:t>
      </w:r>
      <w:r>
        <w:t>(11-15/1496</w:t>
      </w:r>
      <w:r w:rsidRPr="00DE0D0F">
        <w:t>r1, Zander)</w:t>
      </w:r>
    </w:p>
    <w:p w14:paraId="2FF2AC98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4: </w:t>
      </w:r>
    </w:p>
    <w:p w14:paraId="0BD422E8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</w:t>
      </w:r>
      <w:r w:rsidRPr="00DE0D0F">
        <w:t>8488, 8489, 8490, 8491, 8494, 8495 (6 CIDs) as shown in 11-15/1496r1</w:t>
      </w:r>
    </w:p>
    <w:p w14:paraId="6BE5B0DA" w14:textId="77777777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>11ah SB0 resolution to comments in clause4.3.13a (11-15/1497r1, Zander)</w:t>
      </w:r>
    </w:p>
    <w:p w14:paraId="65BE82E5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5: </w:t>
      </w:r>
    </w:p>
    <w:p w14:paraId="58B07404" w14:textId="77777777" w:rsidR="00DE0D0F" w:rsidRP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</w:t>
      </w:r>
      <w:r w:rsidRPr="00DE0D0F">
        <w:t>8496, 8342, 8207, 8344, 8040 (5 CIDs) as shown in 11-15/1497r1</w:t>
      </w:r>
    </w:p>
    <w:p w14:paraId="14B0A46F" w14:textId="77777777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 xml:space="preserve">11ah SB0 resolution to comments (7 CIDs) (11-15/1513r1, </w:t>
      </w:r>
      <w:proofErr w:type="spellStart"/>
      <w:r w:rsidRPr="00DE0D0F">
        <w:t>Shoukang</w:t>
      </w:r>
      <w:proofErr w:type="spellEnd"/>
      <w:r w:rsidRPr="00DE0D0F">
        <w:t>)</w:t>
      </w:r>
    </w:p>
    <w:p w14:paraId="57A0EED2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>
        <w:t xml:space="preserve">Motion 6: </w:t>
      </w:r>
    </w:p>
    <w:p w14:paraId="53F6D4D9" w14:textId="77777777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</w:t>
      </w:r>
      <w:r w:rsidRPr="00DE0D0F">
        <w:t>8065, 8066, 8078, 8142, 8177, 8447, 8481 (7 CIDs) as shown in 11-15/1513r1</w:t>
      </w:r>
    </w:p>
    <w:p w14:paraId="3F505DBA" w14:textId="60D120E3" w:rsidR="00DE0D0F" w:rsidRDefault="00DE0D0F" w:rsidP="00DE0D0F">
      <w:pPr>
        <w:pStyle w:val="ListParagraph"/>
        <w:numPr>
          <w:ilvl w:val="2"/>
          <w:numId w:val="31"/>
        </w:numPr>
        <w:spacing w:before="100" w:beforeAutospacing="1" w:after="100" w:afterAutospacing="1" w:line="259" w:lineRule="auto"/>
      </w:pPr>
      <w:r w:rsidRPr="00DE0D0F">
        <w:t>Miscellaneous Part 1 (1</w:t>
      </w:r>
      <w:r>
        <w:t>1-15/1531r1, Alfred</w:t>
      </w:r>
      <w:r w:rsidRPr="00DE0D0F">
        <w:t>)</w:t>
      </w:r>
    </w:p>
    <w:p w14:paraId="09287AB2" w14:textId="15CE1E28" w:rsid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>
        <w:lastRenderedPageBreak/>
        <w:t xml:space="preserve">Motion 7: </w:t>
      </w:r>
    </w:p>
    <w:p w14:paraId="6F86BC6F" w14:textId="1C149E40" w:rsidR="004D205A" w:rsidRPr="00DE0D0F" w:rsidRDefault="00DE0D0F" w:rsidP="00DE0D0F">
      <w:pPr>
        <w:pStyle w:val="ListParagraph"/>
        <w:spacing w:before="100" w:beforeAutospacing="1" w:after="100" w:afterAutospacing="1" w:line="259" w:lineRule="auto"/>
        <w:ind w:left="1800"/>
      </w:pPr>
      <w:r w:rsidRPr="006A6735">
        <w:t xml:space="preserve">Move to adopt the comment resolutions of CID </w:t>
      </w:r>
      <w:r w:rsidRPr="00DE0D0F">
        <w:t>8054, 8064, 8073, 8141, 8143, 8181, 8300, 8183, 8283, 8324, 8326, 8479, 8029, 8487, 8166, 8206, 8281 (17 CIDs)</w:t>
      </w:r>
      <w:r>
        <w:t xml:space="preserve"> as shown in 11-15/15</w:t>
      </w:r>
      <w:r w:rsidRPr="00DE0D0F">
        <w:t>3</w:t>
      </w:r>
      <w:r>
        <w:t>1</w:t>
      </w:r>
      <w:r w:rsidRPr="00DE0D0F">
        <w:t>r1</w:t>
      </w:r>
    </w:p>
    <w:p w14:paraId="7C1100B7" w14:textId="77777777" w:rsidR="00E76EA4" w:rsidRDefault="00E76EA4" w:rsidP="004D205A">
      <w:pPr>
        <w:pStyle w:val="ListParagraph"/>
        <w:numPr>
          <w:ilvl w:val="0"/>
          <w:numId w:val="31"/>
        </w:numPr>
        <w:spacing w:after="160" w:line="259" w:lineRule="auto"/>
      </w:pPr>
      <w:r w:rsidRPr="003B7411">
        <w:t xml:space="preserve">Chair </w:t>
      </w:r>
      <w:r>
        <w:t xml:space="preserve">asked if there were new submissions. </w:t>
      </w:r>
      <w:r w:rsidRPr="00E76EA4">
        <w:rPr>
          <w:u w:val="single"/>
        </w:rPr>
        <w:t>None was heard.</w:t>
      </w:r>
      <w:r>
        <w:t xml:space="preserve"> </w:t>
      </w:r>
    </w:p>
    <w:p w14:paraId="1CD9C59B" w14:textId="33556BEF" w:rsidR="003B7411" w:rsidRDefault="003B7411" w:rsidP="004D205A">
      <w:pPr>
        <w:pStyle w:val="ListParagraph"/>
        <w:numPr>
          <w:ilvl w:val="0"/>
          <w:numId w:val="31"/>
        </w:numPr>
        <w:spacing w:after="160" w:line="259" w:lineRule="auto"/>
      </w:pPr>
      <w:r>
        <w:t>Motion to approve agenda</w:t>
      </w:r>
    </w:p>
    <w:p w14:paraId="42818E98" w14:textId="1657A20D" w:rsidR="003B7411" w:rsidRPr="001B7339" w:rsidRDefault="001B7339" w:rsidP="003B7411">
      <w:pPr>
        <w:pStyle w:val="ListParagraph"/>
        <w:spacing w:after="160" w:line="259" w:lineRule="auto"/>
        <w:ind w:firstLine="360"/>
        <w:rPr>
          <w:highlight w:val="yellow"/>
        </w:rPr>
      </w:pPr>
      <w:r>
        <w:rPr>
          <w:highlight w:val="yellow"/>
        </w:rPr>
        <w:t xml:space="preserve">Motion1: </w:t>
      </w:r>
      <w:r w:rsidR="003B7411" w:rsidRPr="001B7339">
        <w:rPr>
          <w:highlight w:val="yellow"/>
        </w:rPr>
        <w:t xml:space="preserve">Move to adopt the </w:t>
      </w:r>
      <w:r w:rsidR="00293AF3" w:rsidRPr="001B7339">
        <w:rPr>
          <w:highlight w:val="yellow"/>
        </w:rPr>
        <w:t>t</w:t>
      </w:r>
      <w:r w:rsidR="00190791" w:rsidRPr="001B7339">
        <w:rPr>
          <w:highlight w:val="yellow"/>
        </w:rPr>
        <w:t>entative</w:t>
      </w:r>
      <w:r w:rsidR="003B7411" w:rsidRPr="001B7339">
        <w:rPr>
          <w:highlight w:val="yellow"/>
        </w:rPr>
        <w:t xml:space="preserve"> agenda shown in item 3 above for this call</w:t>
      </w:r>
      <w:r w:rsidR="00E76EA4" w:rsidRPr="001B7339">
        <w:rPr>
          <w:highlight w:val="yellow"/>
        </w:rPr>
        <w:t xml:space="preserve"> (</w:t>
      </w:r>
      <w:r>
        <w:rPr>
          <w:highlight w:val="yellow"/>
        </w:rPr>
        <w:t>no</w:t>
      </w:r>
      <w:r w:rsidR="00E76EA4" w:rsidRPr="001B7339">
        <w:rPr>
          <w:highlight w:val="yellow"/>
        </w:rPr>
        <w:t xml:space="preserve"> new submissions)</w:t>
      </w:r>
    </w:p>
    <w:p w14:paraId="4174E041" w14:textId="2933FF00" w:rsidR="003B7411" w:rsidRPr="001B7339" w:rsidRDefault="003B7411" w:rsidP="003B7411">
      <w:pPr>
        <w:pStyle w:val="ListParagraph"/>
        <w:spacing w:after="160" w:line="259" w:lineRule="auto"/>
        <w:ind w:firstLine="360"/>
        <w:rPr>
          <w:highlight w:val="yellow"/>
        </w:rPr>
      </w:pPr>
      <w:r w:rsidRPr="001B7339">
        <w:rPr>
          <w:highlight w:val="yellow"/>
        </w:rPr>
        <w:t xml:space="preserve">Moved by </w:t>
      </w:r>
      <w:r w:rsidR="00994E34" w:rsidRPr="001B7339">
        <w:rPr>
          <w:highlight w:val="yellow"/>
        </w:rPr>
        <w:t>Zander</w:t>
      </w:r>
      <w:r w:rsidRPr="001B7339">
        <w:rPr>
          <w:highlight w:val="yellow"/>
        </w:rPr>
        <w:t>;</w:t>
      </w:r>
      <w:r w:rsidRPr="001B7339">
        <w:rPr>
          <w:highlight w:val="yellow"/>
        </w:rPr>
        <w:tab/>
        <w:t xml:space="preserve">Seconded by </w:t>
      </w:r>
      <w:r w:rsidR="00FC774A">
        <w:rPr>
          <w:highlight w:val="yellow"/>
        </w:rPr>
        <w:t>Alfred</w:t>
      </w:r>
      <w:r w:rsidRPr="001B7339">
        <w:rPr>
          <w:highlight w:val="yellow"/>
        </w:rPr>
        <w:t xml:space="preserve"> </w:t>
      </w:r>
    </w:p>
    <w:p w14:paraId="74EF0E58" w14:textId="3BCC0577" w:rsidR="00535415" w:rsidRPr="003B7411" w:rsidRDefault="00535415" w:rsidP="003B7411">
      <w:pPr>
        <w:pStyle w:val="ListParagraph"/>
        <w:spacing w:after="160" w:line="259" w:lineRule="auto"/>
        <w:ind w:firstLine="360"/>
      </w:pPr>
      <w:r w:rsidRPr="001B7339">
        <w:rPr>
          <w:highlight w:val="yellow"/>
          <w:u w:val="single"/>
        </w:rPr>
        <w:t>The tentative agenda was approved with unanimous consent</w:t>
      </w:r>
      <w:r w:rsidRPr="001B7339">
        <w:rPr>
          <w:highlight w:val="yellow"/>
        </w:rPr>
        <w:t>.</w:t>
      </w:r>
    </w:p>
    <w:p w14:paraId="0732872B" w14:textId="18FF6843" w:rsidR="00E23957" w:rsidRDefault="00E23957" w:rsidP="004D205A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Secretary took meeting minutes for the call. </w:t>
      </w:r>
    </w:p>
    <w:p w14:paraId="2A77CAB4" w14:textId="77777777" w:rsidR="00E23957" w:rsidRDefault="00196874" w:rsidP="004D205A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Chair presented IEEE-SA patent policy and issued call for potentially essential patents.  </w:t>
      </w:r>
      <w:r w:rsidRPr="000148E5">
        <w:rPr>
          <w:u w:val="single"/>
        </w:rPr>
        <w:t>There was no response</w:t>
      </w:r>
      <w:r>
        <w:t>.</w:t>
      </w:r>
    </w:p>
    <w:p w14:paraId="1E11EEF7" w14:textId="3F97E48B" w:rsidR="00E23957" w:rsidRDefault="00E23957" w:rsidP="004D205A">
      <w:pPr>
        <w:pStyle w:val="ListParagraph"/>
        <w:numPr>
          <w:ilvl w:val="0"/>
          <w:numId w:val="31"/>
        </w:numPr>
        <w:spacing w:after="160" w:line="259" w:lineRule="auto"/>
      </w:pPr>
      <w:r w:rsidRPr="00E23957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9" w:history="1">
        <w:r w:rsidRPr="00E23957">
          <w:rPr>
            <w:rStyle w:val="Hyperlink"/>
            <w:bCs/>
            <w:szCs w:val="22"/>
            <w:lang w:val="en-US" w:eastAsia="ja-JP"/>
          </w:rPr>
          <w:t>leizd@i2r.a-star.edu.sg</w:t>
        </w:r>
      </w:hyperlink>
      <w:r w:rsidRPr="00E23957">
        <w:rPr>
          <w:bCs/>
          <w:szCs w:val="22"/>
          <w:lang w:val="en-US" w:eastAsia="ja-JP"/>
        </w:rPr>
        <w:t xml:space="preserve"> and/or </w:t>
      </w:r>
      <w:hyperlink r:id="rId20" w:history="1">
        <w:r w:rsidRPr="00E23957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14:paraId="52D5869E" w14:textId="48575E10" w:rsidR="006B6169" w:rsidRDefault="007A014B" w:rsidP="004D205A">
      <w:pPr>
        <w:pStyle w:val="ListParagraph"/>
        <w:numPr>
          <w:ilvl w:val="0"/>
          <w:numId w:val="31"/>
        </w:numPr>
        <w:spacing w:after="160" w:line="259" w:lineRule="auto"/>
      </w:pPr>
      <w:r>
        <w:t>Chair r</w:t>
      </w:r>
      <w:r w:rsidR="003B7411">
        <w:t>eview</w:t>
      </w:r>
      <w:r>
        <w:t>ed the</w:t>
      </w:r>
      <w:r w:rsidR="003B7411">
        <w:t xml:space="preserve"> </w:t>
      </w:r>
      <w:r w:rsidR="00761FC4">
        <w:t xml:space="preserve">status of the </w:t>
      </w:r>
      <w:r w:rsidR="003B7411">
        <w:t>TGah SB0 comment</w:t>
      </w:r>
      <w:r w:rsidR="00080D7E">
        <w:t>s and resolution. He commented that the</w:t>
      </w:r>
      <w:r w:rsidR="003B7411">
        <w:t xml:space="preserve"> </w:t>
      </w:r>
      <w:proofErr w:type="spellStart"/>
      <w:r w:rsidR="003B7411">
        <w:t>spreadsheet</w:t>
      </w:r>
      <w:proofErr w:type="spellEnd"/>
      <w:r w:rsidR="003B7411">
        <w:t xml:space="preserve"> </w:t>
      </w:r>
      <w:r w:rsidR="00E926C3">
        <w:t>11-15/1292r3</w:t>
      </w:r>
      <w:r w:rsidR="00036BE0">
        <w:t xml:space="preserve"> </w:t>
      </w:r>
      <w:r w:rsidR="00E926C3">
        <w:t xml:space="preserve">had </w:t>
      </w:r>
      <w:r w:rsidR="00036BE0">
        <w:t xml:space="preserve">not </w:t>
      </w:r>
      <w:r w:rsidR="00080D7E">
        <w:t xml:space="preserve">been </w:t>
      </w:r>
      <w:r w:rsidR="00E926C3">
        <w:t xml:space="preserve">updated </w:t>
      </w:r>
      <w:r w:rsidR="00036BE0">
        <w:t>since last conference call</w:t>
      </w:r>
      <w:r w:rsidR="001236F3">
        <w:t xml:space="preserve">. </w:t>
      </w:r>
      <w:r w:rsidR="00080D7E">
        <w:t xml:space="preserve">There were 7 document presented in </w:t>
      </w:r>
      <w:proofErr w:type="spellStart"/>
      <w:r w:rsidR="00080D7E">
        <w:t>prevous</w:t>
      </w:r>
      <w:proofErr w:type="spellEnd"/>
      <w:r w:rsidR="00080D7E">
        <w:t xml:space="preserve"> calls were ready for motion. He would send out an email to the reflector later for the status updates. </w:t>
      </w:r>
    </w:p>
    <w:p w14:paraId="12063B89" w14:textId="3E9DB3E7" w:rsidR="00535415" w:rsidRDefault="00930B12" w:rsidP="004D205A">
      <w:pPr>
        <w:pStyle w:val="ListParagraph"/>
        <w:numPr>
          <w:ilvl w:val="0"/>
          <w:numId w:val="31"/>
        </w:numPr>
        <w:spacing w:after="160" w:line="259" w:lineRule="auto"/>
      </w:pPr>
      <w:r w:rsidRPr="00930B12">
        <w:t>Submissions to address comments received on TGah SB0</w:t>
      </w:r>
    </w:p>
    <w:p w14:paraId="1426AA19" w14:textId="6AC94263" w:rsidR="00535415" w:rsidRPr="00535415" w:rsidRDefault="00535415" w:rsidP="004D205A">
      <w:pPr>
        <w:pStyle w:val="ListParagraph"/>
        <w:numPr>
          <w:ilvl w:val="1"/>
          <w:numId w:val="31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="00080D7E">
        <w:rPr>
          <w:b/>
        </w:rPr>
        <w:t>1</w:t>
      </w:r>
      <w:r w:rsidR="00862CE7">
        <w:rPr>
          <w:b/>
        </w:rPr>
        <w:t>5</w:t>
      </w:r>
      <w:r w:rsidR="00080D7E">
        <w:rPr>
          <w:b/>
        </w:rPr>
        <w:t>32</w:t>
      </w:r>
      <w:r w:rsidR="00190791" w:rsidRPr="00190791">
        <w:rPr>
          <w:b/>
        </w:rPr>
        <w:t>r0</w:t>
      </w:r>
      <w:r w:rsidR="00190791">
        <w:rPr>
          <w:b/>
        </w:rPr>
        <w:t xml:space="preserve"> </w:t>
      </w:r>
      <w:r w:rsidR="00080D7E" w:rsidRPr="004D205A">
        <w:t>SB0-par-scope-related</w:t>
      </w:r>
      <w:r w:rsidR="00080D7E">
        <w:t>-comments (</w:t>
      </w:r>
      <w:r w:rsidR="008A56EC">
        <w:t xml:space="preserve">addressing </w:t>
      </w:r>
      <w:r w:rsidR="00080D7E">
        <w:t>2</w:t>
      </w:r>
      <w:r w:rsidR="00862CE7">
        <w:t>9</w:t>
      </w:r>
      <w:r w:rsidR="008A56EC">
        <w:t xml:space="preserve"> CIDs)</w:t>
      </w:r>
      <w:r w:rsidR="007121C9" w:rsidRPr="007121C9">
        <w:t xml:space="preserve"> </w:t>
      </w:r>
    </w:p>
    <w:p w14:paraId="2A5844D2" w14:textId="51493C73" w:rsidR="00535415" w:rsidRDefault="00535415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URL </w:t>
      </w:r>
      <w:r w:rsidR="00080D7E" w:rsidRPr="00080D7E">
        <w:rPr>
          <w:rStyle w:val="Hyperlink"/>
        </w:rPr>
        <w:t>https://mentor.ieee.org/802.11/dcn/15/11-15-1532-00-00ah-sb0-par-scope-related-comments.docx</w:t>
      </w:r>
    </w:p>
    <w:p w14:paraId="1754E78F" w14:textId="1546CD33" w:rsidR="00535415" w:rsidRDefault="00535415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Presenter </w:t>
      </w:r>
      <w:proofErr w:type="spellStart"/>
      <w:r w:rsidR="00080D7E">
        <w:t>Yongho</w:t>
      </w:r>
      <w:proofErr w:type="spellEnd"/>
      <w:r w:rsidR="00080D7E">
        <w:t xml:space="preserve"> </w:t>
      </w:r>
      <w:proofErr w:type="spellStart"/>
      <w:r w:rsidR="00080D7E">
        <w:t>Seok</w:t>
      </w:r>
      <w:proofErr w:type="spellEnd"/>
    </w:p>
    <w:p w14:paraId="7C3219C3" w14:textId="2E9E79CD" w:rsidR="00350AD7" w:rsidRDefault="00350AD7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CID </w:t>
      </w:r>
      <w:r w:rsidR="00272619" w:rsidRPr="00F74569">
        <w:rPr>
          <w:lang w:eastAsia="ko-KR"/>
        </w:rPr>
        <w:t>8219,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8236,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8238,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8239,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8241,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8243,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8246,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8247,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8252,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8257,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8258,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8260,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8265,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8266,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8267,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8268,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8270,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8272,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8273,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8275,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8276</w:t>
      </w:r>
    </w:p>
    <w:p w14:paraId="29134BB9" w14:textId="77777777" w:rsidR="00350AD7" w:rsidRDefault="00350AD7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 xml:space="preserve">No changes to proposed resolution </w:t>
      </w:r>
    </w:p>
    <w:p w14:paraId="644CB1AD" w14:textId="77777777" w:rsidR="00350AD7" w:rsidRDefault="00350AD7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Ready for motion</w:t>
      </w:r>
    </w:p>
    <w:p w14:paraId="1CE66578" w14:textId="14318F19" w:rsidR="006F59E6" w:rsidRDefault="006F59E6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CID </w:t>
      </w:r>
      <w:r w:rsidR="00272619" w:rsidRPr="00F74569">
        <w:rPr>
          <w:lang w:eastAsia="ko-KR"/>
        </w:rPr>
        <w:t>8247</w:t>
      </w:r>
    </w:p>
    <w:p w14:paraId="09B189B4" w14:textId="77777777" w:rsidR="00272619" w:rsidRDefault="00272619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The “instruction to editor” was rephrased for clarification</w:t>
      </w:r>
    </w:p>
    <w:p w14:paraId="326DF701" w14:textId="375038F9" w:rsidR="00627806" w:rsidRDefault="00272619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Ready for motion</w:t>
      </w:r>
    </w:p>
    <w:p w14:paraId="5B7E2C87" w14:textId="229A7F95" w:rsidR="006F59E6" w:rsidRDefault="00627806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CID </w:t>
      </w:r>
      <w:r w:rsidR="00272619" w:rsidRPr="00F74569">
        <w:rPr>
          <w:lang w:eastAsia="ko-KR"/>
        </w:rPr>
        <w:t>8251,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8252,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8257,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8258,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8259,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8260,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8265,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8266,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8267,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8268,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8269,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8270,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8271,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8272,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8273,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8274,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8275,</w:t>
      </w:r>
      <w:r w:rsidR="00272619">
        <w:rPr>
          <w:rFonts w:hint="eastAsia"/>
          <w:lang w:eastAsia="ko-KR"/>
        </w:rPr>
        <w:t xml:space="preserve"> </w:t>
      </w:r>
      <w:r w:rsidR="00272619" w:rsidRPr="00F74569">
        <w:rPr>
          <w:lang w:eastAsia="ko-KR"/>
        </w:rPr>
        <w:t>8276</w:t>
      </w:r>
    </w:p>
    <w:p w14:paraId="2EF3584F" w14:textId="3562BC03" w:rsidR="004739F5" w:rsidRDefault="006B7E32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No changes to proposed resolution</w:t>
      </w:r>
    </w:p>
    <w:p w14:paraId="31B728C1" w14:textId="488F8985" w:rsidR="006F59E6" w:rsidRDefault="004739F5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R</w:t>
      </w:r>
      <w:r w:rsidR="006F59E6">
        <w:t>eady for motion</w:t>
      </w:r>
    </w:p>
    <w:p w14:paraId="206B794C" w14:textId="1F273DA9" w:rsidR="004739F5" w:rsidRDefault="004739F5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>Revision 1 incorporating above changes will be uploaded soon</w:t>
      </w:r>
    </w:p>
    <w:p w14:paraId="2D9E6828" w14:textId="63ECA320" w:rsidR="00986FD9" w:rsidRPr="00535415" w:rsidRDefault="00986FD9" w:rsidP="004D205A">
      <w:pPr>
        <w:pStyle w:val="ListParagraph"/>
        <w:numPr>
          <w:ilvl w:val="1"/>
          <w:numId w:val="31"/>
        </w:numPr>
        <w:spacing w:after="160" w:line="259" w:lineRule="auto"/>
        <w:rPr>
          <w:b/>
        </w:rPr>
      </w:pPr>
      <w:r w:rsidRPr="00535415">
        <w:rPr>
          <w:b/>
        </w:rPr>
        <w:t>Document 11-15/</w:t>
      </w:r>
      <w:r w:rsidRPr="00190791">
        <w:rPr>
          <w:b/>
        </w:rPr>
        <w:t>1</w:t>
      </w:r>
      <w:r w:rsidR="00272619">
        <w:rPr>
          <w:b/>
        </w:rPr>
        <w:t>534</w:t>
      </w:r>
      <w:r w:rsidRPr="00190791">
        <w:rPr>
          <w:b/>
        </w:rPr>
        <w:t>r0</w:t>
      </w:r>
      <w:r>
        <w:rPr>
          <w:b/>
        </w:rPr>
        <w:t xml:space="preserve"> </w:t>
      </w:r>
      <w:r w:rsidR="00272619" w:rsidRPr="00DE0D0F">
        <w:t xml:space="preserve">SB0-comment-resolution-part4 </w:t>
      </w:r>
      <w:r>
        <w:t xml:space="preserve">(addressing </w:t>
      </w:r>
      <w:r w:rsidR="00272619">
        <w:t>10</w:t>
      </w:r>
      <w:r>
        <w:t xml:space="preserve"> CIDs)</w:t>
      </w:r>
      <w:r w:rsidRPr="007121C9">
        <w:t xml:space="preserve"> </w:t>
      </w:r>
    </w:p>
    <w:p w14:paraId="310E99C7" w14:textId="72A89205" w:rsidR="00986FD9" w:rsidRDefault="00986FD9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URL </w:t>
      </w:r>
      <w:r w:rsidR="00272619" w:rsidRPr="00272619">
        <w:rPr>
          <w:rStyle w:val="Hyperlink"/>
        </w:rPr>
        <w:t>https://mentor.ieee.org/802.11/dcn/15/11-15-1534-00-00ah-sb0-comment-resolution-part4.docx</w:t>
      </w:r>
    </w:p>
    <w:p w14:paraId="182E3991" w14:textId="7D314D43" w:rsidR="00986FD9" w:rsidRDefault="00986FD9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Presenter </w:t>
      </w:r>
      <w:proofErr w:type="spellStart"/>
      <w:r w:rsidR="00272619">
        <w:t>Yongho</w:t>
      </w:r>
      <w:proofErr w:type="spellEnd"/>
      <w:r w:rsidR="00272619">
        <w:t xml:space="preserve"> </w:t>
      </w:r>
      <w:proofErr w:type="spellStart"/>
      <w:r w:rsidR="00272619">
        <w:t>Seok</w:t>
      </w:r>
      <w:proofErr w:type="spellEnd"/>
    </w:p>
    <w:p w14:paraId="40633416" w14:textId="58E5C7D6" w:rsidR="00986FD9" w:rsidRDefault="00986FD9" w:rsidP="004D205A">
      <w:pPr>
        <w:pStyle w:val="ListParagraph"/>
        <w:numPr>
          <w:ilvl w:val="2"/>
          <w:numId w:val="31"/>
        </w:numPr>
        <w:spacing w:after="160" w:line="259" w:lineRule="auto"/>
      </w:pPr>
      <w:r>
        <w:t xml:space="preserve">CID </w:t>
      </w:r>
      <w:r w:rsidR="00272619" w:rsidRPr="00FC321B">
        <w:rPr>
          <w:lang w:eastAsia="ko-KR"/>
        </w:rPr>
        <w:t>8221, 8223, 8225, 8226, 8227, 8228, 8229, 8230, 8231, 8232</w:t>
      </w:r>
    </w:p>
    <w:p w14:paraId="38D2039D" w14:textId="77777777" w:rsidR="00986FD9" w:rsidRDefault="00986FD9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 xml:space="preserve">No changes to proposed resolution </w:t>
      </w:r>
    </w:p>
    <w:p w14:paraId="6BE16CC8" w14:textId="77777777" w:rsidR="00986FD9" w:rsidRDefault="00986FD9" w:rsidP="004D205A">
      <w:pPr>
        <w:pStyle w:val="ListParagraph"/>
        <w:numPr>
          <w:ilvl w:val="3"/>
          <w:numId w:val="31"/>
        </w:numPr>
        <w:spacing w:after="160" w:line="259" w:lineRule="auto"/>
      </w:pPr>
      <w:r>
        <w:t>Ready for motion</w:t>
      </w:r>
    </w:p>
    <w:p w14:paraId="25F000A7" w14:textId="15B33C43" w:rsidR="006B6568" w:rsidRDefault="006B6568" w:rsidP="004D205A">
      <w:pPr>
        <w:pStyle w:val="ListParagraph"/>
        <w:numPr>
          <w:ilvl w:val="0"/>
          <w:numId w:val="31"/>
        </w:numPr>
        <w:spacing w:after="160" w:line="259" w:lineRule="auto"/>
      </w:pPr>
      <w:r w:rsidRPr="00930B12">
        <w:t xml:space="preserve">Submissions </w:t>
      </w:r>
      <w:r w:rsidRPr="006B6568">
        <w:t>already presented and ready for motion</w:t>
      </w:r>
    </w:p>
    <w:p w14:paraId="7E219FFD" w14:textId="2B70A0B2" w:rsidR="00DE0517" w:rsidRDefault="00DE0517" w:rsidP="004D205A">
      <w:pPr>
        <w:pStyle w:val="ListParagraph"/>
        <w:numPr>
          <w:ilvl w:val="1"/>
          <w:numId w:val="31"/>
        </w:numPr>
        <w:spacing w:after="160" w:line="259" w:lineRule="auto"/>
      </w:pPr>
      <w:r>
        <w:t xml:space="preserve">Chair suggested </w:t>
      </w:r>
      <w:proofErr w:type="spellStart"/>
      <w:r>
        <w:t>defering</w:t>
      </w:r>
      <w:proofErr w:type="spellEnd"/>
      <w:r>
        <w:t xml:space="preserve"> motions to the </w:t>
      </w:r>
      <w:proofErr w:type="gramStart"/>
      <w:r w:rsidR="00272619">
        <w:t>face to face</w:t>
      </w:r>
      <w:proofErr w:type="gramEnd"/>
      <w:r w:rsidR="00272619">
        <w:t xml:space="preserve"> meeting </w:t>
      </w:r>
      <w:r>
        <w:t>due to small number of attendees. No objection was heard</w:t>
      </w:r>
    </w:p>
    <w:p w14:paraId="0B0E81F4" w14:textId="182FB202" w:rsidR="00612A56" w:rsidRDefault="00DE0517" w:rsidP="004D205A">
      <w:pPr>
        <w:pStyle w:val="ListParagraph"/>
        <w:numPr>
          <w:ilvl w:val="0"/>
          <w:numId w:val="31"/>
        </w:numPr>
        <w:spacing w:after="160" w:line="259" w:lineRule="auto"/>
      </w:pPr>
      <w:bookmarkStart w:id="0" w:name="_GoBack"/>
      <w:bookmarkEnd w:id="0"/>
      <w:r>
        <w:t>Chair ad</w:t>
      </w:r>
      <w:r w:rsidR="00535415">
        <w:t xml:space="preserve">journed </w:t>
      </w:r>
      <w:r>
        <w:t xml:space="preserve">the </w:t>
      </w:r>
      <w:r w:rsidR="00535415">
        <w:t xml:space="preserve">meeting </w:t>
      </w:r>
      <w:r w:rsidR="00612A56">
        <w:t xml:space="preserve">at </w:t>
      </w:r>
      <w:r w:rsidR="008E30D3">
        <w:t>6</w:t>
      </w:r>
      <w:r w:rsidR="00612A56">
        <w:t>:</w:t>
      </w:r>
      <w:r w:rsidR="008E30D3">
        <w:t>0</w:t>
      </w:r>
      <w:r w:rsidR="002A2D79">
        <w:t>0pm</w:t>
      </w:r>
      <w:r w:rsidR="00612A56">
        <w:t xml:space="preserve"> </w:t>
      </w:r>
      <w:r w:rsidR="002A2D79">
        <w:t>Pacific</w:t>
      </w:r>
    </w:p>
    <w:p w14:paraId="57554CA5" w14:textId="77777777" w:rsidR="00F92865" w:rsidRPr="00F92865" w:rsidRDefault="00F92865" w:rsidP="001018D2">
      <w:pPr>
        <w:rPr>
          <w:rStyle w:val="Hyperlink"/>
        </w:rPr>
      </w:pPr>
    </w:p>
    <w:sectPr w:rsidR="00F92865" w:rsidRPr="00F92865" w:rsidSect="00612A56">
      <w:headerReference w:type="default" r:id="rId21"/>
      <w:footerReference w:type="default" r:id="rId22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A4E2" w14:textId="77777777" w:rsidR="00272619" w:rsidRDefault="00272619">
      <w:r>
        <w:separator/>
      </w:r>
    </w:p>
  </w:endnote>
  <w:endnote w:type="continuationSeparator" w:id="0">
    <w:p w14:paraId="2C566500" w14:textId="77777777" w:rsidR="00272619" w:rsidRDefault="002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맑은 고딕">
    <w:charset w:val="81"/>
    <w:family w:val="modern"/>
    <w:pitch w:val="variable"/>
    <w:sig w:usb0="900002AF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E0E6" w14:textId="77777777" w:rsidR="00272619" w:rsidRDefault="0027261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17318">
      <w:rPr>
        <w:noProof/>
      </w:rPr>
      <w:t>3</w:t>
    </w:r>
    <w:r>
      <w:fldChar w:fldCharType="end"/>
    </w:r>
    <w:r>
      <w:tab/>
    </w:r>
    <w:fldSimple w:instr=" COMMENTS  \* MERGEFORMAT ">
      <w:r>
        <w:t>Zander Lei, I2R Singapore</w:t>
      </w:r>
    </w:fldSimple>
  </w:p>
  <w:p w14:paraId="3BFC9B37" w14:textId="77777777" w:rsidR="00272619" w:rsidRDefault="0027261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560F" w14:textId="77777777" w:rsidR="00272619" w:rsidRDefault="00272619">
      <w:r>
        <w:separator/>
      </w:r>
    </w:p>
  </w:footnote>
  <w:footnote w:type="continuationSeparator" w:id="0">
    <w:p w14:paraId="43CB0EA0" w14:textId="77777777" w:rsidR="00272619" w:rsidRDefault="002726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8C740" w14:textId="0CFFAF7B" w:rsidR="00272619" w:rsidRDefault="00272619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2016</w:t>
      </w:r>
    </w:fldSimple>
    <w:r>
      <w:tab/>
    </w:r>
    <w:r>
      <w:tab/>
      <w:t xml:space="preserve">    </w:t>
    </w:r>
    <w:fldSimple w:instr=" TITLE  \* MERGEFORMAT ">
      <w:r>
        <w:t>doc.: IEEE 802.11-16/0003r0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12"/>
    <w:multiLevelType w:val="hybridMultilevel"/>
    <w:tmpl w:val="C8501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C36718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0"/>
  </w:num>
  <w:num w:numId="4">
    <w:abstractNumId w:val="9"/>
  </w:num>
  <w:num w:numId="5">
    <w:abstractNumId w:val="22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27"/>
  </w:num>
  <w:num w:numId="11">
    <w:abstractNumId w:val="12"/>
  </w:num>
  <w:num w:numId="12">
    <w:abstractNumId w:val="29"/>
  </w:num>
  <w:num w:numId="13">
    <w:abstractNumId w:val="17"/>
  </w:num>
  <w:num w:numId="14">
    <w:abstractNumId w:val="1"/>
  </w:num>
  <w:num w:numId="15">
    <w:abstractNumId w:val="21"/>
  </w:num>
  <w:num w:numId="16">
    <w:abstractNumId w:val="25"/>
  </w:num>
  <w:num w:numId="17">
    <w:abstractNumId w:val="5"/>
  </w:num>
  <w:num w:numId="18">
    <w:abstractNumId w:val="14"/>
  </w:num>
  <w:num w:numId="19">
    <w:abstractNumId w:val="15"/>
  </w:num>
  <w:num w:numId="20">
    <w:abstractNumId w:val="20"/>
  </w:num>
  <w:num w:numId="21">
    <w:abstractNumId w:val="16"/>
  </w:num>
  <w:num w:numId="22">
    <w:abstractNumId w:val="10"/>
  </w:num>
  <w:num w:numId="23">
    <w:abstractNumId w:val="3"/>
  </w:num>
  <w:num w:numId="24">
    <w:abstractNumId w:val="28"/>
  </w:num>
  <w:num w:numId="25">
    <w:abstractNumId w:val="24"/>
  </w:num>
  <w:num w:numId="26">
    <w:abstractNumId w:val="4"/>
  </w:num>
  <w:num w:numId="27">
    <w:abstractNumId w:val="18"/>
  </w:num>
  <w:num w:numId="28">
    <w:abstractNumId w:val="26"/>
  </w:num>
  <w:num w:numId="29">
    <w:abstractNumId w:val="0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7"/>
    <w:rsid w:val="000002BC"/>
    <w:rsid w:val="0000481A"/>
    <w:rsid w:val="000148E5"/>
    <w:rsid w:val="00021587"/>
    <w:rsid w:val="00036BE0"/>
    <w:rsid w:val="000414AA"/>
    <w:rsid w:val="00052E35"/>
    <w:rsid w:val="0005498D"/>
    <w:rsid w:val="00061CD6"/>
    <w:rsid w:val="00074D85"/>
    <w:rsid w:val="00080D7E"/>
    <w:rsid w:val="0009422F"/>
    <w:rsid w:val="0009738D"/>
    <w:rsid w:val="000A0719"/>
    <w:rsid w:val="000A1A81"/>
    <w:rsid w:val="000A75D4"/>
    <w:rsid w:val="000B5F87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51081"/>
    <w:rsid w:val="00272619"/>
    <w:rsid w:val="00274F21"/>
    <w:rsid w:val="00284FD6"/>
    <w:rsid w:val="0029020B"/>
    <w:rsid w:val="00293AF3"/>
    <w:rsid w:val="002A2D79"/>
    <w:rsid w:val="002C71DA"/>
    <w:rsid w:val="002D2032"/>
    <w:rsid w:val="002D362C"/>
    <w:rsid w:val="002D44BE"/>
    <w:rsid w:val="002D79E2"/>
    <w:rsid w:val="002E0BD0"/>
    <w:rsid w:val="002E5DDF"/>
    <w:rsid w:val="0030062D"/>
    <w:rsid w:val="00301E39"/>
    <w:rsid w:val="003313EA"/>
    <w:rsid w:val="00334439"/>
    <w:rsid w:val="00342BC8"/>
    <w:rsid w:val="003441DA"/>
    <w:rsid w:val="00344707"/>
    <w:rsid w:val="0034487C"/>
    <w:rsid w:val="00350AD7"/>
    <w:rsid w:val="00351CE7"/>
    <w:rsid w:val="00357E36"/>
    <w:rsid w:val="00370E95"/>
    <w:rsid w:val="00385901"/>
    <w:rsid w:val="003B7411"/>
    <w:rsid w:val="003B7824"/>
    <w:rsid w:val="003B7CC9"/>
    <w:rsid w:val="003E5286"/>
    <w:rsid w:val="003E6D99"/>
    <w:rsid w:val="00414BF4"/>
    <w:rsid w:val="004269AD"/>
    <w:rsid w:val="00431E00"/>
    <w:rsid w:val="004412F7"/>
    <w:rsid w:val="00442037"/>
    <w:rsid w:val="00445D13"/>
    <w:rsid w:val="0046161B"/>
    <w:rsid w:val="00464EBE"/>
    <w:rsid w:val="00465501"/>
    <w:rsid w:val="004739F5"/>
    <w:rsid w:val="00484684"/>
    <w:rsid w:val="004928EA"/>
    <w:rsid w:val="004A0A87"/>
    <w:rsid w:val="004B064B"/>
    <w:rsid w:val="004D042B"/>
    <w:rsid w:val="004D205A"/>
    <w:rsid w:val="004D46ED"/>
    <w:rsid w:val="004D4D06"/>
    <w:rsid w:val="005252E9"/>
    <w:rsid w:val="0052657D"/>
    <w:rsid w:val="00530233"/>
    <w:rsid w:val="005311FD"/>
    <w:rsid w:val="0053361A"/>
    <w:rsid w:val="00535415"/>
    <w:rsid w:val="00543E75"/>
    <w:rsid w:val="0056013F"/>
    <w:rsid w:val="005603D1"/>
    <w:rsid w:val="00566A1F"/>
    <w:rsid w:val="00584CFB"/>
    <w:rsid w:val="005861A1"/>
    <w:rsid w:val="00596877"/>
    <w:rsid w:val="005B7CE9"/>
    <w:rsid w:val="005E0AE8"/>
    <w:rsid w:val="005F1C47"/>
    <w:rsid w:val="00611A7A"/>
    <w:rsid w:val="00612A56"/>
    <w:rsid w:val="0062440B"/>
    <w:rsid w:val="00627806"/>
    <w:rsid w:val="0063134D"/>
    <w:rsid w:val="0063457E"/>
    <w:rsid w:val="00666B41"/>
    <w:rsid w:val="006A6735"/>
    <w:rsid w:val="006B6169"/>
    <w:rsid w:val="006B6568"/>
    <w:rsid w:val="006B7E32"/>
    <w:rsid w:val="006C0727"/>
    <w:rsid w:val="006D262C"/>
    <w:rsid w:val="006D2CDA"/>
    <w:rsid w:val="006E145F"/>
    <w:rsid w:val="006E71CB"/>
    <w:rsid w:val="006F59E6"/>
    <w:rsid w:val="007121C9"/>
    <w:rsid w:val="00713682"/>
    <w:rsid w:val="00747F46"/>
    <w:rsid w:val="00761FC4"/>
    <w:rsid w:val="007674C6"/>
    <w:rsid w:val="00770572"/>
    <w:rsid w:val="0077574C"/>
    <w:rsid w:val="00781B10"/>
    <w:rsid w:val="007A014B"/>
    <w:rsid w:val="007B0256"/>
    <w:rsid w:val="007B7955"/>
    <w:rsid w:val="007D0F9F"/>
    <w:rsid w:val="007D4F36"/>
    <w:rsid w:val="007F36EF"/>
    <w:rsid w:val="007F5535"/>
    <w:rsid w:val="00811309"/>
    <w:rsid w:val="00824100"/>
    <w:rsid w:val="00847EC6"/>
    <w:rsid w:val="00856117"/>
    <w:rsid w:val="00862CE7"/>
    <w:rsid w:val="0086349A"/>
    <w:rsid w:val="00865EDA"/>
    <w:rsid w:val="00872A88"/>
    <w:rsid w:val="00874409"/>
    <w:rsid w:val="008A158E"/>
    <w:rsid w:val="008A56EC"/>
    <w:rsid w:val="008A6E4F"/>
    <w:rsid w:val="008B47B6"/>
    <w:rsid w:val="008C12A3"/>
    <w:rsid w:val="008C1385"/>
    <w:rsid w:val="008C1781"/>
    <w:rsid w:val="008E30D3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A21E4"/>
    <w:rsid w:val="009A3014"/>
    <w:rsid w:val="009A75A1"/>
    <w:rsid w:val="009B25BC"/>
    <w:rsid w:val="009F2FBC"/>
    <w:rsid w:val="00A27932"/>
    <w:rsid w:val="00A540D4"/>
    <w:rsid w:val="00A62DDE"/>
    <w:rsid w:val="00A86B95"/>
    <w:rsid w:val="00AA0F6C"/>
    <w:rsid w:val="00AA207D"/>
    <w:rsid w:val="00AA427C"/>
    <w:rsid w:val="00AE72D3"/>
    <w:rsid w:val="00AF1AA6"/>
    <w:rsid w:val="00AF4F7F"/>
    <w:rsid w:val="00B04253"/>
    <w:rsid w:val="00B245AF"/>
    <w:rsid w:val="00B3346D"/>
    <w:rsid w:val="00B3556F"/>
    <w:rsid w:val="00B41C81"/>
    <w:rsid w:val="00B46F65"/>
    <w:rsid w:val="00B60A3E"/>
    <w:rsid w:val="00B61866"/>
    <w:rsid w:val="00B6391E"/>
    <w:rsid w:val="00B65B5A"/>
    <w:rsid w:val="00B77FD8"/>
    <w:rsid w:val="00B80DBA"/>
    <w:rsid w:val="00B82DA3"/>
    <w:rsid w:val="00B8506E"/>
    <w:rsid w:val="00B90EF5"/>
    <w:rsid w:val="00BE68C2"/>
    <w:rsid w:val="00C26E8E"/>
    <w:rsid w:val="00C27475"/>
    <w:rsid w:val="00C57083"/>
    <w:rsid w:val="00CA09B2"/>
    <w:rsid w:val="00CC071B"/>
    <w:rsid w:val="00CC62FE"/>
    <w:rsid w:val="00CD4F36"/>
    <w:rsid w:val="00CF50A2"/>
    <w:rsid w:val="00D04285"/>
    <w:rsid w:val="00D17318"/>
    <w:rsid w:val="00D212D8"/>
    <w:rsid w:val="00D35D5C"/>
    <w:rsid w:val="00D532AC"/>
    <w:rsid w:val="00D67CA8"/>
    <w:rsid w:val="00D67FD4"/>
    <w:rsid w:val="00D84E7E"/>
    <w:rsid w:val="00D87BF7"/>
    <w:rsid w:val="00D90580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E0517"/>
    <w:rsid w:val="00DE0D0F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6EA4"/>
    <w:rsid w:val="00E874CF"/>
    <w:rsid w:val="00E926C3"/>
    <w:rsid w:val="00EA0F57"/>
    <w:rsid w:val="00EC13BC"/>
    <w:rsid w:val="00ED782E"/>
    <w:rsid w:val="00EE09ED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92865"/>
    <w:rsid w:val="00F93331"/>
    <w:rsid w:val="00F968C8"/>
    <w:rsid w:val="00FA176A"/>
    <w:rsid w:val="00FA5C1C"/>
    <w:rsid w:val="00FA7686"/>
    <w:rsid w:val="00FB07A8"/>
    <w:rsid w:val="00FB3D68"/>
    <w:rsid w:val="00FB73A0"/>
    <w:rsid w:val="00FC774A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E6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board/pat/pat-slideset.ppt" TargetMode="External"/><Relationship Id="rId20" Type="http://schemas.openxmlformats.org/officeDocument/2006/relationships/hyperlink" Target="mailto:yongho.seok@gmail.com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1" Type="http://schemas.openxmlformats.org/officeDocument/2006/relationships/hyperlink" Target="http://standards.ieee.org/board/pat/loa.pdf" TargetMode="External"/><Relationship Id="rId12" Type="http://schemas.openxmlformats.org/officeDocument/2006/relationships/hyperlink" Target="http://standards.ieee.org/faqs/affiliationFAQ.html" TargetMode="External"/><Relationship Id="rId13" Type="http://schemas.openxmlformats.org/officeDocument/2006/relationships/hyperlink" Target="http://standards.ieee.org/resources/antitrust-guidelines.pdf" TargetMode="External"/><Relationship Id="rId14" Type="http://schemas.openxmlformats.org/officeDocument/2006/relationships/hyperlink" Target="http://www.ieee.org/portal/cms_docs/about/CoE_poster.pdf" TargetMode="External"/><Relationship Id="rId15" Type="http://schemas.openxmlformats.org/officeDocument/2006/relationships/hyperlink" Target="http://goog_186352298/" TargetMode="External"/><Relationship Id="rId16" Type="http://schemas.openxmlformats.org/officeDocument/2006/relationships/hyperlink" Target="https://mentor.ieee.org/802.11/dcn/14/11-14-0629-13-0000-802-11-operations-manual.docx" TargetMode="External"/><Relationship Id="rId17" Type="http://schemas.openxmlformats.org/officeDocument/2006/relationships/hyperlink" Target="mailto:leizd@i2r.a-star.edu.sg" TargetMode="External"/><Relationship Id="rId18" Type="http://schemas.openxmlformats.org/officeDocument/2006/relationships/hyperlink" Target="mailto:yongho.seok@gmail.com" TargetMode="External"/><Relationship Id="rId19" Type="http://schemas.openxmlformats.org/officeDocument/2006/relationships/hyperlink" Target="mailto:leizd@i2r.a-star.edu.s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E248-F635-3449-905A-554EA638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\Users\jr05\Documents\IEEE files and notes\2015 November - Dallas\11-15-1251-00-000m-REVmc - BRC Minutes for F2F Oct-Cambridge.dot</Template>
  <TotalTime>55</TotalTime>
  <Pages>3</Pages>
  <Words>827</Words>
  <Characters>4952</Characters>
  <Application>Microsoft Macintosh Word</Application>
  <DocSecurity>0</DocSecurity>
  <Lines>141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802.11-15/1505r0</vt:lpstr>
    </vt:vector>
  </TitlesOfParts>
  <Manager/>
  <Company>I2R Singapore</Company>
  <LinksUpToDate>false</LinksUpToDate>
  <CharactersWithSpaces>5648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802.11-16/0003r0</dc:title>
  <dc:subject>Minutes</dc:subject>
  <dc:creator>Zander Lei</dc:creator>
  <cp:keywords>January 2016</cp:keywords>
  <dc:description>Zander Lei, I2R Singapore</dc:description>
  <cp:lastModifiedBy>Zander Lei</cp:lastModifiedBy>
  <cp:revision>23</cp:revision>
  <cp:lastPrinted>2015-10-17T09:58:00Z</cp:lastPrinted>
  <dcterms:created xsi:type="dcterms:W3CDTF">2015-12-09T00:56:00Z</dcterms:created>
  <dcterms:modified xsi:type="dcterms:W3CDTF">2016-01-06T05:48:00Z</dcterms:modified>
  <cp:category/>
</cp:coreProperties>
</file>